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/>
          <w:color w:val="113366"/>
          <w:sz w:val="25"/>
        </w:rPr>
        <w:t>1. Introducción.</w:t>
      </w:r>
    </w:p>
    <w:p>
      <w:pPr>
        <w:spacing w:after="80" w:line="276" w:lineRule="auto"/>
      </w:pPr>
      <w:r>
        <w:rPr>
          <w:rFonts w:ascii="Arial" w:hAnsi="Arial"/>
          <w:sz w:val="22"/>
        </w:rPr>
        <w:t>El presente caso de uso describe los pasos para que un Inspector de Campo consulte y organice su bandeja de trabajo personalizada, diferenciando entre las quejas pendientes de primera inspección física y aquellas listas para su validación técnica post-reparación.</w:t>
      </w:r>
    </w:p>
    <w:p>
      <w:pPr>
        <w:spacing w:before="120" w:after="60"/>
      </w:pPr>
      <w:r>
        <w:rPr>
          <w:rFonts w:ascii="Arial" w:hAnsi="Arial"/>
          <w:b/>
          <w:color w:val="113366"/>
          <w:sz w:val="25"/>
        </w:rPr>
        <w:t>Objetivo.</w:t>
      </w:r>
    </w:p>
    <w:p>
      <w:pPr>
        <w:spacing w:after="80" w:line="276" w:lineRule="auto"/>
      </w:pPr>
      <w:r>
        <w:rPr>
          <w:rFonts w:ascii="Arial" w:hAnsi="Arial"/>
          <w:sz w:val="22"/>
        </w:rPr>
        <w:t>Gestionar de forma ordenada la carga de trabajo y rutas de visitas de campo asignadas al inspector municipal.</w:t>
      </w:r>
    </w:p>
    <w:p>
      <w:pPr>
        <w:spacing w:before="160" w:after="80"/>
      </w:pPr>
      <w:r>
        <w:rPr>
          <w:rFonts w:ascii="Arial" w:hAnsi="Arial"/>
          <w:b/>
          <w:color w:val="113366"/>
          <w:sz w:val="25"/>
        </w:rPr>
        <w:t>2. Definición Caso de Uso</w:t>
      </w:r>
    </w:p>
    <w:p>
      <w:pPr>
        <w:spacing w:before="80" w:after="60"/>
      </w:pPr>
      <w:r>
        <w:rPr>
          <w:rFonts w:ascii="Arial" w:hAnsi="Arial"/>
          <w:b/>
          <w:color w:val="224477"/>
          <w:sz w:val="23"/>
        </w:rPr>
        <w:t>2.1 Actores.</w:t>
      </w:r>
    </w:p>
    <w:p>
      <w:pPr>
        <w:spacing w:after="40" w:line="276" w:lineRule="auto"/>
      </w:pPr>
      <w:r>
        <w:rPr>
          <w:rFonts w:ascii="Arial" w:hAnsi="Arial"/>
          <w:sz w:val="22"/>
        </w:rPr>
        <w:t>Inspector de Campo llamaremos Usuario.</w:t>
      </w:r>
    </w:p>
    <w:p>
      <w:pPr>
        <w:spacing w:after="80" w:line="276" w:lineRule="auto"/>
      </w:pPr>
      <w:r>
        <w:rPr>
          <w:rFonts w:ascii="Arial" w:hAnsi="Arial"/>
          <w:sz w:val="22"/>
        </w:rPr>
        <w:t>Portal del Sistema de Gestión de Quejas de la Municipalidad llamaremos Sistema</w:t>
      </w:r>
    </w:p>
    <w:p>
      <w:pPr>
        <w:spacing w:before="120" w:after="60"/>
      </w:pPr>
      <w:r>
        <w:rPr>
          <w:rFonts w:ascii="Arial" w:hAnsi="Arial"/>
          <w:b/>
          <w:color w:val="224477"/>
          <w:sz w:val="23"/>
        </w:rPr>
        <w:t>2.2 Precondiciones.</w:t>
      </w:r>
    </w:p>
    <w:p>
      <w:pPr>
        <w:spacing w:after="40" w:line="276" w:lineRule="auto"/>
        <w:ind w:left="288"/>
      </w:pPr>
      <w:r>
        <w:rPr>
          <w:rFonts w:ascii="Arial" w:hAnsi="Arial"/>
          <w:sz w:val="22"/>
        </w:rPr>
        <w:t>• El usuario se encuentra autenticado con rol de Inspector de Campo. (RN18)</w:t>
      </w:r>
    </w:p>
    <w:p>
      <w:pPr>
        <w:spacing w:before="160" w:after="60"/>
      </w:pPr>
      <w:r>
        <w:rPr>
          <w:rFonts w:ascii="Arial" w:hAnsi="Arial"/>
          <w:b/>
          <w:color w:val="224477"/>
          <w:sz w:val="23"/>
        </w:rPr>
        <w:t>2.3 Flujo Normal Básico</w:t>
      </w:r>
    </w:p>
    <w:p>
      <w:pPr>
        <w:spacing w:after="50" w:line="276" w:lineRule="auto"/>
      </w:pPr>
      <w:r>
        <w:rPr>
          <w:rFonts w:ascii="Arial" w:hAnsi="Arial"/>
          <w:sz w:val="22"/>
        </w:rPr>
        <w:t>El inspector ingresa a la sección “Mis Asignaciones de Campo”.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consulta las quejas asignadas al inspector en su sector y despliega la interfaz con dos pestañas operativas: (RN18)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Pestaña 1: “Inspección Inicial” (Casos con estado “EN INSPECCIÓN” asignados para primera visita) (RN18)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Pestaña 2: “Validación de Reparación” (Casos con estado “EN VALIDACIÓN DE REPARACIÓN” devueltos por el especialista) (RN18)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Filtros rápidos por Categoría y Nivel de Prioridad de Demanda (RN14)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Tabla con columnas: Correlativo, Categoría, Dirección exacta, Prioridad por Demanda, Fecha de Asignación y Acciones</w:t>
      </w:r>
    </w:p>
    <w:p>
      <w:pPr>
        <w:spacing w:after="50" w:line="276" w:lineRule="auto"/>
      </w:pPr>
      <w:r>
        <w:rPr>
          <w:rFonts w:ascii="Arial" w:hAnsi="Arial"/>
          <w:sz w:val="22"/>
        </w:rPr>
        <w:t>El inspector selecciona la pestaña correspondiente según el tipo de visita a realizar.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inspector selecciona un expediente de la tabla para visualizar los datos del incidente y las fotografías iniciales.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muestra la ficha de campo del caso y habilita las opciones para iniciar el informe correspondiente (CU10 o CU11).</w:t>
      </w:r>
    </w:p>
    <w:p>
      <w:pPr>
        <w:spacing w:after="50" w:line="276" w:lineRule="auto" w:before="80"/>
      </w:pPr>
      <w:r>
        <w:rPr>
          <w:rFonts w:ascii="Arial" w:hAnsi="Arial"/>
          <w:b/>
          <w:color w:val="005599"/>
          <w:sz w:val="22"/>
        </w:rPr>
        <w:t>Fin de caso de uso.</w:t>
      </w:r>
    </w:p>
    <w:p>
      <w:pPr>
        <w:spacing w:before="160" w:after="60"/>
      </w:pPr>
      <w:r>
        <w:rPr>
          <w:rFonts w:ascii="Arial" w:hAnsi="Arial"/>
          <w:b/>
          <w:color w:val="224477"/>
          <w:sz w:val="23"/>
        </w:rPr>
        <w:t>2.4 Flujos Alternos.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FA01: No hay quejas asignadas en la bandeja: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sistema muestra el mensaje informativo: “No cuenta con quejas pendientes de inspección en este momento.”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FA02: Filtrar por nivel de prioridad: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inspector selecciona un filtro de prioridad (ej. Urgente / Alta).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sistema reorganiza la grilla mostrando prioritariamente los casos con mayor demanda acumulada.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Retorno al paso 3 del Flujo Normal Básico.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FA03: Ver ruta de inspección en mapa: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inspector presiona el botón “Ver Mapa de Ruta”. El sistema despliega la geolocalización de las quejas asignadas para planificar el recorrido de campo.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160" w:after="60"/>
      </w:pPr>
      <w:r>
        <w:rPr>
          <w:rFonts w:ascii="Arial" w:hAnsi="Arial"/>
          <w:b/>
          <w:color w:val="224477"/>
          <w:sz w:val="23"/>
        </w:rPr>
        <w:t>2.5 Poscondiciones.</w:t>
      </w:r>
    </w:p>
    <w:p>
      <w:pPr>
        <w:spacing w:after="40" w:line="276" w:lineRule="auto"/>
        <w:ind w:left="288"/>
      </w:pPr>
      <w:r>
        <w:rPr>
          <w:rFonts w:ascii="Arial" w:hAnsi="Arial"/>
          <w:sz w:val="22"/>
        </w:rPr>
        <w:t>• El inspector visualiza la lista de casos pendientes de atención y accede a los expedientes de trabajo.</w:t>
      </w:r>
    </w:p>
    <w:p>
      <w:pPr>
        <w:spacing w:before="160" w:after="60"/>
      </w:pPr>
      <w:r>
        <w:rPr>
          <w:rFonts w:ascii="Arial" w:hAnsi="Arial"/>
          <w:b/>
          <w:color w:val="113366"/>
          <w:sz w:val="25"/>
        </w:rPr>
        <w:t>3. Requerimientos Suplementarios o no Funcionales</w:t>
      </w:r>
    </w:p>
    <w:p>
      <w:pPr>
        <w:spacing w:after="50" w:line="276" w:lineRule="auto"/>
        <w:ind w:left="288"/>
      </w:pPr>
      <w:r>
        <w:rPr>
          <w:rFonts w:ascii="Arial" w:hAnsi="Arial"/>
          <w:sz w:val="22"/>
        </w:rPr>
        <w:t>• Interfaz totalmente adaptable a dispositivos móviles y tablets para su uso directo en campo.</w:t>
      </w:r>
    </w:p>
    <w:p>
      <w:pPr>
        <w:spacing w:before="160" w:after="80"/>
      </w:pPr>
      <w:r>
        <w:rPr>
          <w:rFonts w:ascii="Arial" w:hAnsi="Arial"/>
          <w:b/>
          <w:color w:val="113366"/>
          <w:sz w:val="25"/>
        </w:rPr>
        <w:t>4. Firmas Necesarias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13366"/>
                <w:sz w:val="20"/>
              </w:rPr>
              <w:t>Persona</w:t>
            </w:r>
          </w:p>
        </w:tc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13366"/>
                <w:sz w:val="20"/>
              </w:rPr>
              <w:t>Sector</w:t>
            </w:r>
          </w:p>
        </w:tc>
        <w:tc>
          <w:tcPr>
            <w:tcW w:type="dxa" w:w="2592"/>
            <w:shd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13366"/>
                <w:sz w:val="20"/>
              </w:rPr>
              <w:t>Firma</w:t>
            </w:r>
          </w:p>
        </w:tc>
      </w:tr>
      <w:t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13366"/>
          <w:sz w:val="25"/>
        </w:rPr>
        <w:t>Anexos: Reglas de Negocio</w:t>
      </w:r>
    </w:p>
    <w:p>
      <w:pPr>
        <w:spacing w:after="50" w:line="276" w:lineRule="auto"/>
        <w:ind w:left="288"/>
      </w:pPr>
      <w:r>
        <w:rPr>
          <w:rFonts w:ascii="Arial" w:hAnsi="Arial"/>
          <w:b/>
          <w:color w:val="005599"/>
          <w:sz w:val="21"/>
        </w:rPr>
        <w:t xml:space="preserve">RN14 - Priorización por Demanda: </w:t>
      </w:r>
      <w:r>
        <w:rPr>
          <w:rFonts w:ascii="Arial" w:hAnsi="Arial"/>
          <w:sz w:val="21"/>
        </w:rPr>
        <w:t>Ordenamiento de casos según la concentración de quejas comunitarias.</w:t>
      </w:r>
    </w:p>
    <w:p>
      <w:pPr>
        <w:spacing w:after="50" w:line="276" w:lineRule="auto"/>
        <w:ind w:left="288"/>
      </w:pPr>
      <w:r>
        <w:rPr>
          <w:rFonts w:ascii="Arial" w:hAnsi="Arial"/>
          <w:b/>
          <w:color w:val="005599"/>
          <w:sz w:val="21"/>
        </w:rPr>
        <w:t>RN18 - Alcance del Inspector: Visualización exclusiva de los casos asignados al inspector.</w:t>
      </w:r>
      <w:r>
        <w:rPr>
          <w:rFonts w:ascii="Arial" w:hAnsi="Arial"/>
          <w:sz w:val="21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