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Arial" w:hAnsi="Arial"/>
          <w:b/>
          <w:color w:val="113366"/>
          <w:sz w:val="25"/>
        </w:rPr>
        <w:t>1. Introducción.</w:t>
      </w:r>
    </w:p>
    <w:p>
      <w:pPr>
        <w:spacing w:after="80" w:line="276" w:lineRule="auto"/>
      </w:pPr>
      <w:r>
        <w:rPr>
          <w:rFonts w:ascii="Arial" w:hAnsi="Arial"/>
          <w:sz w:val="22"/>
        </w:rPr>
        <w:t>El presente caso de uso describe los pasos requeridos para que el Administrador del Sistema gestione de forma centralizada las cuentas del personal operativo municipal (Funcionarios, Inspectores de Campo, Especialistas Técnicos y Administradores), asignando sus roles y dependencias técnicas.</w:t>
      </w:r>
    </w:p>
    <w:p>
      <w:pPr>
        <w:spacing w:before="120" w:after="60"/>
      </w:pPr>
      <w:r>
        <w:rPr>
          <w:rFonts w:ascii="Arial" w:hAnsi="Arial"/>
          <w:b/>
          <w:color w:val="113366"/>
          <w:sz w:val="25"/>
        </w:rPr>
        <w:t>Objetivo.</w:t>
      </w:r>
    </w:p>
    <w:p>
      <w:pPr>
        <w:spacing w:after="80" w:line="276" w:lineRule="auto"/>
      </w:pPr>
      <w:r>
        <w:rPr>
          <w:rFonts w:ascii="Arial" w:hAnsi="Arial"/>
          <w:sz w:val="22"/>
        </w:rPr>
        <w:t>Administrar integralmente el ciclo de vida (alta, edición, roles, dependencias y baja lógica) de los usuarios internos municipales.</w:t>
      </w:r>
    </w:p>
    <w:p>
      <w:pPr>
        <w:spacing w:before="160" w:after="80"/>
      </w:pPr>
      <w:r>
        <w:rPr>
          <w:rFonts w:ascii="Arial" w:hAnsi="Arial"/>
          <w:b/>
          <w:color w:val="113366"/>
          <w:sz w:val="25"/>
        </w:rPr>
        <w:t>2. Definición Caso de Uso</w:t>
      </w:r>
    </w:p>
    <w:p>
      <w:pPr>
        <w:spacing w:before="80" w:after="60"/>
      </w:pPr>
      <w:r>
        <w:rPr>
          <w:rFonts w:ascii="Arial" w:hAnsi="Arial"/>
          <w:b/>
          <w:color w:val="224477"/>
          <w:sz w:val="23"/>
        </w:rPr>
        <w:t>2.1 Actores.</w:t>
      </w:r>
    </w:p>
    <w:p>
      <w:pPr>
        <w:spacing w:after="40" w:line="276" w:lineRule="auto"/>
      </w:pPr>
      <w:r>
        <w:rPr>
          <w:rFonts w:ascii="Arial" w:hAnsi="Arial"/>
          <w:sz w:val="22"/>
        </w:rPr>
        <w:t>Administrador del Sistema llamaremos Usuario.</w:t>
      </w:r>
    </w:p>
    <w:p>
      <w:pPr>
        <w:spacing w:after="80" w:line="276" w:lineRule="auto"/>
      </w:pPr>
      <w:r>
        <w:rPr>
          <w:rFonts w:ascii="Arial" w:hAnsi="Arial"/>
          <w:sz w:val="22"/>
        </w:rPr>
        <w:t>Portal del Sistema de Gestión de Quejas de la Municipalidad llamaremos Sistema</w:t>
      </w:r>
    </w:p>
    <w:p>
      <w:pPr>
        <w:spacing w:before="120" w:after="60"/>
      </w:pPr>
      <w:r>
        <w:rPr>
          <w:rFonts w:ascii="Arial" w:hAnsi="Arial"/>
          <w:b/>
          <w:color w:val="224477"/>
          <w:sz w:val="23"/>
        </w:rPr>
        <w:t>2.2 Precondiciones.</w:t>
      </w:r>
    </w:p>
    <w:p>
      <w:pPr>
        <w:spacing w:after="40" w:line="276" w:lineRule="auto"/>
        <w:ind w:left="288"/>
      </w:pPr>
      <w:r>
        <w:rPr>
          <w:rFonts w:ascii="Arial" w:hAnsi="Arial"/>
          <w:sz w:val="22"/>
        </w:rPr>
        <w:t>• El usuario se encuentra autenticado con rol de Administrador del Sistema. (RN26)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2.3 Flujo Normal Básico</w:t>
      </w:r>
    </w:p>
    <w:p>
      <w:pPr>
        <w:spacing w:after="50" w:line="276" w:lineRule="auto"/>
      </w:pPr>
      <w:r>
        <w:rPr>
          <w:rFonts w:ascii="Arial" w:hAnsi="Arial"/>
          <w:sz w:val="22"/>
        </w:rPr>
        <w:t>El administrador ingresa al módulo “Administración” -&gt; “Gestión de Personal y Roles”.</w:t>
      </w:r>
    </w:p>
    <w:p>
      <w:pPr>
        <w:spacing w:after="50" w:line="276" w:lineRule="auto"/>
      </w:pPr>
      <w:r>
        <w:t>El sistema muestra la tabla general de empleados municipales con: DPI, Nombre Completo, Correo Institucional, Rol Asignado, Dependencia y Estado (Activo/Inactivo). (RN26, RN27)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administrador selecciona el botón “Nuevo Empleado” para dar de alta a un usuario interno. (FA03, FA04)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muestra el formulario de registro de empleado con los siguientes campos: (RN01, RN26, RN27)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Documento de Identificación (DPI) (RN02, FA02)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Nombres y Apellidos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Correo electrónico institucional (@muni.gob.gt) (RN03, FA02)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Teléfono de contacto institucional (RN04)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Rol del Sistema (Lista: Funcionario Municipal, Inspector de Campo, Especialista Técnico, Administrador) (RN26)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Dependencia Municipal (Lista: Dirección de Servicios Públicos, Unidad de Alumbrado, Fontanería y Drenajes, Bacheo y Pavimentación, Limpieza y Recolección, Parques y Ornato) (RN27)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Botón Guardar Empleado (FA01)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Botón Cancelar (FA05)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administrador ingresa los datos personales y de contacto del empleado.</w:t>
      </w:r>
    </w:p>
    <w:p>
      <w:pPr>
        <w:spacing w:after="50" w:line="276" w:lineRule="auto"/>
      </w:pPr>
      <w:r>
        <w:t>El administrador asigna el rol y dependencia municipal correspondientes. (RN26, RN27)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administrador presiona el botón Guardar Empleado. (FA01)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valida los campos obligatorios y que no existan duplicados en DPI o correo institucional. (RN01, RN02, RN03, FA01, FA02)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genera una contraseña temporal segura y registra al empleado en la base de datos.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envía un correo electrónico al nuevo empleado con sus credenciales de acceso y enlace al portal.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registra el alta en la bitácora de auditoría. (RN30)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muestra el mensaje de confirmación: “El empleado ha sido registrado con éxito y sus credenciales fueron enviadas.”</w:t>
      </w:r>
    </w:p>
    <w:p>
      <w:pPr>
        <w:spacing w:after="50" w:line="276" w:lineRule="auto" w:before="80"/>
      </w:pPr>
      <w:r>
        <w:rPr>
          <w:rFonts w:ascii="Arial" w:hAnsi="Arial"/>
          <w:b/>
          <w:color w:val="005599"/>
          <w:sz w:val="22"/>
        </w:rPr>
        <w:t>Fin de caso de uso.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2.4 Flujos Alternos.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FA01: Campos obligatorios incompletos:</w:t>
      </w:r>
    </w:p>
    <w:p>
      <w:pPr>
        <w:spacing w:after="40" w:line="276" w:lineRule="auto"/>
        <w:ind w:left="288"/>
      </w:pPr>
      <w:r>
        <w:t>El sistema muestra el mensaje: “Debe completar todos los datos obligatorios, asignando al menos un rol y una dependencia.”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El sistema retorna al paso 5 del Flujo Normal Básico.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FA02: DPI o Correo institucional ya registrado: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muestra el mensaje de error: “El DPI o correo electrónico ingresado ya se encuentra registrado para otro empleado.”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El sistema retorna al paso 5 del Flujo Normal Básico.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FA03: Editar información de un empleado: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administrador selecciona un empleado de la tabla y presiona “Editar”.</w:t>
      </w:r>
    </w:p>
    <w:p>
      <w:pPr>
        <w:spacing w:after="40" w:line="276" w:lineRule="auto"/>
        <w:ind w:left="288"/>
      </w:pPr>
      <w:r>
        <w:t>El sistema carga los datos y permite modificar teléfono, dependencia o rol.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administrador guarda los cambios. El sistema actualiza los permisos y registra la acción en la bitácora. (RN30)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FA04: Desactivar o Suspender cuenta de empleado (Baja lógica):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administrador selecciona un empleado y presiona “Desactivar”.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solicita confirmación y motivo de la baja.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administrador confirma. El sistema cambia el estado del empleado a “Inactivo” revocando sus permisos inmediatamente.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FA05: Cancelar operación: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administrador presiona Cancelar. El sistema descarta los cambios y retorna a la lista de empleados.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caso de uso.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2.5 Poscondiciones.</w:t>
      </w:r>
    </w:p>
    <w:p>
      <w:pPr>
        <w:spacing w:after="40" w:line="276" w:lineRule="auto"/>
        <w:ind w:left="288"/>
      </w:pPr>
      <w:r>
        <w:rPr>
          <w:rFonts w:ascii="Arial" w:hAnsi="Arial"/>
          <w:sz w:val="22"/>
        </w:rPr>
        <w:t>• La cuenta del personal municipal queda creada, actualizada o desactivada con los roles y dependencia definidos.</w:t>
      </w:r>
    </w:p>
    <w:p>
      <w:pPr>
        <w:spacing w:before="160" w:after="60"/>
      </w:pPr>
      <w:r>
        <w:rPr>
          <w:rFonts w:ascii="Arial" w:hAnsi="Arial"/>
          <w:b/>
          <w:color w:val="113366"/>
          <w:sz w:val="25"/>
        </w:rPr>
        <w:t>3. Requerimientos Suplementarios o no Funcionales</w:t>
      </w:r>
    </w:p>
    <w:p>
      <w:pPr>
        <w:spacing w:after="50" w:line="276" w:lineRule="auto"/>
        <w:ind w:left="288"/>
      </w:pPr>
      <w:r>
        <w:rPr>
          <w:rFonts w:ascii="Arial" w:hAnsi="Arial"/>
          <w:sz w:val="22"/>
        </w:rPr>
        <w:t>• Cifrado de credenciales y registro detallado de auditoría de todas las acciones administrativas.</w:t>
      </w:r>
    </w:p>
    <w:p>
      <w:pPr>
        <w:spacing w:before="160" w:after="80"/>
      </w:pPr>
      <w:r>
        <w:rPr>
          <w:rFonts w:ascii="Arial" w:hAnsi="Arial"/>
          <w:b/>
          <w:color w:val="113366"/>
          <w:sz w:val="25"/>
        </w:rPr>
        <w:t>4. Firmas Necesarias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Persona</w:t>
            </w:r>
          </w:p>
        </w:tc>
        <w:tc>
          <w:tcPr>
            <w:tcW w:type="dxa" w:w="3168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Sector</w:t>
            </w:r>
          </w:p>
        </w:tc>
        <w:tc>
          <w:tcPr>
            <w:tcW w:type="dxa" w:w="2592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Firma</w:t>
            </w:r>
          </w:p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</w:tbl>
    <w:p>
      <w:pPr>
        <w:spacing w:after="80"/>
      </w:pPr>
    </w:p>
    <w:p>
      <w:pPr>
        <w:spacing w:before="160" w:after="60"/>
      </w:pPr>
      <w:r>
        <w:rPr>
          <w:rFonts w:ascii="Arial" w:hAnsi="Arial"/>
          <w:b/>
          <w:color w:val="113366"/>
          <w:sz w:val="25"/>
        </w:rPr>
        <w:t>Anexos: Reglas de Negocio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RN02 - Unicidad de DPI: </w:t>
      </w:r>
      <w:r>
        <w:rPr>
          <w:rFonts w:ascii="Arial" w:hAnsi="Arial"/>
          <w:sz w:val="21"/>
        </w:rPr>
        <w:t>Registro único por persona.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RN03 - Formato de Correo: </w:t>
      </w:r>
      <w:r>
        <w:rPr>
          <w:rFonts w:ascii="Arial" w:hAnsi="Arial"/>
          <w:sz w:val="21"/>
        </w:rPr>
        <w:t>Estructura de correo institucional requerida.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RN26 - Gestión Centralizada de Usuarios: </w:t>
      </w:r>
      <w:r>
        <w:rPr>
          <w:rFonts w:ascii="Arial" w:hAnsi="Arial"/>
          <w:sz w:val="21"/>
        </w:rPr>
        <w:t>Creación exclusiva de cuentas operativas por Administrador.</w:t>
      </w:r>
    </w:p>
    <w:p>
      <w:pPr>
        <w:spacing w:after="50" w:line="276" w:lineRule="auto"/>
        <w:ind w:left="288"/>
      </w:pPr>
      <w:r>
        <w:t>RN27 - Asignación de Dependencias: Todo empleado debe tener un rol y una dependencia técnica definidos.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RN30 - Bitácora de Auditoría: </w:t>
      </w:r>
      <w:r>
        <w:rPr>
          <w:rFonts w:ascii="Arial" w:hAnsi="Arial"/>
          <w:sz w:val="21"/>
        </w:rPr>
        <w:t>Registro de modificaciones de permisos inmutable.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