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113366"/>
          <w:sz w:val="25"/>
        </w:rPr>
        <w:t>1. Introducción.</w:t>
      </w:r>
    </w:p>
    <w:p>
      <w:pPr>
        <w:spacing w:after="80" w:line="276" w:lineRule="auto"/>
      </w:pPr>
      <w:r>
        <w:rPr>
          <w:rFonts w:ascii="Arial" w:hAnsi="Arial"/>
          <w:sz w:val="22"/>
        </w:rPr>
        <w:t>El presente caso de uso describe los pasos requeridos para que un Inspector de Campo, tras realizar la visita física presencial al sitio del incidente, documente el diagnóstico técnico del daño (Fase 1 del expediente), capture evidencias fotográficas en el sitio y derive la orden de trabajo directamente a la cuadrilla o especialista técnico pertinente.</w:t>
      </w:r>
    </w:p>
    <w:p>
      <w:pPr>
        <w:spacing w:before="120" w:after="60"/>
      </w:pPr>
      <w:r>
        <w:rPr>
          <w:rFonts w:ascii="Arial" w:hAnsi="Arial"/>
          <w:b/>
          <w:color w:val="113366"/>
          <w:sz w:val="25"/>
        </w:rPr>
        <w:t>Objetivo.</w:t>
      </w:r>
    </w:p>
    <w:p>
      <w:pPr>
        <w:spacing w:after="80" w:line="276" w:lineRule="auto"/>
      </w:pPr>
      <w:r>
        <w:rPr>
          <w:rFonts w:ascii="Arial" w:hAnsi="Arial"/>
          <w:sz w:val="22"/>
        </w:rPr>
        <w:t>Registrar el informe técnico de la inspección inicial (Fase 1) y derivar formalmente la queja hacia la cuadrilla operativa correspondiente.</w:t>
      </w:r>
    </w:p>
    <w:p>
      <w:pPr>
        <w:spacing w:before="160" w:after="80"/>
      </w:pPr>
      <w:r>
        <w:rPr>
          <w:rFonts w:ascii="Arial" w:hAnsi="Arial"/>
          <w:b/>
          <w:color w:val="113366"/>
          <w:sz w:val="25"/>
        </w:rPr>
        <w:t>2. Definición Caso de Uso</w:t>
      </w:r>
    </w:p>
    <w:p>
      <w:pPr>
        <w:spacing w:before="80" w:after="60"/>
      </w:pPr>
      <w:r>
        <w:rPr>
          <w:rFonts w:ascii="Arial" w:hAnsi="Arial"/>
          <w:b/>
          <w:color w:val="224477"/>
          <w:sz w:val="23"/>
        </w:rPr>
        <w:t>2.1 Actores.</w:t>
      </w:r>
    </w:p>
    <w:p>
      <w:pPr>
        <w:spacing w:after="40" w:line="276" w:lineRule="auto"/>
      </w:pPr>
      <w:r>
        <w:rPr>
          <w:rFonts w:ascii="Arial" w:hAnsi="Arial"/>
          <w:sz w:val="22"/>
        </w:rPr>
        <w:t>Inspector de Campo llamaremos Usuario.</w:t>
      </w:r>
    </w:p>
    <w:p>
      <w:pPr>
        <w:spacing w:after="80" w:line="276" w:lineRule="auto"/>
      </w:pPr>
      <w:r>
        <w:rPr>
          <w:rFonts w:ascii="Arial" w:hAnsi="Arial"/>
          <w:sz w:val="22"/>
        </w:rPr>
        <w:t>Portal del Sistema de Gestión de Quejas de la Municipalidad llamaremos Sistema</w:t>
      </w:r>
    </w:p>
    <w:p>
      <w:pPr>
        <w:spacing w:before="120" w:after="60"/>
      </w:pPr>
      <w:r>
        <w:rPr>
          <w:rFonts w:ascii="Arial" w:hAnsi="Arial"/>
          <w:b/>
          <w:color w:val="224477"/>
          <w:sz w:val="23"/>
        </w:rPr>
        <w:t>2.2 Precondiciones.</w:t>
      </w:r>
    </w:p>
    <w:p>
      <w:pPr>
        <w:spacing w:after="40" w:line="276" w:lineRule="auto"/>
        <w:ind w:left="288"/>
      </w:pPr>
      <w:r>
        <w:rPr>
          <w:rFonts w:ascii="Arial" w:hAnsi="Arial"/>
          <w:sz w:val="22"/>
        </w:rPr>
        <w:t>• El inspector se encuentra autenticado en el sistema.</w:t>
      </w:r>
    </w:p>
    <w:p>
      <w:pPr>
        <w:spacing w:after="40" w:line="276" w:lineRule="auto"/>
        <w:ind w:left="288"/>
      </w:pPr>
      <w:r>
        <w:rPr>
          <w:rFonts w:ascii="Arial" w:hAnsi="Arial"/>
          <w:sz w:val="22"/>
        </w:rPr>
        <w:t>• La queja se encuentra asignada al inspector en estado “EN INSPECCIÓN”. (RN18)</w:t>
      </w:r>
    </w:p>
    <w:p>
      <w:pPr>
        <w:spacing w:before="160" w:after="60"/>
      </w:pPr>
      <w:r>
        <w:rPr>
          <w:rFonts w:ascii="Arial" w:hAnsi="Arial"/>
          <w:b/>
          <w:color w:val="224477"/>
          <w:sz w:val="23"/>
        </w:rPr>
        <w:t>2.3 Flujo Normal Básico</w:t>
      </w:r>
    </w:p>
    <w:p>
      <w:pPr>
        <w:spacing w:after="50" w:line="276" w:lineRule="auto"/>
      </w:pPr>
      <w:r>
        <w:rPr>
          <w:rFonts w:ascii="Arial" w:hAnsi="Arial"/>
          <w:sz w:val="22"/>
        </w:rPr>
        <w:t>El inspector selecciona una queja en estado “EN INSPECCIÓN” y presiona la opción “Registrar Inspección Inicial”.</w:t>
      </w:r>
    </w:p>
    <w:p>
      <w:pPr>
        <w:spacing w:after="50" w:line="276" w:lineRule="auto"/>
      </w:pPr>
      <w:r>
        <w:rPr>
          <w:rFonts w:ascii="Arial" w:hAnsi="Arial"/>
          <w:sz w:val="22"/>
        </w:rPr>
        <w:t>El sistema despliega el formulario técnico de la Fase 1 del expediente con los siguientes campos: (RN19, RN20, RN21)</w:t>
      </w:r>
    </w:p>
    <w:p>
      <w:pPr>
        <w:spacing w:after="50" w:line="276" w:lineRule="auto"/>
        <w:ind w:left="432"/>
      </w:pPr>
      <w:r>
        <w:rPr>
          <w:rFonts w:ascii="Arial" w:hAnsi="Arial"/>
          <w:sz w:val="21"/>
        </w:rPr>
        <w:t>- Confirmación de Veracidad del Problema (Casilla: Problema constatado físicamente en sitio) (RN19)</w:t>
      </w:r>
    </w:p>
    <w:p>
      <w:pPr>
        <w:spacing w:after="50" w:line="276" w:lineRule="auto"/>
        <w:ind w:left="432"/>
      </w:pPr>
      <w:r>
        <w:rPr>
          <w:rFonts w:ascii="Arial" w:hAnsi="Arial"/>
          <w:sz w:val="21"/>
        </w:rPr>
        <w:t>- Nivel de Gravedad Técnica Constatada (Lista: Leve, Moderada, Grave, Crítica)</w:t>
      </w:r>
    </w:p>
    <w:p>
      <w:pPr>
        <w:spacing w:after="50" w:line="276" w:lineRule="auto"/>
        <w:ind w:left="432"/>
      </w:pPr>
      <w:r>
        <w:rPr>
          <w:rFonts w:ascii="Arial" w:hAnsi="Arial"/>
          <w:sz w:val="21"/>
        </w:rPr>
        <w:t>- Diagnóstico Técnico y Descripción del Daño (Mínimo 20 caracteres) (RN19)</w:t>
      </w:r>
    </w:p>
    <w:p>
      <w:pPr>
        <w:spacing w:after="50" w:line="276" w:lineRule="auto"/>
        <w:ind w:left="432"/>
      </w:pPr>
      <w:r>
        <w:rPr>
          <w:rFonts w:ascii="Arial" w:hAnsi="Arial"/>
          <w:sz w:val="21"/>
        </w:rPr>
        <w:t>- Recursos o Maquinaria Sugerida (ej. Mezcla asfáltica, grúa telescópica, camión cisterna/vactor)</w:t>
      </w:r>
    </w:p>
    <w:p>
      <w:pPr>
        <w:spacing w:after="50" w:line="276" w:lineRule="auto"/>
        <w:ind w:left="432"/>
      </w:pPr>
      <w:r>
        <w:rPr>
          <w:rFonts w:ascii="Arial" w:hAnsi="Arial"/>
          <w:sz w:val="21"/>
        </w:rPr>
        <w:t>- Carga de Fotografías de la Inspección Inicial (Mínimo 1, máximo 3 fotos en formato JPG/PNG) (RN20, FA02, FA03)</w:t>
      </w:r>
    </w:p>
    <w:p>
      <w:pPr>
        <w:spacing w:after="50" w:line="276" w:lineRule="auto"/>
        <w:ind w:left="432"/>
      </w:pPr>
      <w:r>
        <w:rPr>
          <w:rFonts w:ascii="Arial" w:hAnsi="Arial"/>
          <w:sz w:val="21"/>
        </w:rPr>
        <w:t>- Lista desplegable de Cuadrillas / Especialistas Técnicos según especialidad (Cuadrilla de Bacheo, Electricistas, Fontaneros, Limpieza, Ornato) (RN21)</w:t>
      </w:r>
    </w:p>
    <w:p>
      <w:pPr>
        <w:spacing w:after="50" w:line="276" w:lineRule="auto"/>
        <w:ind w:left="432"/>
      </w:pPr>
      <w:r>
        <w:rPr>
          <w:rFonts w:ascii="Arial" w:hAnsi="Arial"/>
          <w:sz w:val="21"/>
        </w:rPr>
        <w:t>- Instrucciones Técnicas Específicas para la Cuadrilla</w:t>
      </w:r>
    </w:p>
    <w:p>
      <w:pPr>
        <w:spacing w:after="50" w:line="276" w:lineRule="auto"/>
        <w:ind w:left="432"/>
      </w:pPr>
      <w:r>
        <w:rPr>
          <w:rFonts w:ascii="Arial" w:hAnsi="Arial"/>
          <w:sz w:val="21"/>
        </w:rPr>
        <w:t>- Botón Guardar y Asignar a Especialista (FA01)</w:t>
      </w:r>
    </w:p>
    <w:p>
      <w:pPr>
        <w:spacing w:after="50" w:line="276" w:lineRule="auto"/>
        <w:ind w:left="432"/>
      </w:pPr>
      <w:r>
        <w:rPr>
          <w:rFonts w:ascii="Arial" w:hAnsi="Arial"/>
          <w:sz w:val="21"/>
        </w:rPr>
        <w:t>- Botón Problema No Constatado (FA04)</w:t>
      </w:r>
    </w:p>
    <w:p>
      <w:pPr>
        <w:spacing w:after="50" w:line="276" w:lineRule="auto"/>
      </w:pPr>
      <w:r>
        <w:rPr>
          <w:rFonts w:ascii="Arial" w:hAnsi="Arial"/>
          <w:sz w:val="22"/>
        </w:rPr>
        <w:t>El inspector marca la confirmación de veracidad del problema en el sitio.</w:t>
      </w:r>
    </w:p>
    <w:p>
      <w:pPr>
        <w:spacing w:after="50" w:line="276" w:lineRule="auto"/>
      </w:pPr>
      <w:r>
        <w:rPr>
          <w:rFonts w:ascii="Arial" w:hAnsi="Arial"/>
          <w:sz w:val="22"/>
        </w:rPr>
        <w:t>El inspector selecciona el nivel de gravedad y redacta el diagnóstico técnico de daños. (RN19)</w:t>
      </w:r>
    </w:p>
    <w:p>
      <w:pPr>
        <w:spacing w:after="50" w:line="276" w:lineRule="auto"/>
      </w:pPr>
      <w:r>
        <w:rPr>
          <w:rFonts w:ascii="Arial" w:hAnsi="Arial"/>
          <w:sz w:val="22"/>
        </w:rPr>
        <w:t>El inspector adjunta las fotografías tomadas en el lugar como evidencia de la visita inicial. (RN20)</w:t>
      </w:r>
    </w:p>
    <w:p>
      <w:pPr>
        <w:spacing w:after="50" w:line="276" w:lineRule="auto"/>
      </w:pPr>
      <w:r>
        <w:rPr>
          <w:rFonts w:ascii="Arial" w:hAnsi="Arial"/>
          <w:sz w:val="22"/>
        </w:rPr>
        <w:t>El inspector selecciona la cuadrilla o especialista técnico responsable según la especialidad del trabajo. (RN21)</w:t>
      </w:r>
    </w:p>
    <w:p>
      <w:pPr>
        <w:spacing w:after="50" w:line="276" w:lineRule="auto"/>
      </w:pPr>
      <w:r>
        <w:rPr>
          <w:rFonts w:ascii="Arial" w:hAnsi="Arial"/>
          <w:sz w:val="22"/>
        </w:rPr>
        <w:t>El inspector redacta las instrucciones de trabajo para la cuadrilla operativa.</w:t>
      </w:r>
    </w:p>
    <w:p>
      <w:pPr>
        <w:spacing w:after="50" w:line="276" w:lineRule="auto"/>
      </w:pPr>
      <w:r>
        <w:rPr>
          <w:rFonts w:ascii="Arial" w:hAnsi="Arial"/>
          <w:sz w:val="22"/>
        </w:rPr>
        <w:t>El inspector presiona el botón Guardar y Asignar a Especialista. (FA01)</w:t>
      </w:r>
    </w:p>
    <w:p>
      <w:pPr>
        <w:spacing w:after="50" w:line="276" w:lineRule="auto"/>
      </w:pPr>
      <w:r>
        <w:rPr>
          <w:rFonts w:ascii="Arial" w:hAnsi="Arial"/>
          <w:sz w:val="22"/>
        </w:rPr>
        <w:t>El sistema valida que los campos obligatorios y las fotografías estén completos. (RN01, RN19, RN20, FA01, FA02, FA03)</w:t>
      </w:r>
    </w:p>
    <w:p>
      <w:pPr>
        <w:spacing w:after="50" w:line="276" w:lineRule="auto"/>
      </w:pPr>
      <w:r>
        <w:rPr>
          <w:rFonts w:ascii="Arial" w:hAnsi="Arial"/>
          <w:sz w:val="22"/>
        </w:rPr>
        <w:t>El sistema almacena la Fase 1 del expediente técnico de la queja.</w:t>
      </w:r>
    </w:p>
    <w:p>
      <w:pPr>
        <w:spacing w:after="50" w:line="276" w:lineRule="auto"/>
      </w:pPr>
      <w:r>
        <w:rPr>
          <w:rFonts w:ascii="Arial" w:hAnsi="Arial"/>
          <w:sz w:val="22"/>
        </w:rPr>
        <w:t>El sistema actualiza el estado de la queja a “EN REPARACIÓN TÉCNICA”.</w:t>
      </w:r>
    </w:p>
    <w:p>
      <w:pPr>
        <w:spacing w:after="50" w:line="276" w:lineRule="auto"/>
      </w:pPr>
      <w:r>
        <w:rPr>
          <w:rFonts w:ascii="Arial" w:hAnsi="Arial"/>
          <w:sz w:val="22"/>
        </w:rPr>
        <w:t>El sistema transfiere la orden de trabajo a la cola de atención de la cuadrilla técnica seleccionada.</w:t>
      </w:r>
    </w:p>
    <w:p>
      <w:pPr>
        <w:spacing w:after="50" w:line="276" w:lineRule="auto"/>
      </w:pPr>
      <w:r>
        <w:rPr>
          <w:rFonts w:ascii="Arial" w:hAnsi="Arial"/>
          <w:sz w:val="22"/>
        </w:rPr>
        <w:t>El sistema registra el informe y la derivación en la bitácora de auditoría. (RN30)</w:t>
      </w:r>
    </w:p>
    <w:p>
      <w:pPr>
        <w:spacing w:after="50" w:line="276" w:lineRule="auto"/>
      </w:pPr>
      <w:r>
        <w:rPr>
          <w:rFonts w:ascii="Arial" w:hAnsi="Arial"/>
          <w:sz w:val="22"/>
        </w:rPr>
        <w:t>El sistema muestra el mensaje de confirmación: “El informe de inspección inicial ha sido registrado y el caso derivado a la cuadrilla técnica exitosamente.”</w:t>
      </w:r>
    </w:p>
    <w:p>
      <w:pPr>
        <w:spacing w:after="50" w:line="276" w:lineRule="auto" w:before="80"/>
      </w:pPr>
      <w:r>
        <w:rPr>
          <w:rFonts w:ascii="Arial" w:hAnsi="Arial"/>
          <w:b/>
          <w:color w:val="005599"/>
          <w:sz w:val="22"/>
        </w:rPr>
        <w:t>Fin de caso de uso.</w:t>
      </w:r>
    </w:p>
    <w:p>
      <w:pPr>
        <w:spacing w:before="160" w:after="60"/>
      </w:pPr>
      <w:r>
        <w:rPr>
          <w:rFonts w:ascii="Arial" w:hAnsi="Arial"/>
          <w:b/>
          <w:color w:val="224477"/>
          <w:sz w:val="23"/>
        </w:rPr>
        <w:t>2.4 Flujos Alternos.</w:t>
      </w:r>
    </w:p>
    <w:p>
      <w:pPr>
        <w:spacing w:before="80" w:after="40"/>
      </w:pPr>
      <w:r>
        <w:rPr>
          <w:rFonts w:ascii="Arial" w:hAnsi="Arial"/>
          <w:b/>
          <w:color w:val="992222"/>
          <w:sz w:val="22"/>
        </w:rPr>
        <w:t>FA01: Campos obligatorios incompletos:</w:t>
      </w:r>
    </w:p>
    <w:p>
      <w:pPr>
        <w:spacing w:after="40" w:line="276" w:lineRule="auto"/>
        <w:ind w:left="288"/>
      </w:pPr>
      <w:r>
        <w:rPr>
          <w:rFonts w:ascii="Arial" w:hAnsi="Arial"/>
          <w:sz w:val="21"/>
        </w:rPr>
        <w:t>El sistema muestra el mensaje de error: “Debe ingresar el diagnóstico técnico, adjuntar al menos una fotografía y seleccionar un especialista técnico.”</w:t>
      </w:r>
    </w:p>
    <w:p>
      <w:pPr>
        <w:spacing w:after="40" w:line="276" w:lineRule="auto"/>
        <w:ind w:left="288"/>
      </w:pPr>
      <w:r>
        <w:rPr>
          <w:rFonts w:ascii="Arial" w:hAnsi="Arial"/>
          <w:i/>
          <w:sz w:val="21"/>
        </w:rPr>
        <w:t>El sistema retorna al paso 3 del Flujo Normal Básico.</w:t>
      </w:r>
    </w:p>
    <w:p>
      <w:pPr>
        <w:spacing w:after="40" w:line="276" w:lineRule="auto"/>
        <w:ind w:left="288"/>
      </w:pPr>
      <w:r>
        <w:rPr>
          <w:rFonts w:ascii="Arial" w:hAnsi="Arial"/>
          <w:i/>
          <w:sz w:val="21"/>
        </w:rPr>
        <w:t>Fin del flujo alterno.</w:t>
      </w:r>
    </w:p>
    <w:p>
      <w:pPr>
        <w:spacing w:before="80" w:after="40"/>
      </w:pPr>
      <w:r>
        <w:rPr>
          <w:rFonts w:ascii="Arial" w:hAnsi="Arial"/>
          <w:b/>
          <w:color w:val="992222"/>
          <w:sz w:val="22"/>
        </w:rPr>
        <w:t>FA02: Formato de fotografía no válido:</w:t>
      </w:r>
    </w:p>
    <w:p>
      <w:pPr>
        <w:spacing w:after="40" w:line="276" w:lineRule="auto"/>
        <w:ind w:left="288"/>
      </w:pPr>
      <w:r>
        <w:rPr>
          <w:rFonts w:ascii="Arial" w:hAnsi="Arial"/>
          <w:sz w:val="21"/>
        </w:rPr>
        <w:t>El sistema muestra el mensaje: “Solo se permiten fotografías en formato JPG, JPEG o PNG.”</w:t>
      </w:r>
    </w:p>
    <w:p>
      <w:pPr>
        <w:spacing w:after="40" w:line="276" w:lineRule="auto"/>
        <w:ind w:left="288"/>
      </w:pPr>
      <w:r>
        <w:rPr>
          <w:rFonts w:ascii="Arial" w:hAnsi="Arial"/>
          <w:i/>
          <w:sz w:val="21"/>
        </w:rPr>
        <w:t>El sistema retorna al paso 5 del Flujo Normal Básico.</w:t>
      </w:r>
    </w:p>
    <w:p>
      <w:pPr>
        <w:spacing w:after="40" w:line="276" w:lineRule="auto"/>
        <w:ind w:left="288"/>
      </w:pPr>
      <w:r>
        <w:rPr>
          <w:rFonts w:ascii="Arial" w:hAnsi="Arial"/>
          <w:i/>
          <w:sz w:val="21"/>
        </w:rPr>
        <w:t>Fin del flujo alterno.</w:t>
      </w:r>
    </w:p>
    <w:p>
      <w:pPr>
        <w:spacing w:before="80" w:after="40"/>
      </w:pPr>
      <w:r>
        <w:rPr>
          <w:rFonts w:ascii="Arial" w:hAnsi="Arial"/>
          <w:b/>
          <w:color w:val="992222"/>
          <w:sz w:val="22"/>
        </w:rPr>
        <w:t>FA03: Tamaño de archivo de imagen excede 5 MB:</w:t>
      </w:r>
    </w:p>
    <w:p>
      <w:pPr>
        <w:spacing w:after="40" w:line="276" w:lineRule="auto"/>
        <w:ind w:left="288"/>
      </w:pPr>
      <w:r>
        <w:rPr>
          <w:rFonts w:ascii="Arial" w:hAnsi="Arial"/>
          <w:sz w:val="21"/>
        </w:rPr>
        <w:t>El sistema muestra el mensaje: “La fotografía adjunta excede el tamaño máximo permitido de 5 MB.”</w:t>
      </w:r>
    </w:p>
    <w:p>
      <w:pPr>
        <w:spacing w:after="40" w:line="276" w:lineRule="auto"/>
        <w:ind w:left="288"/>
      </w:pPr>
      <w:r>
        <w:rPr>
          <w:rFonts w:ascii="Arial" w:hAnsi="Arial"/>
          <w:i/>
          <w:sz w:val="21"/>
        </w:rPr>
        <w:t>El sistema retorna al paso 5 del Flujo Normal Básico.</w:t>
      </w:r>
    </w:p>
    <w:p>
      <w:pPr>
        <w:spacing w:after="40" w:line="276" w:lineRule="auto"/>
        <w:ind w:left="288"/>
      </w:pPr>
      <w:r>
        <w:rPr>
          <w:rFonts w:ascii="Arial" w:hAnsi="Arial"/>
          <w:i/>
          <w:sz w:val="21"/>
        </w:rPr>
        <w:t>Fin del flujo alterno.</w:t>
      </w:r>
    </w:p>
    <w:p>
      <w:pPr>
        <w:spacing w:before="80" w:after="40"/>
      </w:pPr>
      <w:r>
        <w:rPr>
          <w:rFonts w:ascii="Arial" w:hAnsi="Arial"/>
          <w:b/>
          <w:color w:val="992222"/>
          <w:sz w:val="22"/>
        </w:rPr>
        <w:t>FA04: Problema no verificado o inexistente en sitio (Falsa Alarma):</w:t>
      </w:r>
    </w:p>
    <w:p>
      <w:pPr>
        <w:spacing w:after="40" w:line="276" w:lineRule="auto"/>
        <w:ind w:left="288"/>
      </w:pPr>
      <w:r>
        <w:rPr>
          <w:rFonts w:ascii="Arial" w:hAnsi="Arial"/>
          <w:sz w:val="21"/>
        </w:rPr>
        <w:t>El inspector presiona el botón “Problema No Constatado”.</w:t>
      </w:r>
    </w:p>
    <w:p>
      <w:pPr>
        <w:spacing w:after="40" w:line="276" w:lineRule="auto"/>
        <w:ind w:left="288"/>
      </w:pPr>
      <w:r>
        <w:rPr>
          <w:rFonts w:ascii="Arial" w:hAnsi="Arial"/>
          <w:sz w:val="21"/>
        </w:rPr>
        <w:t>El sistema solicita la justificación técnica del descarte y la carga de una foto panorámica del lugar despejado/sin daño.</w:t>
      </w:r>
    </w:p>
    <w:p>
      <w:pPr>
        <w:spacing w:after="40" w:line="276" w:lineRule="auto"/>
        <w:ind w:left="288"/>
      </w:pPr>
      <w:r>
        <w:rPr>
          <w:rFonts w:ascii="Arial" w:hAnsi="Arial"/>
          <w:sz w:val="21"/>
        </w:rPr>
        <w:t>El inspector ingresa la justificación y confirma el envío.</w:t>
      </w:r>
    </w:p>
    <w:p>
      <w:pPr>
        <w:spacing w:after="40" w:line="276" w:lineRule="auto"/>
        <w:ind w:left="288"/>
      </w:pPr>
      <w:r>
        <w:rPr>
          <w:rFonts w:ascii="Arial" w:hAnsi="Arial"/>
          <w:sz w:val="21"/>
        </w:rPr>
        <w:t>El sistema transfiere el expediente al Funcionario Municipal con propuesta de descarte.</w:t>
      </w:r>
    </w:p>
    <w:p>
      <w:pPr>
        <w:spacing w:after="40" w:line="276" w:lineRule="auto"/>
        <w:ind w:left="288"/>
      </w:pPr>
      <w:r>
        <w:rPr>
          <w:rFonts w:ascii="Arial" w:hAnsi="Arial"/>
          <w:sz w:val="21"/>
        </w:rPr>
        <w:t>El sistema registra la no conformidad en la bitácora de auditoría. (RN30)</w:t>
      </w:r>
    </w:p>
    <w:p>
      <w:pPr>
        <w:spacing w:after="40" w:line="276" w:lineRule="auto"/>
        <w:ind w:left="288"/>
      </w:pPr>
      <w:r>
        <w:rPr>
          <w:rFonts w:ascii="Arial" w:hAnsi="Arial"/>
          <w:sz w:val="21"/>
        </w:rPr>
        <w:t>El sistema muestra el mensaje: “El informe de no constatación ha sido trasladado al funcionario para resolución.”</w:t>
      </w:r>
    </w:p>
    <w:p>
      <w:pPr>
        <w:spacing w:after="40" w:line="276" w:lineRule="auto"/>
        <w:ind w:left="288"/>
      </w:pPr>
      <w:r>
        <w:rPr>
          <w:rFonts w:ascii="Arial" w:hAnsi="Arial"/>
          <w:i/>
          <w:sz w:val="21"/>
        </w:rPr>
        <w:t>Fin del caso de uso.</w:t>
      </w:r>
    </w:p>
    <w:p>
      <w:pPr>
        <w:spacing w:before="160" w:after="60"/>
      </w:pPr>
      <w:r>
        <w:rPr>
          <w:rFonts w:ascii="Arial" w:hAnsi="Arial"/>
          <w:b/>
          <w:color w:val="224477"/>
          <w:sz w:val="23"/>
        </w:rPr>
        <w:t>2.5 Poscondiciones.</w:t>
      </w:r>
    </w:p>
    <w:p>
      <w:pPr>
        <w:spacing w:after="40" w:line="276" w:lineRule="auto"/>
        <w:ind w:left="288"/>
      </w:pPr>
      <w:r>
        <w:rPr>
          <w:rFonts w:ascii="Arial" w:hAnsi="Arial"/>
          <w:sz w:val="22"/>
        </w:rPr>
        <w:t>• La queja queda con su informe de inspección inicial (Fase 1) completado y pasa al estado “EN REPARACIÓN TÉCNICA” asignada a la cuadrilla.</w:t>
      </w:r>
    </w:p>
    <w:p>
      <w:pPr>
        <w:spacing w:before="160" w:after="60"/>
      </w:pPr>
      <w:r>
        <w:rPr>
          <w:rFonts w:ascii="Arial" w:hAnsi="Arial"/>
          <w:b/>
          <w:color w:val="113366"/>
          <w:sz w:val="25"/>
        </w:rPr>
        <w:t>3. Requerimientos Suplementarios o no Funcionales</w:t>
      </w:r>
    </w:p>
    <w:p>
      <w:pPr>
        <w:spacing w:after="50" w:line="276" w:lineRule="auto"/>
        <w:ind w:left="288"/>
      </w:pPr>
      <w:r>
        <w:rPr>
          <w:rFonts w:ascii="Arial" w:hAnsi="Arial"/>
          <w:sz w:val="22"/>
        </w:rPr>
        <w:t>• Permitir la captura directa de fotos desde la cámara de dispositivos móviles en terreno.</w:t>
      </w:r>
    </w:p>
    <w:p>
      <w:pPr>
        <w:spacing w:before="160" w:after="80"/>
      </w:pPr>
      <w:r>
        <w:rPr>
          <w:rFonts w:ascii="Arial" w:hAnsi="Arial"/>
          <w:b/>
          <w:color w:val="113366"/>
          <w:sz w:val="25"/>
        </w:rPr>
        <w:t>4. Firmas Necesarias</w:t>
      </w:r>
    </w:p>
    <w:tbl>
      <w:tblPr>
        <w:tblW w:type="auto" w:w="0"/>
        <w:jc w:val="center"/>
        <w:tblLook w:firstColumn="1" w:firstRow="1" w:lastColumn="0" w:lastRow="0" w:noHBand="0" w:noVBand="1" w:val="04A0"/>
      </w:tblPr>
      <w:tblGrid>
        <w:gridCol w:w="3120"/>
        <w:gridCol w:w="3120"/>
        <w:gridCol w:w="3120"/>
      </w:tblGrid>
      <w:tr>
        <w:tc>
          <w:tcPr>
            <w:tcW w:type="dxa" w:w="3600"/>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Persona</w:t>
            </w:r>
          </w:p>
        </w:tc>
        <w:tc>
          <w:tcPr>
            <w:tcW w:type="dxa" w:w="3168"/>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Sector</w:t>
            </w:r>
          </w:p>
        </w:tc>
        <w:tc>
          <w:tcPr>
            <w:tcW w:type="dxa" w:w="2592"/>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Firma</w:t>
            </w: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bl>
    <w:p>
      <w:pPr>
        <w:spacing w:after="80"/>
      </w:pPr>
    </w:p>
    <w:p>
      <w:pPr>
        <w:spacing w:before="160" w:after="60"/>
      </w:pPr>
      <w:r>
        <w:rPr>
          <w:rFonts w:ascii="Arial" w:hAnsi="Arial"/>
          <w:b/>
          <w:color w:val="113366"/>
          <w:sz w:val="25"/>
        </w:rPr>
        <w:t>Anexos: Reglas de Negocio</w:t>
      </w:r>
    </w:p>
    <w:p>
      <w:pPr>
        <w:spacing w:after="50" w:line="276" w:lineRule="auto"/>
        <w:ind w:left="288"/>
      </w:pPr>
      <w:r>
        <w:rPr>
          <w:rFonts w:ascii="Arial" w:hAnsi="Arial"/>
          <w:b/>
          <w:color w:val="005599"/>
          <w:sz w:val="21"/>
        </w:rPr>
        <w:t xml:space="preserve">RN19 - Estructura de Inspección Inicial: </w:t>
      </w:r>
      <w:r>
        <w:rPr>
          <w:rFonts w:ascii="Arial" w:hAnsi="Arial"/>
          <w:sz w:val="21"/>
        </w:rPr>
        <w:t>Diagnóstico técnico, nivel de gravedad y recursos sugeridos obligatorios.</w:t>
      </w:r>
    </w:p>
    <w:p>
      <w:pPr>
        <w:spacing w:after="50" w:line="276" w:lineRule="auto"/>
        <w:ind w:left="288"/>
      </w:pPr>
      <w:r>
        <w:rPr>
          <w:rFonts w:ascii="Arial" w:hAnsi="Arial"/>
          <w:b/>
          <w:color w:val="005599"/>
          <w:sz w:val="21"/>
        </w:rPr>
        <w:t xml:space="preserve">RN20 - Evidencias Fotográficas Obligatorias: </w:t>
      </w:r>
      <w:r>
        <w:rPr>
          <w:rFonts w:ascii="Arial" w:hAnsi="Arial"/>
          <w:sz w:val="21"/>
        </w:rPr>
        <w:t>Fotos obligatorias del daño inicial.</w:t>
      </w:r>
    </w:p>
    <w:p>
      <w:pPr>
        <w:spacing w:after="50" w:line="276" w:lineRule="auto"/>
        <w:ind w:left="288"/>
      </w:pPr>
      <w:r>
        <w:rPr>
          <w:rFonts w:ascii="Arial" w:hAnsi="Arial"/>
          <w:b/>
          <w:color w:val="005599"/>
          <w:sz w:val="21"/>
        </w:rPr>
        <w:t xml:space="preserve">RN21 - Matriz de Correspondencia de Especialidades: </w:t>
      </w:r>
      <w:r>
        <w:rPr>
          <w:rFonts w:ascii="Arial" w:hAnsi="Arial"/>
          <w:sz w:val="21"/>
        </w:rPr>
        <w:t>Derivación estricta según el tipo de daño a cuadrilla capacitada.</w:t>
      </w:r>
    </w:p>
    <w:p>
      <w:pPr>
        <w:spacing w:after="50" w:line="276" w:lineRule="auto"/>
        <w:ind w:left="288"/>
      </w:pPr>
      <w:r>
        <w:rPr>
          <w:rFonts w:ascii="Arial" w:hAnsi="Arial"/>
          <w:b/>
          <w:color w:val="005599"/>
          <w:sz w:val="21"/>
        </w:rPr>
        <w:t xml:space="preserve">RN30 - Bitácora de Auditoría: </w:t>
      </w:r>
      <w:r>
        <w:rPr>
          <w:rFonts w:ascii="Arial" w:hAnsi="Arial"/>
          <w:sz w:val="21"/>
        </w:rPr>
        <w:t>Registro inmutable de la inspección técnica.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