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60"/>
      </w:pPr>
      <w:r>
        <w:rPr>
          <w:rFonts w:ascii="Arial" w:hAnsi="Arial"/>
          <w:b/>
          <w:color w:val="113366"/>
          <w:sz w:val="25"/>
        </w:rPr>
        <w:t>1. Introducción.</w:t>
      </w:r>
    </w:p>
    <w:p>
      <w:pPr>
        <w:spacing w:after="80" w:line="276" w:lineRule="auto"/>
      </w:pPr>
      <w:r>
        <w:rPr>
          <w:rFonts w:ascii="Arial" w:hAnsi="Arial"/>
          <w:sz w:val="22"/>
        </w:rPr>
        <w:t>El presente caso de uso describe los pasos para que un Administrador o Funcionario Municipal genere reportes de auditoría y evaluación del rendimiento operativo de las cuadrillas técnicas y especialistas, midiendo tiempos promedio de respuesta, órdenes atendidas y tasa de aprobación en primera inspección.</w:t>
      </w:r>
    </w:p>
    <w:p>
      <w:pPr>
        <w:spacing w:before="120" w:after="60"/>
      </w:pPr>
      <w:r>
        <w:rPr>
          <w:rFonts w:ascii="Arial" w:hAnsi="Arial"/>
          <w:b/>
          <w:color w:val="113366"/>
          <w:sz w:val="25"/>
        </w:rPr>
        <w:t>Objetivo.</w:t>
      </w:r>
    </w:p>
    <w:p>
      <w:pPr>
        <w:spacing w:after="80" w:line="276" w:lineRule="auto"/>
      </w:pPr>
      <w:r>
        <w:rPr>
          <w:rFonts w:ascii="Arial" w:hAnsi="Arial"/>
          <w:sz w:val="22"/>
        </w:rPr>
        <w:t>Evaluar la eficacia operativa y calidad de ejecución de las cuadrillas y dependencias técnicas municipales.</w:t>
      </w:r>
    </w:p>
    <w:p>
      <w:pPr>
        <w:spacing w:before="160" w:after="80"/>
      </w:pPr>
      <w:r>
        <w:rPr>
          <w:rFonts w:ascii="Arial" w:hAnsi="Arial"/>
          <w:b/>
          <w:color w:val="113366"/>
          <w:sz w:val="25"/>
        </w:rPr>
        <w:t>2. Definición Caso de Uso</w:t>
      </w:r>
    </w:p>
    <w:p>
      <w:pPr>
        <w:spacing w:before="80" w:after="60"/>
      </w:pPr>
      <w:r>
        <w:rPr>
          <w:rFonts w:ascii="Arial" w:hAnsi="Arial"/>
          <w:b/>
          <w:color w:val="224477"/>
          <w:sz w:val="23"/>
        </w:rPr>
        <w:t>2.1 Actores.</w:t>
      </w:r>
    </w:p>
    <w:p>
      <w:pPr>
        <w:spacing w:after="40" w:line="276" w:lineRule="auto"/>
      </w:pPr>
      <w:r>
        <w:rPr>
          <w:rFonts w:ascii="Arial" w:hAnsi="Arial"/>
          <w:sz w:val="22"/>
        </w:rPr>
        <w:t>Administrador del Sistema o Funcionario Municipal llamaremos Usuario.</w:t>
      </w:r>
    </w:p>
    <w:p>
      <w:pPr>
        <w:spacing w:after="80" w:line="276" w:lineRule="auto"/>
      </w:pPr>
      <w:r>
        <w:rPr>
          <w:rFonts w:ascii="Arial" w:hAnsi="Arial"/>
          <w:sz w:val="22"/>
        </w:rPr>
        <w:t>Portal del Sistema de Gestión de Quejas de la Municipalidad llamaremos Sistema</w:t>
      </w:r>
    </w:p>
    <w:p>
      <w:pPr>
        <w:spacing w:before="120" w:after="60"/>
      </w:pPr>
      <w:r>
        <w:rPr>
          <w:rFonts w:ascii="Arial" w:hAnsi="Arial"/>
          <w:b/>
          <w:color w:val="224477"/>
          <w:sz w:val="23"/>
        </w:rPr>
        <w:t>2.2 Precondiciones.</w:t>
      </w:r>
    </w:p>
    <w:p>
      <w:pPr>
        <w:spacing w:after="40" w:line="276" w:lineRule="auto"/>
        <w:ind w:left="288"/>
      </w:pPr>
      <w:r>
        <w:rPr>
          <w:rFonts w:ascii="Arial" w:hAnsi="Arial"/>
          <w:sz w:val="22"/>
        </w:rPr>
        <w:t>• El usuario se encuentra autenticado con rol de Administrador o Funcionario Municipal.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2.3 Flujo Normal Básico</w:t>
      </w:r>
    </w:p>
    <w:p>
      <w:pPr>
        <w:spacing w:after="50" w:line="276" w:lineRule="auto"/>
      </w:pPr>
      <w:r>
        <w:rPr>
          <w:rFonts w:ascii="Arial" w:hAnsi="Arial"/>
          <w:sz w:val="22"/>
        </w:rPr>
        <w:t>El usuario ingresa al menú “Reportes” y selecciona “Rendimiento de Cuadrillas y Especialistas”.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muestra la pantalla de parámetros de evaluación: (RN28, RN29)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Dependencia / Especialidad Técnica (Lista: Todas, Bacheo y Vialidad, Alumbrado Eléctrico, Drenajes y Alcantarillado, Limpieza y Desechos, Ornato y Parques)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Especialista / Jefe de Cuadrilla Específico (Lista desplegable o Todos)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Rango de Fechas (Fecha Desde y Fecha Hasta) (RN28)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Botón Generar Evaluación (FA01, FA02)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Botones Exportar PDF y Excel (FA03, FA04)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usuario selecciona la dependencia, especialista (opcional) y el rango de fechas.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usuario presiona el botón Generar Evaluación. (FA01, FA02)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valida los parámetros y calcula los Indicadores Clave de Rendimiento (KPIs): (RN29)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Total de Órdenes de Trabajo Asignadas en el período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Total de Reparaciones Concluidas con visto bueno del inspector (RN22)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Tasa de Conformidad en Primera Inspección (% de obras aprobadas sin re-trabajo) (RN23, RN29)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Cantidad de órdenes devueltas a re-trabajo por deficiencias técnicas (RN23)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Tiempo Promedio de Solución Técnica (Horas/Días desde la asignación hasta el informe) (RN29)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despliega la tabla comparativa por cuadrilla y especialista con los indicadores calculados.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usuario presiona el botón Exportar PDF o Exportar Excel. (FA03, FA04)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genera y descarga el informe oficial con las métricas consolidadas.</w:t>
      </w:r>
    </w:p>
    <w:p>
      <w:pPr>
        <w:spacing w:after="50" w:line="276" w:lineRule="auto" w:before="80"/>
      </w:pPr>
      <w:r>
        <w:rPr>
          <w:rFonts w:ascii="Arial" w:hAnsi="Arial"/>
          <w:b/>
          <w:color w:val="005599"/>
          <w:sz w:val="22"/>
        </w:rPr>
        <w:t>Fin de caso de uso.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2.4 Flujos Alternos.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FA01: Rango de fechas no válido: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muestra el mensaje de error: “La fecha final debe ser posterior a la fecha de inicio.”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El sistema retorna al paso 3 del Flujo Normal Básico.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FA02: Sin actividades registradas para la cuadrilla: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muestra el mensaje: “No se registran órdenes de trabajo atendidas por la cuadrilla en el período seleccionado.”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El sistema retorna al paso 3 del Flujo Normal Básico.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FA03: Exportar a PDF: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genera el documento PDF institucional con los gráficos de rendimiento y tablas de KPIs.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FA04: Exportar a Excel (.xlsx):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genera el archivo de hoja de cálculo con las métricas desglosadas por cuadrilla.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2.5 Poscondiciones.</w:t>
      </w:r>
    </w:p>
    <w:p>
      <w:pPr>
        <w:spacing w:after="40" w:line="276" w:lineRule="auto"/>
        <w:ind w:left="288"/>
      </w:pPr>
      <w:r>
        <w:rPr>
          <w:rFonts w:ascii="Arial" w:hAnsi="Arial"/>
          <w:sz w:val="22"/>
        </w:rPr>
        <w:t>• El usuario visualiza las métricas de rendimiento y calidad o descarga el reporte consolidado.</w:t>
      </w:r>
    </w:p>
    <w:p>
      <w:pPr>
        <w:spacing w:before="160" w:after="60"/>
      </w:pPr>
      <w:r>
        <w:rPr>
          <w:rFonts w:ascii="Arial" w:hAnsi="Arial"/>
          <w:b/>
          <w:color w:val="113366"/>
          <w:sz w:val="25"/>
        </w:rPr>
        <w:t>3. Requerimientos Suplementarios o no Funcionales</w:t>
      </w:r>
    </w:p>
    <w:p>
      <w:pPr>
        <w:spacing w:after="50" w:line="276" w:lineRule="auto"/>
        <w:ind w:left="288"/>
      </w:pPr>
      <w:r>
        <w:rPr>
          <w:rFonts w:ascii="Arial" w:hAnsi="Arial"/>
          <w:sz w:val="22"/>
        </w:rPr>
        <w:t>• Cálculo automatizado de KPIs en tiempo real.</w:t>
      </w:r>
    </w:p>
    <w:p>
      <w:pPr>
        <w:spacing w:before="160" w:after="80"/>
      </w:pPr>
      <w:r>
        <w:rPr>
          <w:rFonts w:ascii="Arial" w:hAnsi="Arial"/>
          <w:b/>
          <w:color w:val="113366"/>
          <w:sz w:val="25"/>
        </w:rPr>
        <w:t>4. Firmas Necesarias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Persona</w:t>
            </w:r>
          </w:p>
        </w:tc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Sector</w:t>
            </w:r>
          </w:p>
        </w:tc>
        <w:tc>
          <w:tcPr>
            <w:tcW w:type="dxa" w:w="2592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Firma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13366"/>
          <w:sz w:val="25"/>
        </w:rPr>
        <w:t>Anexos: Reglas de Negocio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RN22 - Dictamen de Conformidad: </w:t>
      </w:r>
      <w:r>
        <w:rPr>
          <w:rFonts w:ascii="Arial" w:hAnsi="Arial"/>
          <w:sz w:val="21"/>
        </w:rPr>
        <w:t>Cómputo de aprobaciones definitivas de obra.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RN23 - Protocolo de Re-trabajo: </w:t>
      </w:r>
      <w:r>
        <w:rPr>
          <w:rFonts w:ascii="Arial" w:hAnsi="Arial"/>
          <w:sz w:val="21"/>
        </w:rPr>
        <w:t>Registro de devoluciones técnicas por no conformidad.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RN28 - Estándar de Reportería: </w:t>
      </w:r>
      <w:r>
        <w:rPr>
          <w:rFonts w:ascii="Arial" w:hAnsi="Arial"/>
          <w:sz w:val="21"/>
        </w:rPr>
        <w:t>Exportación en PDF y Excel.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RN29 - Cálculo de Métricas y KPIs: </w:t>
      </w:r>
      <w:r>
        <w:rPr>
          <w:rFonts w:ascii="Arial" w:hAnsi="Arial"/>
          <w:sz w:val="21"/>
        </w:rPr>
        <w:t>Tiempo medio de respuesta y porcentaje de eficacia en primera inspección.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