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  <w:r>
        <w:rPr>
          <w:rFonts w:ascii="Arial" w:hAnsi="Arial"/>
          <w:b/>
          <w:color w:val="113366"/>
          <w:sz w:val="25"/>
        </w:rPr>
        <w:t>1. Introducción.</w:t>
      </w:r>
    </w:p>
    <w:p>
      <w:pPr>
        <w:spacing w:after="80" w:line="276" w:lineRule="auto"/>
      </w:pPr>
      <w:r>
        <w:rPr>
          <w:rFonts w:ascii="Arial" w:hAnsi="Arial"/>
          <w:sz w:val="22"/>
        </w:rPr>
        <w:t>El presente caso de uso describe los pasos requeridos para que un Funcionario Municipal evalúe la procedencia y admisibilidad de una queja recién registrada, analice la concentración de quejas similares en la misma categoría y proximidad para establecer la prioridad por demanda, y en una misma acción asigne el caso a un inspector de campo disponible (o proceda al rechazo formal y justificado si no compete al municipio).</w:t>
      </w:r>
    </w:p>
    <w:p>
      <w:pPr>
        <w:spacing w:before="120" w:after="60"/>
      </w:pPr>
      <w:r>
        <w:rPr>
          <w:rFonts w:ascii="Arial" w:hAnsi="Arial"/>
          <w:b/>
          <w:color w:val="113366"/>
          <w:sz w:val="25"/>
        </w:rPr>
        <w:t>Objetivo.</w:t>
      </w:r>
    </w:p>
    <w:p>
      <w:pPr>
        <w:spacing w:after="80" w:line="276" w:lineRule="auto"/>
      </w:pPr>
      <w:r>
        <w:t>Validar la competencia municipal de la queja, calcular la prioridad por volumen de demanda comunitaria y asignar al inspector de campo disponible (o rechazar justificadamente).</w:t>
      </w:r>
    </w:p>
    <w:p>
      <w:pPr>
        <w:spacing w:before="160" w:after="80"/>
      </w:pPr>
      <w:r>
        <w:rPr>
          <w:rFonts w:ascii="Arial" w:hAnsi="Arial"/>
          <w:b/>
          <w:color w:val="113366"/>
          <w:sz w:val="25"/>
        </w:rPr>
        <w:t>2. Definición Caso de Uso</w:t>
      </w:r>
    </w:p>
    <w:p>
      <w:pPr>
        <w:spacing w:before="80" w:after="60"/>
      </w:pPr>
      <w:r>
        <w:rPr>
          <w:rFonts w:ascii="Arial" w:hAnsi="Arial"/>
          <w:b/>
          <w:color w:val="224477"/>
          <w:sz w:val="23"/>
        </w:rPr>
        <w:t>2.1 Actores.</w:t>
      </w:r>
    </w:p>
    <w:p>
      <w:pPr>
        <w:spacing w:after="40" w:line="276" w:lineRule="auto"/>
      </w:pPr>
      <w:r>
        <w:rPr>
          <w:rFonts w:ascii="Arial" w:hAnsi="Arial"/>
          <w:sz w:val="22"/>
        </w:rPr>
        <w:t>Funcionario Municipal llamaremos Usuario.</w:t>
      </w:r>
    </w:p>
    <w:p>
      <w:pPr>
        <w:spacing w:after="80" w:line="276" w:lineRule="auto"/>
      </w:pPr>
      <w:r>
        <w:rPr>
          <w:rFonts w:ascii="Arial" w:hAnsi="Arial"/>
          <w:sz w:val="22"/>
        </w:rPr>
        <w:t>Portal del Sistema de Gestión de Quejas de la Municipalidad llamaremos Sistema</w:t>
      </w:r>
    </w:p>
    <w:p>
      <w:pPr>
        <w:spacing w:before="120" w:after="60"/>
      </w:pPr>
      <w:r>
        <w:rPr>
          <w:rFonts w:ascii="Arial" w:hAnsi="Arial"/>
          <w:b/>
          <w:color w:val="224477"/>
          <w:sz w:val="23"/>
        </w:rPr>
        <w:t>2.2 Precondiciones.</w:t>
      </w:r>
    </w:p>
    <w:p>
      <w:pPr>
        <w:spacing w:after="40" w:line="276" w:lineRule="auto"/>
        <w:ind w:left="288"/>
      </w:pPr>
      <w:r>
        <w:rPr>
          <w:rFonts w:ascii="Arial" w:hAnsi="Arial"/>
          <w:sz w:val="22"/>
        </w:rPr>
        <w:t>• El funcionario se encuentra autenticado en el sistema. (RN13)</w:t>
      </w:r>
    </w:p>
    <w:p>
      <w:pPr>
        <w:spacing w:after="40" w:line="276" w:lineRule="auto"/>
        <w:ind w:left="288"/>
      </w:pPr>
      <w:r>
        <w:rPr>
          <w:rFonts w:ascii="Arial" w:hAnsi="Arial"/>
          <w:sz w:val="22"/>
        </w:rPr>
        <w:t>• Existen quejas en estado “REGISTRADA”.</w:t>
      </w:r>
    </w:p>
    <w:p>
      <w:pPr>
        <w:spacing w:before="160" w:after="60"/>
      </w:pPr>
      <w:r>
        <w:rPr>
          <w:rFonts w:ascii="Arial" w:hAnsi="Arial"/>
          <w:b/>
          <w:color w:val="224477"/>
          <w:sz w:val="23"/>
        </w:rPr>
        <w:t>2.3 Flujo Normal Básico</w:t>
      </w:r>
    </w:p>
    <w:p>
      <w:pPr>
        <w:spacing w:after="50" w:line="276" w:lineRule="auto"/>
      </w:pPr>
      <w:r>
        <w:rPr>
          <w:rFonts w:ascii="Arial" w:hAnsi="Arial"/>
          <w:sz w:val="22"/>
        </w:rPr>
        <w:t>El funcionario accede a la bandeja de quejas entrantes y selecciona una queja con estado “REGISTRADA”.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muestra la ficha de evaluación de la queja con los siguientes datos y opciones: (RN07, RN08, RN14)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Datos de la queja (Correlativo, Ciudadano, Categoría, Dirección exacta, Descripción y Fotos)</w:t>
      </w:r>
    </w:p>
    <w:p>
      <w:pPr>
        <w:spacing w:after="50" w:line="276" w:lineRule="auto"/>
        <w:ind w:left="432"/>
      </w:pPr>
      <w:r>
        <w:t>- Panel de Carga por Demanda: Cantidad de quejas similares reportadas en la misma categoría y proximidad geográfica en los últimos 30 días y nivel de prioridad sugerido por el sistema (Baja, Media, Alta, Urgente) (RN14)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Campo de Nivel de Prioridad Confirmado (Lista: Baja, Media, Alta, Urgente) (RN14)</w:t>
      </w:r>
    </w:p>
    <w:p>
      <w:pPr>
        <w:spacing w:after="50" w:line="276" w:lineRule="auto"/>
        <w:ind w:left="432"/>
      </w:pPr>
      <w:r>
        <w:t>- Lista desplegable de Inspectores de Campo disponibles (RN15)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Campo Instrucciones / Observaciones para el inspector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Botón Asignar Inspector (FA01)</w:t>
      </w:r>
    </w:p>
    <w:p>
      <w:pPr>
        <w:spacing w:after="50" w:line="276" w:lineRule="auto"/>
        <w:ind w:left="432"/>
      </w:pPr>
      <w:r>
        <w:rPr>
          <w:rFonts w:ascii="Arial" w:hAnsi="Arial"/>
          <w:sz w:val="21"/>
        </w:rPr>
        <w:t>- Botón Rechazar Queja (FA02)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funcionario verifica que el problema corresponda a una de las categorías municipales delimitadas y proceda técnicamente. (RN07)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funcionario confirma o ajusta el nivel de prioridad por demanda. (RN14)</w:t>
      </w:r>
    </w:p>
    <w:p>
      <w:pPr>
        <w:spacing w:after="50" w:line="276" w:lineRule="auto"/>
      </w:pPr>
      <w:r>
        <w:t>El funcionario selecciona al inspector de campo disponible. (RN15, FA03)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funcionario ingresa las instrucciones u observaciones para la visita de campo.</w:t>
      </w:r>
    </w:p>
    <w:p>
      <w:pPr>
        <w:spacing w:after="50" w:line="276" w:lineRule="auto"/>
      </w:pPr>
      <w:r>
        <w:rPr>
          <w:rFonts w:ascii="Arial" w:hAnsi="Arial"/>
          <w:sz w:val="22"/>
        </w:rPr>
        <w:t>El funcionario presiona el botón Asignar Inspector. (FA01)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actualiza el estado de la queja a “EN INSPECCIÓN”.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asigna la queja al inspector seleccionado y registra la prioridad en el expediente.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genera una notificación interna dirigida a la bandeja de trabajo del inspector.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registra la acción en la bitácora de auditoría con fecha, hora y funcionario responsable. (RN30)</w:t>
      </w:r>
    </w:p>
    <w:p>
      <w:pPr>
        <w:spacing w:after="50" w:line="276" w:lineRule="auto"/>
      </w:pPr>
      <w:r>
        <w:rPr>
          <w:rFonts w:ascii="Arial" w:hAnsi="Arial"/>
          <w:sz w:val="22"/>
        </w:rPr>
        <w:t>El sistema muestra el mensaje: “La queja QUE-2026-XXXX ha sido asignada exitosamente al inspector.”</w:t>
      </w:r>
    </w:p>
    <w:p>
      <w:pPr>
        <w:spacing w:after="50" w:line="276" w:lineRule="auto" w:before="80"/>
      </w:pPr>
      <w:r>
        <w:rPr>
          <w:rFonts w:ascii="Arial" w:hAnsi="Arial"/>
          <w:b/>
          <w:color w:val="005599"/>
          <w:sz w:val="22"/>
        </w:rPr>
        <w:t>Fin de caso de uso.</w:t>
      </w:r>
    </w:p>
    <w:p>
      <w:pPr>
        <w:spacing w:before="160" w:after="60"/>
      </w:pPr>
      <w:r>
        <w:rPr>
          <w:rFonts w:ascii="Arial" w:hAnsi="Arial"/>
          <w:b/>
          <w:color w:val="224477"/>
          <w:sz w:val="23"/>
        </w:rPr>
        <w:t>2.4 Flujos Alternos.</w:t>
      </w:r>
    </w:p>
    <w:p>
      <w:pPr>
        <w:spacing w:before="80" w:after="40"/>
      </w:pPr>
      <w:r>
        <w:rPr>
          <w:rFonts w:ascii="Arial" w:hAnsi="Arial"/>
          <w:b/>
          <w:color w:val="992222"/>
          <w:sz w:val="22"/>
        </w:rPr>
        <w:t>FA01: Campos obligatorios de asignación vacíos: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muestra el mensaje de advertencia: “Debe seleccionar un inspector de campo y confirmar el nivel de prioridad.”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El sistema retorna al paso 4 del Flujo Normal Básico.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Fin del flujo alterno.</w:t>
      </w:r>
    </w:p>
    <w:p>
      <w:pPr>
        <w:spacing w:before="80" w:after="40"/>
      </w:pPr>
      <w:r>
        <w:rPr>
          <w:rFonts w:ascii="Arial" w:hAnsi="Arial"/>
          <w:b/>
          <w:color w:val="992222"/>
          <w:sz w:val="22"/>
        </w:rPr>
        <w:t>FA02: La queja No Procede / Fuera de Competencia Municipal (Rechazo formal):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funcionario presiona el botón “Rechazar Queja”.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muestra una ventana modal solicitando la justificación formal del descarte: Motivo del rechazo (Lista: Fuera de jurisdicción, Información falsa/insuficiente, Problema privado no municipal, Duplicidad) y Descripción detallada del rechazo (Obligatorio) (RN16).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funcionario selecciona el motivo, ingresa la justificación y presiona Confirmar Rechazo.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valida que la justificación no esté vacía. (RN16)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actualiza el estado de la queja a “RECHAZADA”.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cierra el expediente y envía una notificación formal al ciudadano con el motivo del rechazo.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registra el cierre por rechazo en la bitácora de auditoría. (RN30)</w:t>
      </w:r>
    </w:p>
    <w:p>
      <w:pPr>
        <w:spacing w:after="40" w:line="276" w:lineRule="auto"/>
        <w:ind w:left="288"/>
      </w:pPr>
      <w:r>
        <w:rPr>
          <w:rFonts w:ascii="Arial" w:hAnsi="Arial"/>
          <w:sz w:val="21"/>
        </w:rPr>
        <w:t>El sistema muestra el mensaje: “La queja ha sido rechazada y notificada formalmente al ciudadano.”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Fin del caso de uso.</w:t>
      </w:r>
    </w:p>
    <w:p>
      <w:pPr>
        <w:spacing w:before="80" w:after="40"/>
      </w:pPr>
      <w:r>
        <w:t>FA03: No hay inspectores disponibles:</w:t>
      </w:r>
    </w:p>
    <w:p>
      <w:pPr>
        <w:spacing w:after="40" w:line="276" w:lineRule="auto"/>
        <w:ind w:left="288"/>
      </w:pPr>
      <w:r>
        <w:t>El sistema muestra una alerta indicando que no hay inspectores activos disponibles.</w:t>
      </w:r>
    </w:p>
    <w:p>
      <w:pPr>
        <w:spacing w:after="40" w:line="276" w:lineRule="auto"/>
        <w:ind w:left="288"/>
      </w:pPr>
      <w:r>
        <w:t>El sistema coloca el caso en cola de espera de inspección hasta que un inspector esté disponible.</w:t>
      </w:r>
    </w:p>
    <w:p>
      <w:pPr>
        <w:spacing w:after="40" w:line="276" w:lineRule="auto"/>
        <w:ind w:left="288"/>
      </w:pPr>
      <w:r>
        <w:rPr>
          <w:rFonts w:ascii="Arial" w:hAnsi="Arial"/>
          <w:i/>
          <w:sz w:val="21"/>
        </w:rPr>
        <w:t>Fin del flujo alterno.</w:t>
      </w:r>
    </w:p>
    <w:p>
      <w:pPr>
        <w:spacing w:before="160" w:after="60"/>
      </w:pPr>
      <w:r>
        <w:rPr>
          <w:rFonts w:ascii="Arial" w:hAnsi="Arial"/>
          <w:b/>
          <w:color w:val="224477"/>
          <w:sz w:val="23"/>
        </w:rPr>
        <w:t>2.5 Poscondiciones.</w:t>
      </w:r>
    </w:p>
    <w:p>
      <w:pPr>
        <w:spacing w:after="40" w:line="276" w:lineRule="auto"/>
        <w:ind w:left="288"/>
      </w:pPr>
      <w:r>
        <w:rPr>
          <w:rFonts w:ascii="Arial" w:hAnsi="Arial"/>
          <w:sz w:val="22"/>
        </w:rPr>
        <w:t>• La queja cambia su estado a “EN INSPECCIÓN” con inspector y prioridad asignada, o pasa a estado “RECHAZADA” con expediente cerrado.</w:t>
      </w:r>
    </w:p>
    <w:p>
      <w:pPr>
        <w:spacing w:before="160" w:after="60"/>
      </w:pPr>
      <w:r>
        <w:rPr>
          <w:rFonts w:ascii="Arial" w:hAnsi="Arial"/>
          <w:b/>
          <w:color w:val="113366"/>
          <w:sz w:val="25"/>
        </w:rPr>
        <w:t>3. Requerimientos Suplementarios o no Funcionales</w:t>
      </w:r>
    </w:p>
    <w:p>
      <w:pPr>
        <w:spacing w:after="50" w:line="276" w:lineRule="auto"/>
        <w:ind w:left="288"/>
      </w:pPr>
      <w:r>
        <w:rPr>
          <w:rFonts w:ascii="Arial" w:hAnsi="Arial"/>
          <w:sz w:val="22"/>
        </w:rPr>
        <w:t>• El cálculo de demandas similares por proximidad geográfica debe ejecutarse en menos de 1 segundo mediante índices espaciales en la base de datos.</w:t>
      </w:r>
    </w:p>
    <w:p>
      <w:pPr>
        <w:spacing w:before="160" w:after="80"/>
      </w:pPr>
      <w:r>
        <w:rPr>
          <w:rFonts w:ascii="Arial" w:hAnsi="Arial"/>
          <w:b/>
          <w:color w:val="113366"/>
          <w:sz w:val="25"/>
        </w:rPr>
        <w:t>4. Firmas Necesarias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fill="F0F4F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13366"/>
                <w:sz w:val="20"/>
              </w:rPr>
              <w:t>Persona</w:t>
            </w:r>
          </w:p>
        </w:tc>
        <w:tc>
          <w:tcPr>
            <w:tcW w:type="dxa" w:w="3168"/>
            <w:shd w:fill="F0F4F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13366"/>
                <w:sz w:val="20"/>
              </w:rPr>
              <w:t>Sector</w:t>
            </w:r>
          </w:p>
        </w:tc>
        <w:tc>
          <w:tcPr>
            <w:tcW w:type="dxa" w:w="2592"/>
            <w:shd w:fill="F0F4F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113366"/>
                <w:sz w:val="20"/>
              </w:rPr>
              <w:t>Firma</w:t>
            </w:r>
          </w:p>
        </w:tc>
      </w:tr>
      <w:tr>
        <w:tc>
          <w:tcPr>
            <w:tcW w:type="dxa" w:w="360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316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2592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</w:tr>
      <w:tr>
        <w:tc>
          <w:tcPr>
            <w:tcW w:type="dxa" w:w="360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316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2592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</w:tr>
      <w:tr>
        <w:tc>
          <w:tcPr>
            <w:tcW w:type="dxa" w:w="3600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3168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  <w:tc>
          <w:tcPr>
            <w:tcW w:type="dxa" w:w="2592"/>
            <w:tcBorders>
              <w:top w:val="single" w:sz="4" w:space="0" w:color="CCCCCC"/>
              <w:bottom w:val="single" w:sz="4" w:space="0" w:color="CCCCCC"/>
              <w:left w:val="single" w:sz="4" w:space="0" w:color="CCCCCC"/>
              <w:right w:val="single" w:sz="4" w:space="0" w:color="CCCCCC"/>
            </w:tcBorders>
          </w:tcPr>
          <w:p/>
        </w:tc>
      </w:tr>
    </w:tbl>
    <w:p>
      <w:pPr>
        <w:spacing w:after="80"/>
      </w:pPr>
    </w:p>
    <w:p>
      <w:pPr>
        <w:spacing w:before="160" w:after="60"/>
      </w:pPr>
      <w:r>
        <w:rPr>
          <w:rFonts w:ascii="Arial" w:hAnsi="Arial"/>
          <w:b/>
          <w:color w:val="113366"/>
          <w:sz w:val="25"/>
        </w:rPr>
        <w:t>Anexos: Reglas de Negocio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 xml:space="preserve">RN07 - Categorías Soportadas: </w:t>
      </w:r>
      <w:r>
        <w:rPr>
          <w:rFonts w:ascii="Arial" w:hAnsi="Arial"/>
          <w:sz w:val="21"/>
        </w:rPr>
        <w:t>Verificación estricta de las 5 competencias municipales autorizadas.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>RN14 - Priorización por Demanda Comunitaria: Cálculo de prioridad basado en volumen de reportes en la misma categoría y proximidad geográfica.</w:t>
      </w:r>
      <w:r>
        <w:rPr>
          <w:rFonts w:ascii="Arial" w:hAnsi="Arial"/>
          <w:sz w:val="21"/>
        </w:rPr>
      </w:r>
    </w:p>
    <w:p>
      <w:pPr>
        <w:spacing w:after="50" w:line="276" w:lineRule="auto"/>
        <w:ind w:left="288"/>
      </w:pPr>
      <w:r>
        <w:t>RN15 - Asignación de Inspectores: Asignación por disponibilidad y carga de trabajo.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 xml:space="preserve">RN16 - Justificación Obligatoria de Rechazo: </w:t>
      </w:r>
      <w:r>
        <w:rPr>
          <w:rFonts w:ascii="Arial" w:hAnsi="Arial"/>
          <w:sz w:val="21"/>
        </w:rPr>
        <w:t>Explicación formal obligatoria en caso de no procedencia.</w:t>
      </w:r>
    </w:p>
    <w:p>
      <w:pPr>
        <w:spacing w:after="50" w:line="276" w:lineRule="auto"/>
        <w:ind w:left="288"/>
      </w:pPr>
      <w:r>
        <w:rPr>
          <w:rFonts w:ascii="Arial" w:hAnsi="Arial"/>
          <w:b/>
          <w:color w:val="005599"/>
          <w:sz w:val="21"/>
        </w:rPr>
        <w:t xml:space="preserve">RN30 - Bitácora de Auditoría: </w:t>
      </w:r>
      <w:r>
        <w:rPr>
          <w:rFonts w:ascii="Arial" w:hAnsi="Arial"/>
          <w:sz w:val="21"/>
        </w:rPr>
        <w:t>Registro inmutable del cambio de estado y asignación.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3333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