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color w:val="113366"/>
          <w:sz w:val="25"/>
        </w:rPr>
        <w:t>1. Introducción.</w:t>
      </w:r>
    </w:p>
    <w:p>
      <w:pPr>
        <w:spacing w:after="80" w:line="276" w:lineRule="auto"/>
      </w:pPr>
      <w:r>
        <w:rPr>
          <w:rFonts w:ascii="Arial" w:hAnsi="Arial"/>
          <w:sz w:val="22"/>
        </w:rPr>
        <w:t>El presente caso de uso describe los pasos para que un Inspector de Campo efectúe una segunda visita presencial de auditoría al sitio del incidente tras la intervención de la cuadrilla técnica, verifique la calidad del trabajo ejecutado y emita el dictamen de conformidad (Fase 2 del expediente) con su visto bueno para el cierre administrativo (o devuelva a re-trabajo si no cumple).</w:t>
      </w:r>
    </w:p>
    <w:p>
      <w:pPr>
        <w:spacing w:before="120" w:after="60"/>
      </w:pPr>
      <w:r>
        <w:rPr>
          <w:rFonts w:ascii="Arial" w:hAnsi="Arial"/>
          <w:b/>
          <w:color w:val="113366"/>
          <w:sz w:val="25"/>
        </w:rPr>
        <w:t>Objetivo.</w:t>
      </w:r>
    </w:p>
    <w:p>
      <w:pPr>
        <w:spacing w:after="80" w:line="276" w:lineRule="auto"/>
      </w:pPr>
      <w:r>
        <w:rPr>
          <w:rFonts w:ascii="Arial" w:hAnsi="Arial"/>
          <w:sz w:val="22"/>
        </w:rPr>
        <w:t>Auditar la calidad técnica de las reparaciones ejecutadas y emitir el dictamen formal de conformidad (Fase 2 del expediente).</w:t>
      </w:r>
    </w:p>
    <w:p>
      <w:pPr>
        <w:spacing w:before="160" w:after="80"/>
      </w:pPr>
      <w:r>
        <w:rPr>
          <w:rFonts w:ascii="Arial" w:hAnsi="Arial"/>
          <w:b/>
          <w:color w:val="113366"/>
          <w:sz w:val="25"/>
        </w:rPr>
        <w:t>2. Definición Caso de Uso</w:t>
      </w:r>
    </w:p>
    <w:p>
      <w:pPr>
        <w:spacing w:before="80" w:after="60"/>
      </w:pPr>
      <w:r>
        <w:rPr>
          <w:rFonts w:ascii="Arial" w:hAnsi="Arial"/>
          <w:b/>
          <w:color w:val="224477"/>
          <w:sz w:val="23"/>
        </w:rPr>
        <w:t>2.1 Actores.</w:t>
      </w:r>
    </w:p>
    <w:p>
      <w:pPr>
        <w:spacing w:after="40" w:line="276" w:lineRule="auto"/>
      </w:pPr>
      <w:r>
        <w:rPr>
          <w:rFonts w:ascii="Arial" w:hAnsi="Arial"/>
          <w:sz w:val="22"/>
        </w:rPr>
        <w:t>Inspector de Campo llamaremos Usuario.</w:t>
      </w:r>
    </w:p>
    <w:p>
      <w:pPr>
        <w:spacing w:after="80" w:line="276" w:lineRule="auto"/>
      </w:pPr>
      <w:r>
        <w:rPr>
          <w:rFonts w:ascii="Arial" w:hAnsi="Arial"/>
          <w:sz w:val="22"/>
        </w:rPr>
        <w:t>Portal del Sistema de Gestión de Quejas de la Municipalidad llamaremos Sistema</w:t>
      </w:r>
    </w:p>
    <w:p>
      <w:pPr>
        <w:spacing w:before="120" w:after="60"/>
      </w:pPr>
      <w:r>
        <w:rPr>
          <w:rFonts w:ascii="Arial" w:hAnsi="Arial"/>
          <w:b/>
          <w:color w:val="224477"/>
          <w:sz w:val="23"/>
        </w:rPr>
        <w:t>2.2 Precondiciones.</w:t>
      </w:r>
    </w:p>
    <w:p>
      <w:pPr>
        <w:spacing w:after="40" w:line="276" w:lineRule="auto"/>
        <w:ind w:left="288"/>
      </w:pPr>
      <w:r>
        <w:rPr>
          <w:rFonts w:ascii="Arial" w:hAnsi="Arial"/>
          <w:sz w:val="22"/>
        </w:rPr>
        <w:t>• El inspector se encuentra autenticado en el sistema.</w:t>
      </w:r>
    </w:p>
    <w:p>
      <w:pPr>
        <w:spacing w:after="40" w:line="276" w:lineRule="auto"/>
        <w:ind w:left="288"/>
      </w:pPr>
      <w:r>
        <w:rPr>
          <w:rFonts w:ascii="Arial" w:hAnsi="Arial"/>
          <w:sz w:val="22"/>
        </w:rPr>
        <w:t>• La queja se encuentra en estado “EN VALIDACIÓN DE REPARACIÓN” con informe de solución registrado por la cuadrilla. (RN18, RN25)</w:t>
      </w:r>
    </w:p>
    <w:p>
      <w:pPr>
        <w:spacing w:before="160" w:after="60"/>
      </w:pPr>
      <w:r>
        <w:rPr>
          <w:rFonts w:ascii="Arial" w:hAnsi="Arial"/>
          <w:b/>
          <w:color w:val="224477"/>
          <w:sz w:val="23"/>
        </w:rPr>
        <w:t>2.3 Flujo Normal Básico</w:t>
      </w:r>
    </w:p>
    <w:p>
      <w:pPr>
        <w:spacing w:after="50" w:line="276" w:lineRule="auto"/>
      </w:pPr>
      <w:r>
        <w:rPr>
          <w:rFonts w:ascii="Arial" w:hAnsi="Arial"/>
          <w:sz w:val="22"/>
        </w:rPr>
        <w:t>El inspector ingresa a la pestaña “Validación de Reparación” y selecciona una queja con estado “EN VALIDACIÓN DE REPARACIÓN”.</w:t>
      </w:r>
    </w:p>
    <w:p>
      <w:pPr>
        <w:spacing w:after="50" w:line="276" w:lineRule="auto"/>
      </w:pPr>
      <w:r>
        <w:rPr>
          <w:rFonts w:ascii="Arial" w:hAnsi="Arial"/>
          <w:sz w:val="22"/>
        </w:rPr>
        <w:t>El sistema muestra el expediente técnico comparativo: (RN20, RN25)</w:t>
      </w:r>
    </w:p>
    <w:p>
      <w:pPr>
        <w:spacing w:after="50" w:line="276" w:lineRule="auto"/>
        <w:ind w:left="432"/>
      </w:pPr>
      <w:r>
        <w:rPr>
          <w:rFonts w:ascii="Arial" w:hAnsi="Arial"/>
          <w:sz w:val="21"/>
        </w:rPr>
        <w:t>- Fotografías del daño inicial tomadas por el ciudadano e inspector</w:t>
      </w:r>
    </w:p>
    <w:p>
      <w:pPr>
        <w:spacing w:after="50" w:line="276" w:lineRule="auto"/>
        <w:ind w:left="432"/>
      </w:pPr>
      <w:r>
        <w:rPr>
          <w:rFonts w:ascii="Arial" w:hAnsi="Arial"/>
          <w:sz w:val="21"/>
        </w:rPr>
        <w:t>- Informe de solución técnica de la cuadrilla (materiales utilizados y fotos del trabajo concluido) (RN25)</w:t>
      </w:r>
    </w:p>
    <w:p>
      <w:pPr>
        <w:spacing w:after="50" w:line="276" w:lineRule="auto"/>
        <w:ind w:left="432"/>
      </w:pPr>
      <w:r>
        <w:rPr>
          <w:rFonts w:ascii="Arial" w:hAnsi="Arial"/>
          <w:sz w:val="21"/>
        </w:rPr>
        <w:t>- Formulario de Dictamen de Calidad (Fase 2 del Expediente) (RN22, RN23)</w:t>
      </w:r>
    </w:p>
    <w:p>
      <w:pPr>
        <w:spacing w:after="50" w:line="276" w:lineRule="auto"/>
        <w:ind w:left="432"/>
      </w:pPr>
      <w:r>
        <w:rPr>
          <w:rFonts w:ascii="Arial" w:hAnsi="Arial"/>
          <w:sz w:val="21"/>
        </w:rPr>
        <w:t>- Selección de Dictamen: “CONFORME / APROBADO” o “NO CONFORME / RECHAZO TÉCNICO” (RN22, RN23)</w:t>
      </w:r>
    </w:p>
    <w:p>
      <w:pPr>
        <w:spacing w:after="50" w:line="276" w:lineRule="auto"/>
        <w:ind w:left="432"/>
      </w:pPr>
      <w:r>
        <w:rPr>
          <w:rFonts w:ascii="Arial" w:hAnsi="Arial"/>
          <w:sz w:val="21"/>
        </w:rPr>
        <w:t>- Observaciones y Dictamen de Calidad (Mínimo 20 caracteres) (RN22)</w:t>
      </w:r>
    </w:p>
    <w:p>
      <w:pPr>
        <w:spacing w:after="50" w:line="276" w:lineRule="auto"/>
        <w:ind w:left="432"/>
      </w:pPr>
      <w:r>
        <w:rPr>
          <w:rFonts w:ascii="Arial" w:hAnsi="Arial"/>
          <w:sz w:val="21"/>
        </w:rPr>
        <w:t>- Carga de Fotografías de la Re-inspección Post-Obra (Mínimo 1 foto) (RN20)</w:t>
      </w:r>
    </w:p>
    <w:p>
      <w:pPr>
        <w:spacing w:after="50" w:line="276" w:lineRule="auto"/>
        <w:ind w:left="432"/>
      </w:pPr>
      <w:r>
        <w:rPr>
          <w:rFonts w:ascii="Arial" w:hAnsi="Arial"/>
          <w:sz w:val="21"/>
        </w:rPr>
        <w:t>- Botón Emitir Dictamen de Conformidad (FA01)</w:t>
      </w:r>
    </w:p>
    <w:p>
      <w:pPr>
        <w:spacing w:after="50" w:line="276" w:lineRule="auto"/>
      </w:pPr>
      <w:r>
        <w:rPr>
          <w:rFonts w:ascii="Arial" w:hAnsi="Arial"/>
          <w:sz w:val="22"/>
        </w:rPr>
        <w:t>El inspector realiza la inspección física en el lugar para verificar la solidez y acabado de la obra.</w:t>
      </w:r>
    </w:p>
    <w:p>
      <w:pPr>
        <w:spacing w:after="50" w:line="276" w:lineRule="auto"/>
      </w:pPr>
      <w:r>
        <w:rPr>
          <w:rFonts w:ascii="Arial" w:hAnsi="Arial"/>
          <w:sz w:val="22"/>
        </w:rPr>
        <w:t>El inspector selecciona el dictamen “CONFORME / APROBADO”. (RN22, FA02)</w:t>
      </w:r>
    </w:p>
    <w:p>
      <w:pPr>
        <w:spacing w:after="50" w:line="276" w:lineRule="auto"/>
      </w:pPr>
      <w:r>
        <w:rPr>
          <w:rFonts w:ascii="Arial" w:hAnsi="Arial"/>
          <w:sz w:val="22"/>
        </w:rPr>
        <w:t>El inspector redacta las observaciones técnicas de aprobación y visto bueno. (RN22)</w:t>
      </w:r>
    </w:p>
    <w:p>
      <w:pPr>
        <w:spacing w:after="50" w:line="276" w:lineRule="auto"/>
      </w:pPr>
      <w:r>
        <w:rPr>
          <w:rFonts w:ascii="Arial" w:hAnsi="Arial"/>
          <w:sz w:val="22"/>
        </w:rPr>
        <w:t>El inspector adjunta las fotografías tomadas durante la re-inspección post-reparación. (RN20)</w:t>
      </w:r>
    </w:p>
    <w:p>
      <w:pPr>
        <w:spacing w:after="50" w:line="276" w:lineRule="auto"/>
      </w:pPr>
      <w:r>
        <w:rPr>
          <w:rFonts w:ascii="Arial" w:hAnsi="Arial"/>
          <w:sz w:val="22"/>
        </w:rPr>
        <w:t>El inspector presiona el botón Emitir Dictamen de Conformidad. (FA01)</w:t>
      </w:r>
    </w:p>
    <w:p>
      <w:pPr>
        <w:spacing w:after="50" w:line="276" w:lineRule="auto"/>
      </w:pPr>
      <w:r>
        <w:rPr>
          <w:rFonts w:ascii="Arial" w:hAnsi="Arial"/>
          <w:sz w:val="22"/>
        </w:rPr>
        <w:t>El sistema valida que las observaciones y las fotos de respaldo estén completas. (RN01, RN20, RN22, FA01)</w:t>
      </w:r>
    </w:p>
    <w:p>
      <w:pPr>
        <w:spacing w:after="50" w:line="276" w:lineRule="auto"/>
      </w:pPr>
      <w:r>
        <w:rPr>
          <w:rFonts w:ascii="Arial" w:hAnsi="Arial"/>
          <w:sz w:val="22"/>
        </w:rPr>
        <w:t>El sistema almacena la Fase 2 del expediente técnico completando la carpeta digital de campo.</w:t>
      </w:r>
    </w:p>
    <w:p>
      <w:pPr>
        <w:spacing w:after="50" w:line="276" w:lineRule="auto"/>
      </w:pPr>
      <w:r>
        <w:rPr>
          <w:rFonts w:ascii="Arial" w:hAnsi="Arial"/>
          <w:sz w:val="22"/>
        </w:rPr>
        <w:t>El sistema actualiza el estado de la queja a “PENDIENTE DE CIERRE”.</w:t>
      </w:r>
    </w:p>
    <w:p>
      <w:pPr>
        <w:spacing w:after="50" w:line="276" w:lineRule="auto"/>
      </w:pPr>
      <w:r>
        <w:rPr>
          <w:rFonts w:ascii="Arial" w:hAnsi="Arial"/>
          <w:sz w:val="22"/>
        </w:rPr>
        <w:t>El sistema transfiere el expediente completo a la bandeja del Funcionario Municipal para su aprobación final.</w:t>
      </w:r>
    </w:p>
    <w:p>
      <w:pPr>
        <w:spacing w:after="50" w:line="276" w:lineRule="auto"/>
      </w:pPr>
      <w:r>
        <w:rPr>
          <w:rFonts w:ascii="Arial" w:hAnsi="Arial"/>
          <w:sz w:val="22"/>
        </w:rPr>
        <w:t>El sistema registra el visto bueno en la bitácora de auditoría. (RN30)</w:t>
      </w:r>
    </w:p>
    <w:p>
      <w:pPr>
        <w:spacing w:after="50" w:line="276" w:lineRule="auto"/>
      </w:pPr>
      <w:r>
        <w:rPr>
          <w:rFonts w:ascii="Arial" w:hAnsi="Arial"/>
          <w:sz w:val="22"/>
        </w:rPr>
        <w:t>El sistema muestra el mensaje: “El dictamen de conformidad ha sido emitido con éxito. El expediente pasa a PENDIENTE DE CIERRE.”</w:t>
      </w:r>
    </w:p>
    <w:p>
      <w:pPr>
        <w:spacing w:after="50" w:line="276" w:lineRule="auto" w:before="80"/>
      </w:pPr>
      <w:r>
        <w:rPr>
          <w:rFonts w:ascii="Arial" w:hAnsi="Arial"/>
          <w:b/>
          <w:color w:val="005599"/>
          <w:sz w:val="22"/>
        </w:rPr>
        <w:t>Fin de caso de uso.</w:t>
      </w:r>
    </w:p>
    <w:p>
      <w:pPr>
        <w:spacing w:before="160" w:after="60"/>
      </w:pPr>
      <w:r>
        <w:rPr>
          <w:rFonts w:ascii="Arial" w:hAnsi="Arial"/>
          <w:b/>
          <w:color w:val="224477"/>
          <w:sz w:val="23"/>
        </w:rPr>
        <w:t>2.4 Flujos Alternos.</w:t>
      </w:r>
    </w:p>
    <w:p>
      <w:pPr>
        <w:spacing w:before="80" w:after="40"/>
      </w:pPr>
      <w:r>
        <w:rPr>
          <w:rFonts w:ascii="Arial" w:hAnsi="Arial"/>
          <w:b/>
          <w:color w:val="992222"/>
          <w:sz w:val="22"/>
        </w:rPr>
        <w:t>FA01: Campos obligatorios incompletos:</w:t>
      </w:r>
    </w:p>
    <w:p>
      <w:pPr>
        <w:spacing w:after="40" w:line="276" w:lineRule="auto"/>
        <w:ind w:left="288"/>
      </w:pPr>
      <w:r>
        <w:rPr>
          <w:rFonts w:ascii="Arial" w:hAnsi="Arial"/>
          <w:sz w:val="21"/>
        </w:rPr>
        <w:t>El sistema muestra el mensaje: “Debe ingresar las observaciones técnicas y adjuntar al menos una fotografía de la re-inspección.”</w:t>
      </w:r>
    </w:p>
    <w:p>
      <w:pPr>
        <w:spacing w:after="40" w:line="276" w:lineRule="auto"/>
        <w:ind w:left="288"/>
      </w:pPr>
      <w:r>
        <w:rPr>
          <w:rFonts w:ascii="Arial" w:hAnsi="Arial"/>
          <w:i/>
          <w:sz w:val="21"/>
        </w:rPr>
        <w:t>El sistema retorna al paso 3 del Flujo Normal Básico.</w:t>
      </w:r>
    </w:p>
    <w:p>
      <w:pPr>
        <w:spacing w:after="40" w:line="276" w:lineRule="auto"/>
        <w:ind w:left="288"/>
      </w:pPr>
      <w:r>
        <w:rPr>
          <w:rFonts w:ascii="Arial" w:hAnsi="Arial"/>
          <w:i/>
          <w:sz w:val="21"/>
        </w:rPr>
        <w:t>Fin del flujo alterno.</w:t>
      </w:r>
    </w:p>
    <w:p>
      <w:pPr>
        <w:spacing w:before="80" w:after="40"/>
      </w:pPr>
      <w:r>
        <w:rPr>
          <w:rFonts w:ascii="Arial" w:hAnsi="Arial"/>
          <w:b/>
          <w:color w:val="992222"/>
          <w:sz w:val="22"/>
        </w:rPr>
        <w:t>FA02: Dictamen “NO CONFORME / RECHAZO TÉCNICO” (Obra defectuosa o incompleta):</w:t>
      </w:r>
    </w:p>
    <w:p>
      <w:pPr>
        <w:spacing w:after="40" w:line="276" w:lineRule="auto"/>
        <w:ind w:left="288"/>
      </w:pPr>
      <w:r>
        <w:rPr>
          <w:rFonts w:ascii="Arial" w:hAnsi="Arial"/>
          <w:sz w:val="21"/>
        </w:rPr>
        <w:t>El inspector selecciona el dictamen “NO CONFORME / RECHAZO TÉCNICO”. (RN23)</w:t>
      </w:r>
    </w:p>
    <w:p>
      <w:pPr>
        <w:spacing w:after="40" w:line="276" w:lineRule="auto"/>
        <w:ind w:left="288"/>
      </w:pPr>
      <w:r>
        <w:rPr>
          <w:rFonts w:ascii="Arial" w:hAnsi="Arial"/>
          <w:sz w:val="21"/>
        </w:rPr>
        <w:t>El sistema habilita los campos de no conformidad: Detalle de fallas técnicas y correcciones requeridas (Obligatorio) y Fotografías de las fallas detectadas en la obra (RN23).</w:t>
      </w:r>
    </w:p>
    <w:p>
      <w:pPr>
        <w:spacing w:after="40" w:line="276" w:lineRule="auto"/>
        <w:ind w:left="288"/>
      </w:pPr>
      <w:r>
        <w:rPr>
          <w:rFonts w:ascii="Arial" w:hAnsi="Arial"/>
          <w:sz w:val="21"/>
        </w:rPr>
        <w:t>El inspector ingresa el detalle de fallas, adjunta las fotos de evidencia del defecto y presiona el botón Devolver a Cuadrilla Técnica para Re-trabajo.</w:t>
      </w:r>
    </w:p>
    <w:p>
      <w:pPr>
        <w:spacing w:after="40" w:line="276" w:lineRule="auto"/>
        <w:ind w:left="288"/>
      </w:pPr>
      <w:r>
        <w:rPr>
          <w:rFonts w:ascii="Arial" w:hAnsi="Arial"/>
          <w:sz w:val="21"/>
        </w:rPr>
        <w:t>El sistema cambia el estado de la queja a “EN REPARACIÓN TÉCNICA”.</w:t>
      </w:r>
    </w:p>
    <w:p>
      <w:pPr>
        <w:spacing w:after="40" w:line="276" w:lineRule="auto"/>
        <w:ind w:left="288"/>
      </w:pPr>
      <w:r>
        <w:rPr>
          <w:rFonts w:ascii="Arial" w:hAnsi="Arial"/>
          <w:sz w:val="21"/>
        </w:rPr>
        <w:t>El sistema reasigna la orden de trabajo a la cuadrilla con máxima prioridad de re-trabajo e incorpora las correcciones exigidas. (RN23, RN24)</w:t>
      </w:r>
    </w:p>
    <w:p>
      <w:pPr>
        <w:spacing w:after="40" w:line="276" w:lineRule="auto"/>
        <w:ind w:left="288"/>
      </w:pPr>
      <w:r>
        <w:rPr>
          <w:rFonts w:ascii="Arial" w:hAnsi="Arial"/>
          <w:sz w:val="21"/>
        </w:rPr>
        <w:t>El sistema registra la no conformidad y devolución en la bitácora de auditoría. (RN30)</w:t>
      </w:r>
    </w:p>
    <w:p>
      <w:pPr>
        <w:spacing w:after="40" w:line="276" w:lineRule="auto"/>
        <w:ind w:left="288"/>
      </w:pPr>
      <w:r>
        <w:rPr>
          <w:rFonts w:ascii="Arial" w:hAnsi="Arial"/>
          <w:sz w:val="21"/>
        </w:rPr>
        <w:t>El sistema muestra el mensaje: “El caso ha sido devuelto a la cuadrilla técnica para subsanar los defectos señalados.”</w:t>
      </w:r>
    </w:p>
    <w:p>
      <w:pPr>
        <w:spacing w:after="40" w:line="276" w:lineRule="auto"/>
        <w:ind w:left="288"/>
      </w:pPr>
      <w:r>
        <w:rPr>
          <w:rFonts w:ascii="Arial" w:hAnsi="Arial"/>
          <w:i/>
          <w:sz w:val="21"/>
        </w:rPr>
        <w:t>Fin del caso de uso.</w:t>
      </w:r>
    </w:p>
    <w:p>
      <w:pPr>
        <w:spacing w:before="160" w:after="60"/>
      </w:pPr>
      <w:r>
        <w:rPr>
          <w:rFonts w:ascii="Arial" w:hAnsi="Arial"/>
          <w:b/>
          <w:color w:val="224477"/>
          <w:sz w:val="23"/>
        </w:rPr>
        <w:t>2.5 Poscondiciones.</w:t>
      </w:r>
    </w:p>
    <w:p>
      <w:pPr>
        <w:spacing w:after="40" w:line="276" w:lineRule="auto"/>
        <w:ind w:left="288"/>
      </w:pPr>
      <w:r>
        <w:rPr>
          <w:rFonts w:ascii="Arial" w:hAnsi="Arial"/>
          <w:sz w:val="22"/>
        </w:rPr>
        <w:t>• La queja queda en estado “PENDIENTE DE CIERRE” con dictamen favorable, o retorna a “EN REPARACIÓN TÉCNICA” para su corrección física.</w:t>
      </w:r>
    </w:p>
    <w:p>
      <w:pPr>
        <w:spacing w:before="160" w:after="60"/>
      </w:pPr>
      <w:r>
        <w:rPr>
          <w:rFonts w:ascii="Arial" w:hAnsi="Arial"/>
          <w:b/>
          <w:color w:val="113366"/>
          <w:sz w:val="25"/>
        </w:rPr>
        <w:t>3. Requerimientos Suplementarios o no Funcionales</w:t>
      </w:r>
    </w:p>
    <w:p>
      <w:pPr>
        <w:spacing w:after="50" w:line="276" w:lineRule="auto"/>
        <w:ind w:left="288"/>
      </w:pPr>
      <w:r>
        <w:rPr>
          <w:rFonts w:ascii="Arial" w:hAnsi="Arial"/>
          <w:sz w:val="22"/>
        </w:rPr>
        <w:t>• Almacenamiento del historial comparativo de fotos (Inicio, Reparación y Conformidad) en la ficha del caso.</w:t>
      </w:r>
    </w:p>
    <w:p>
      <w:pPr>
        <w:spacing w:before="160" w:after="80"/>
      </w:pPr>
      <w:r>
        <w:rPr>
          <w:rFonts w:ascii="Arial" w:hAnsi="Arial"/>
          <w:b/>
          <w:color w:val="113366"/>
          <w:sz w:val="25"/>
        </w:rPr>
        <w:t>4. Firmas Necesarias</w:t>
      </w:r>
    </w:p>
    <w:tbl>
      <w:tblPr>
        <w:tblW w:type="auto" w:w="0"/>
        <w:jc w:val="center"/>
        <w:tblLook w:firstColumn="1" w:firstRow="1" w:lastColumn="0" w:lastRow="0" w:noHBand="0" w:noVBand="1" w:val="04A0"/>
      </w:tblPr>
      <w:tblGrid>
        <w:gridCol w:w="3120"/>
        <w:gridCol w:w="3120"/>
        <w:gridCol w:w="3120"/>
      </w:tblGrid>
      <w:tr>
        <w:tc>
          <w:tcPr>
            <w:tcW w:type="dxa" w:w="3600"/>
            <w:shd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113366"/>
                <w:sz w:val="20"/>
              </w:rPr>
              <w:t>Persona</w:t>
            </w:r>
          </w:p>
        </w:tc>
        <w:tc>
          <w:tcPr>
            <w:tcW w:type="dxa" w:w="3168"/>
            <w:shd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113366"/>
                <w:sz w:val="20"/>
              </w:rPr>
              <w:t>Sector</w:t>
            </w:r>
          </w:p>
        </w:tc>
        <w:tc>
          <w:tcPr>
            <w:tcW w:type="dxa" w:w="2592"/>
            <w:shd w:fill="F0F4F8"/>
            <w:tcBorders>
              <w:top w:val="single" w:sz="4" w:space="0" w:color="CCCCCC"/>
              <w:bottom w:val="single" w:sz="4" w:space="0" w:color="CCCCCC"/>
              <w:left w:val="single" w:sz="4" w:space="0" w:color="CCCCCC"/>
              <w:right w:val="single" w:sz="4" w:space="0" w:color="CCCCCC"/>
            </w:tcBorders>
          </w:tcPr>
          <w:p>
            <w:pPr>
              <w:jc w:val="center"/>
            </w:pPr>
            <w:r>
              <w:rPr>
                <w:rFonts w:ascii="Arial" w:hAnsi="Arial"/>
                <w:b/>
                <w:color w:val="113366"/>
                <w:sz w:val="20"/>
              </w:rPr>
              <w:t>Firma</w:t>
            </w:r>
          </w:p>
        </w:tc>
      </w:tr>
      <w:tr>
        <w:tc>
          <w:tcPr>
            <w:tcW w:type="dxa" w:w="3600"/>
            <w:tcBorders>
              <w:top w:val="single" w:sz="4" w:space="0" w:color="CCCCCC"/>
              <w:bottom w:val="single" w:sz="4" w:space="0" w:color="CCCCCC"/>
              <w:left w:val="single" w:sz="4" w:space="0" w:color="CCCCCC"/>
              <w:right w:val="single" w:sz="4" w:space="0" w:color="CCCCCC"/>
            </w:tcBorders>
          </w:tcPr>
          <w:p/>
        </w:tc>
        <w:tc>
          <w:tcPr>
            <w:tcW w:type="dxa" w:w="3168"/>
            <w:tcBorders>
              <w:top w:val="single" w:sz="4" w:space="0" w:color="CCCCCC"/>
              <w:bottom w:val="single" w:sz="4" w:space="0" w:color="CCCCCC"/>
              <w:left w:val="single" w:sz="4" w:space="0" w:color="CCCCCC"/>
              <w:right w:val="single" w:sz="4" w:space="0" w:color="CCCCCC"/>
            </w:tcBorders>
          </w:tcPr>
          <w:p/>
        </w:tc>
        <w:tc>
          <w:tcPr>
            <w:tcW w:type="dxa" w:w="2592"/>
            <w:tcBorders>
              <w:top w:val="single" w:sz="4" w:space="0" w:color="CCCCCC"/>
              <w:bottom w:val="single" w:sz="4" w:space="0" w:color="CCCCCC"/>
              <w:left w:val="single" w:sz="4" w:space="0" w:color="CCCCCC"/>
              <w:right w:val="single" w:sz="4" w:space="0" w:color="CCCCCC"/>
            </w:tcBorders>
          </w:tcPr>
          <w:p/>
        </w:tc>
      </w:tr>
      <w:tr>
        <w:tc>
          <w:tcPr>
            <w:tcW w:type="dxa" w:w="3600"/>
            <w:tcBorders>
              <w:top w:val="single" w:sz="4" w:space="0" w:color="CCCCCC"/>
              <w:bottom w:val="single" w:sz="4" w:space="0" w:color="CCCCCC"/>
              <w:left w:val="single" w:sz="4" w:space="0" w:color="CCCCCC"/>
              <w:right w:val="single" w:sz="4" w:space="0" w:color="CCCCCC"/>
            </w:tcBorders>
          </w:tcPr>
          <w:p/>
        </w:tc>
        <w:tc>
          <w:tcPr>
            <w:tcW w:type="dxa" w:w="3168"/>
            <w:tcBorders>
              <w:top w:val="single" w:sz="4" w:space="0" w:color="CCCCCC"/>
              <w:bottom w:val="single" w:sz="4" w:space="0" w:color="CCCCCC"/>
              <w:left w:val="single" w:sz="4" w:space="0" w:color="CCCCCC"/>
              <w:right w:val="single" w:sz="4" w:space="0" w:color="CCCCCC"/>
            </w:tcBorders>
          </w:tcPr>
          <w:p/>
        </w:tc>
        <w:tc>
          <w:tcPr>
            <w:tcW w:type="dxa" w:w="2592"/>
            <w:tcBorders>
              <w:top w:val="single" w:sz="4" w:space="0" w:color="CCCCCC"/>
              <w:bottom w:val="single" w:sz="4" w:space="0" w:color="CCCCCC"/>
              <w:left w:val="single" w:sz="4" w:space="0" w:color="CCCCCC"/>
              <w:right w:val="single" w:sz="4" w:space="0" w:color="CCCCCC"/>
            </w:tcBorders>
          </w:tcPr>
          <w:p/>
        </w:tc>
      </w:tr>
      <w:tr>
        <w:tc>
          <w:tcPr>
            <w:tcW w:type="dxa" w:w="3600"/>
            <w:tcBorders>
              <w:top w:val="single" w:sz="4" w:space="0" w:color="CCCCCC"/>
              <w:bottom w:val="single" w:sz="4" w:space="0" w:color="CCCCCC"/>
              <w:left w:val="single" w:sz="4" w:space="0" w:color="CCCCCC"/>
              <w:right w:val="single" w:sz="4" w:space="0" w:color="CCCCCC"/>
            </w:tcBorders>
          </w:tcPr>
          <w:p/>
        </w:tc>
        <w:tc>
          <w:tcPr>
            <w:tcW w:type="dxa" w:w="3168"/>
            <w:tcBorders>
              <w:top w:val="single" w:sz="4" w:space="0" w:color="CCCCCC"/>
              <w:bottom w:val="single" w:sz="4" w:space="0" w:color="CCCCCC"/>
              <w:left w:val="single" w:sz="4" w:space="0" w:color="CCCCCC"/>
              <w:right w:val="single" w:sz="4" w:space="0" w:color="CCCCCC"/>
            </w:tcBorders>
          </w:tcPr>
          <w:p/>
        </w:tc>
        <w:tc>
          <w:tcPr>
            <w:tcW w:type="dxa" w:w="2592"/>
            <w:tcBorders>
              <w:top w:val="single" w:sz="4" w:space="0" w:color="CCCCCC"/>
              <w:bottom w:val="single" w:sz="4" w:space="0" w:color="CCCCCC"/>
              <w:left w:val="single" w:sz="4" w:space="0" w:color="CCCCCC"/>
              <w:right w:val="single" w:sz="4" w:space="0" w:color="CCCCCC"/>
            </w:tcBorders>
          </w:tcPr>
          <w:p/>
        </w:tc>
      </w:tr>
    </w:tbl>
    <w:p>
      <w:pPr>
        <w:spacing w:after="80"/>
      </w:pPr>
    </w:p>
    <w:p>
      <w:pPr>
        <w:spacing w:before="160" w:after="60"/>
      </w:pPr>
      <w:r>
        <w:rPr>
          <w:rFonts w:ascii="Arial" w:hAnsi="Arial"/>
          <w:b/>
          <w:color w:val="113366"/>
          <w:sz w:val="25"/>
        </w:rPr>
        <w:t>Anexos: Reglas de Negocio</w:t>
      </w:r>
    </w:p>
    <w:p>
      <w:pPr>
        <w:spacing w:after="50" w:line="276" w:lineRule="auto"/>
        <w:ind w:left="288"/>
      </w:pPr>
      <w:r>
        <w:rPr>
          <w:rFonts w:ascii="Arial" w:hAnsi="Arial"/>
          <w:b/>
          <w:color w:val="005599"/>
          <w:sz w:val="21"/>
        </w:rPr>
        <w:t xml:space="preserve">RN20 - Evidencias Fotográficas Obligatorias: </w:t>
      </w:r>
      <w:r>
        <w:rPr>
          <w:rFonts w:ascii="Arial" w:hAnsi="Arial"/>
          <w:sz w:val="21"/>
        </w:rPr>
        <w:t>Fotos obligatorias de la re-inspección post-obra.</w:t>
      </w:r>
    </w:p>
    <w:p>
      <w:pPr>
        <w:spacing w:after="50" w:line="276" w:lineRule="auto"/>
        <w:ind w:left="288"/>
      </w:pPr>
      <w:r>
        <w:rPr>
          <w:rFonts w:ascii="Arial" w:hAnsi="Arial"/>
          <w:b/>
          <w:color w:val="005599"/>
          <w:sz w:val="21"/>
        </w:rPr>
        <w:t xml:space="preserve">RN22 - Criterio de Dictamen de Conformidad: </w:t>
      </w:r>
      <w:r>
        <w:rPr>
          <w:rFonts w:ascii="Arial" w:hAnsi="Arial"/>
          <w:sz w:val="21"/>
        </w:rPr>
        <w:t>Emisión del visto bueno tras verificar estándares de calidad.</w:t>
      </w:r>
    </w:p>
    <w:p>
      <w:pPr>
        <w:spacing w:after="50" w:line="276" w:lineRule="auto"/>
        <w:ind w:left="288"/>
      </w:pPr>
      <w:r>
        <w:rPr>
          <w:rFonts w:ascii="Arial" w:hAnsi="Arial"/>
          <w:b/>
          <w:color w:val="005599"/>
          <w:sz w:val="21"/>
        </w:rPr>
        <w:t xml:space="preserve">RN23 - Protocolo de No Conformidad y Re-trabajo: </w:t>
      </w:r>
      <w:r>
        <w:rPr>
          <w:rFonts w:ascii="Arial" w:hAnsi="Arial"/>
          <w:sz w:val="21"/>
        </w:rPr>
        <w:t>Devolución con instrucciones correctivas obligatorias.</w:t>
      </w:r>
    </w:p>
    <w:p>
      <w:pPr>
        <w:spacing w:after="50" w:line="276" w:lineRule="auto"/>
        <w:ind w:left="288"/>
      </w:pPr>
      <w:r>
        <w:rPr>
          <w:rFonts w:ascii="Arial" w:hAnsi="Arial"/>
          <w:b/>
          <w:color w:val="005599"/>
          <w:sz w:val="21"/>
        </w:rPr>
        <w:t xml:space="preserve">RN30 - Bitácora de Auditoría: </w:t>
      </w:r>
      <w:r>
        <w:rPr>
          <w:rFonts w:ascii="Arial" w:hAnsi="Arial"/>
          <w:sz w:val="21"/>
        </w:rPr>
        <w:t>Trazabilidad de auditorías de calidad.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