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after="40" w:before="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Documento de 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spacing w:after="80" w:before="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Sistema de Gestión de Quejas y Demandas Ciudadanas - Municipalidad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spacing w:after="120" w:before="12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presente documento consolida y define formalmente todas las Reglas de Negocio (RN) que rigen el comportamiento, las validaciones, el control de acceso, la priorización bajo demanda y la trazabilidad del Sistema Municipal de Quejas.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1. Reglas Generales de Seguridad, Acceso y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RN01 - Campos Obligatorios: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correo electrónico, documento de identificación (DPI/Cédula) y la contraseña son de carácter estrictamente obligatorio en formularios de registro y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RN02 - Unicidad y Validación de Documento de Identificación: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número de identificación (DPI/Cédula) debe ser único en la base de datos ciudadana y estar compuesto por una estructura numérica válida de 13 dígitos sin guiones ni caracteres especiales.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RN03 - Formato de Correo Electrónico: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Todo correo electrónico ingresado debe contar con una estructura válida de acuerdo con el estándar RFC 5322 (usuario@dominio.com).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RN04 - Formato de Número Telefónico: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número telefónico principal debe constar de 8 dígitos numéricos válidos en el ámbito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RN05 - Formato y Complejidad de Contraseña: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 contraseña de acceso debe tener una longitud mínima de 6 caracteres, e incluir al menos una letra mayúscula, un número y un carácter especial (@, $, !, %, *, ?, &amp;). Las credenciales deben almacenarse con algoritmo de hashing seguro (BCrypt).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RN06 - Inmutabilidad de Identificadores Personales: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documento de identificación (DPI) y los nombres/apellidos legales del ciudadano no podrán ser editados directamente por el usuario una vez creada la cuenta, garantizando la inmutabilidad de la identidad y la validez legal de las quejas radicadas.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2. Reglas de Delimitación y Registro de Quejas Ciudadanas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RN07 - Delimitación Estricta de Categorías Soportadas: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Para evitar el desbordamiento operativo y filtrar solicitudes fuera de competencia municipal, el sistema únicamente aceptará quejas catalogadas en las siguientes 4 categorías técnicas delimitadas:</w:t>
        <w:br w:type="textWrapping"/>
        <w:t xml:space="preserve">a) Alumbrado Público: Luminarias quemadas/apagadas, postes inclinados o dañados y cableado eléctrico expuesto.: Luminarias quemadas/apagadas, luminarias encendidas de día, cables del tendido municipal desprendidos o postes en riesgo de colapso.</w:t>
        <w:br w:type="textWrapping"/>
        <w:t xml:space="preserve">b) Drenajes y Alcantarillado: Tragantes obstruidos, inundaciones por drenaje, falta de tapaderas de alcantarilla y malos olores provenientes de drenaje.: Fugas o desbordes de aguas residuales/negras, tragantes o alcantarillas pluviales obstruidas, hundimientos por colapso de colectores y falta de tapaderas de registro.</w:t>
        <w:br w:type="textWrapping"/>
        <w:t xml:space="preserve">c) Vialidad y Espacios Públicos: Baches en calle, señalización vial dañada, banquetas dañadas y obstáculos en vía pública.: Baches en cinta asfáltica o concreto, adoquines levantados/deteriorados, grietas estructurales en vías principales y daños en banquetas peatonales.</w:t>
        <w:br w:type="textWrapping"/>
        <w:t xml:space="preserve">d) Limpieza y Áreas Verdes: Acumulación de basura en vía pública, basureros clandestinos, problemas con recolección de residuos y árboles con riesgo de caída.: Basureros clandestinos en vía pública, acumulación excesiva de desechos en áreas comunales y falta de recolección en puntos autorizados.</w:t>
        <w:br w:type="textWrapping"/>
        <w:t xml:space="preserve">: Árboles en riesgo de caída o caídos sobre la vía pública, ramas interfiriendo con cables de servicio y mobiliario urbano de parques dañado.</w:t>
        <w:br w:type="textWrapping"/>
        <w:t xml:space="preserve">Cualquier solicitud fuera de este catálogo será bloqueada en la interfaz o rechazada formalmente.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>RN08 - Ubicación Geográfica Obligatoria: La queja debe incluir obligatoriamente una dirección física detallada con punto de referencia y la ubicación georreferenciada (latitud y longitud) mediante el mapa interactivo, para permitir el desplazamiento del personal de campo al sitio exacto del incidente.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RN09 - Longitud y Detalle de Descripción: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 descripción del problema debe tener una longitud mínima de 20 caracteres y un máximo de 500 caracteres, proporcionando información clara de los hechos constatados.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RN10 - Carga de Evidencias Digitales: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ciudadano debe adjuntar al menos una (1) fotografía y un máximo de tres (3) fotografías en formato digital (.jpg, .jpeg, .png) que evidencien el problema reportado. El tamaño máximo por archivo es de 5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RN11 - Generación de Correlativo Único: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Cada queja admitida generará automáticamente un código correlativo único con el formato QUE-[AÑO]-[NÚMERO_CONSECUTIVO_6_DÍGITOS] (ej. QUE-2026-000142), el cual servirá como identificador inmutable en todo el ciclo de vida del expediente.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RN12 - Privacidad y Visibilidad de Quejas Ciudadanas: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Un ciudadano únicamente podrá consultar y dar seguimiento a las quejas radicadas desde su propia cuenta de usuario, protegiendo la privacidad de los vecinos.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3. Reglas de Gestión Municipal y Priorización por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RN13 - Control de Acceso de Funcionarios: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acceso a la bandeja de recepción, clasificación y cierre de expedientes está restringido al personal con rol de Funcionario Municipal y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RN14 - Priorización por Volumen de Demanda Comunitaria: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sistema agrupará las quejas que coincidan en la misma categoría de problema y proximidad geográfica. Aquellas incidencias que acumulen un mayor número de reportes ciudadanos independientes o presenten riesgo para la integridad física de la comunidad recibirán automáticamente un nivel de prioridad 'ALTA' o 'URGENTE' en la cola de asignación municipal.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>RN15 - Asignación de Inspectores: La asignación de inspectores de campo se realiza con base en su disponibilidad y carga laboral.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RN16 - Justificación Obligatoria de Rechazo: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En caso de que una queja sea evaluada como no procedente (por falta de competencia municipal, duplicidad o datos falsos), el funcionario debe registrar de manera obligatoria una justificación técnica/legal que se enviará formalmente al ciudadano al pasar al estado 'RECHAZADA'.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RN17 - Requisitos para el Cierre Administrativo: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Para que una queja pueda ser formalmente aprobada y cerrada (estado 'SOLUCIONADA / CERRADA'), el expediente digital debe contar obligatoriamente con el informe de solución del técnico y el visto bueno de conformidad emitido por el inspector de campo en su segunda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 Reglas de Inspección de Campo y Control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>RN18 - Alcance de Trabajo del Inspector: El inspector de campo únicamente podrá visualizar y gestionar las quejas que le hayan sido asignadas y que se encuentren en estado 'EN INSPECCIÓN' (primera visita) o 'EN VALIDACIÓN DE REPARACIÓN' (segunda visita).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RN19 - Estructura de la Inspección Inicial: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informe de inspección inicial (Fase 1 del expediente) debe contener obligatoriamente: confirmación de veracidad del problema, diagnóstico del daño físico, nivel de gravedad técnica, estimación de recursos y al menos una (1) fotografía tomada en el 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RN20 - Evidencias Fotográficas Obligatorias en Campo: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Tanto el inspector de campo como el especialista técnico deben capturar y cargar fotografías nítidas tomadas en el lugar exacto del incidente, conformando el registro visual comparativo 'Antes de la obra' y 'Después de la reparación'.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RN21 - Matriz de Correspondencia de Especialidades: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RN21 - Matriz de Correspondencia de Especialidades: La derivación técnica debe respetar la correspondencia directa de especialidad: Alumbrado Público → Unidad de Alumbrado Público; Drenajes y Alcantarillado → Fontanería y Drenajes; Vialidad y Espacios Públicos → Bacheo y Pavimentación; Limpieza y Áreas Verdes → Limpieza y Recolección o Parques y Ornato (según subcategoría del problema).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RN22 - Criterio de Dictamen de Conformidad: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Tras la reparación física, el inspector debe acudir personalmente a auditar la obra. Si cumple con los estándares municipales de calidad y durabilidad, emitirá el dictamen 'CONFORME / APROBADO' pasando el caso a 'PENDIENTE DE CIERRE'.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RN23 - Protocolo de No Conformidad y Re-trabajo: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Si la reparación ejecutada por la cuadrilla presenta fallas, materiales deficientes o está incompleta, el inspector emitirá un dictamen 'NO CONFORME' con las observaciones técnicas y devolverá el expediente al especialista en estado 'EN REPARACIÓN TÉCNICA' con carácter de máxima prioridad de re-trabajo.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5. Reglas de Ejecución Operativa de Cuadrillas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RN24 - Prioridad Operativa de Cuadrillas: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Las órdenes de trabajo asignadas a la cuadrilla técnica se ordenarán en su bandeja por nivel de prioridad de demanda comunitaria (Urgente &gt; Alta &gt; Media &gt; Baja).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RN25 - Contenido del Informe de Solución Técnica: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informe de solución técnica (Fase de obra) debe especificar: detalle de trabajos realizados, materiales e insumos empleados, tiempo de mano de obra invertido, fecha/hora de conclusión y fotografías del problema completamente reparado.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6. Reglas de Administración, Seguridad y Reportería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RN26 - Gestión Centralizada de Usuarios Internos (RBAC):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Las cuentas de usuarios internos (Funcionarios, Inspectores, Especialistas Técnicos y Administradores) solo pueden ser creadas, editadas o suspendidas por un Administrador del Sistema. Queda deshabilitado el autoregistro para roles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>RN27 - Asignación de Dependencias a Personal: Cada usuario interno debe tener asignado al menos un rol y una dependencia técnica municipal.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RN28 - Estándar de Filtros y Formatos de Exportación: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Todos los módulos de consulta y reportes deben incluir filtros por rango de fechas válidas (Fecha Desde &lt;= Fecha Hasta), estados y sectores, permitiendo la exportación formal en formatos PDF y Excel (.xlsx).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RN29 - Cálculo de Métricas y KPIs Operativos: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Los reportes de rendimiento operativo deben calcular de forma transparente el tiempo medio de respuesta (días/horas desde registro hasta cierre) y el porcentaje de eficacia en primera inspección (% de órdenes aprobadas sin re-trabajo).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spacing w:after="60" w:line="276" w:lineRule="auto"/>
        <w:ind w:left="288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RN30 - Trazabilidad y Bitácora de Auditoría: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Cada transición de estado en el expediente de la queja (REGISTRADA -&gt; EN INSPECCIÓN -&gt; EN REPARACIÓN TÉCNICA -&gt; EN VALIDACIÓN DE REPARACIÓN -&gt; PENDIENTE DE CIERRE -&gt; SOLUCIONADA / CERRADA o RECHAZADA) debe quedar registrada en una bitácora de auditoría inmutable con fecha, hora y usuario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Firmas Necesarias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</w:tcPr>
          <w:p w:rsidR="00000000" w:rsidDel="00000000" w:rsidP="00000000" w:rsidRDefault="00000000" w:rsidRPr="00000000" ns1:paraId="0000002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</w:tcPr>
          <w:p w:rsidR="00000000" w:rsidDel="00000000" w:rsidP="00000000" w:rsidRDefault="00000000" w:rsidRPr="00000000" ns1:paraId="000000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</w:tcPr>
          <w:p w:rsidR="00000000" w:rsidDel="00000000" w:rsidP="00000000" w:rsidRDefault="00000000" w:rsidRPr="00000000" ns1:paraId="0000002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2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2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3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3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3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ns1:paraId="0000003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xXu6FOmUXh9OAj5LyTuEu5Z9w==">CgMxLjA4AHIhMW5Tel9JUXhHQUNHZXUtMWMtOUh4azdqTk82ZDU5cVBw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