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BCF222" w14:textId="2D6D8EF0" w:rsidR="00D55CFA" w:rsidRPr="002965BD" w:rsidRDefault="00D55CFA" w:rsidP="002965BD">
      <w:pPr>
        <w:pStyle w:val="Heading1"/>
        <w:numPr>
          <w:ilvl w:val="0"/>
          <w:numId w:val="0"/>
        </w:numPr>
        <w:jc w:val="both"/>
        <w:rPr>
          <w:rFonts w:ascii="Times New Roman" w:eastAsia="Times New Roman" w:hAnsi="Times New Roman" w:cs="Times New Roman"/>
          <w:lang w:eastAsia="en-GB"/>
        </w:rPr>
      </w:pPr>
      <w:r w:rsidRPr="002965BD">
        <w:rPr>
          <w:rFonts w:ascii="Times New Roman" w:eastAsia="Times New Roman" w:hAnsi="Times New Roman" w:cs="Times New Roman"/>
          <w:lang w:eastAsia="en-GB"/>
        </w:rPr>
        <w:t>II. State of the art</w:t>
      </w:r>
    </w:p>
    <w:p w14:paraId="1060A211" w14:textId="2F72A53F" w:rsidR="00D55CFA" w:rsidRPr="00D55CFA" w:rsidRDefault="00D55CFA" w:rsidP="002965BD">
      <w:pPr>
        <w:spacing w:before="100" w:beforeAutospacing="1" w:after="100" w:afterAutospacing="1" w:line="240" w:lineRule="auto"/>
        <w:jc w:val="both"/>
        <w:outlineLvl w:val="2"/>
        <w:rPr>
          <w:rFonts w:ascii="Times New Roman" w:eastAsia="Times New Roman" w:hAnsi="Times New Roman" w:cs="Times New Roman"/>
          <w:b/>
          <w:bCs/>
          <w:kern w:val="0"/>
          <w:sz w:val="20"/>
          <w:szCs w:val="20"/>
          <w:lang w:eastAsia="en-GB"/>
          <w14:ligatures w14:val="none"/>
        </w:rPr>
      </w:pPr>
      <w:r w:rsidRPr="002965BD">
        <w:rPr>
          <w:rFonts w:ascii="Times New Roman" w:eastAsia="Times New Roman" w:hAnsi="Times New Roman" w:cs="Times New Roman"/>
          <w:b/>
          <w:bCs/>
          <w:kern w:val="0"/>
          <w:sz w:val="20"/>
          <w:szCs w:val="20"/>
          <w:lang w:eastAsia="en-GB"/>
          <w14:ligatures w14:val="none"/>
        </w:rPr>
        <w:t>A.</w:t>
      </w:r>
      <w:r w:rsidRPr="00D55CFA">
        <w:rPr>
          <w:rFonts w:ascii="Times New Roman" w:eastAsia="Times New Roman" w:hAnsi="Times New Roman" w:cs="Times New Roman"/>
          <w:b/>
          <w:bCs/>
          <w:kern w:val="0"/>
          <w:sz w:val="20"/>
          <w:szCs w:val="20"/>
          <w:lang w:eastAsia="en-GB"/>
          <w14:ligatures w14:val="none"/>
        </w:rPr>
        <w:t xml:space="preserve"> Autonomous Navigation and Mapping in Greenhouse Robotics</w:t>
      </w:r>
    </w:p>
    <w:p w14:paraId="2D62A14D" w14:textId="77777777" w:rsidR="00D55CFA" w:rsidRPr="002965BD" w:rsidRDefault="00D55CFA" w:rsidP="002965BD">
      <w:pPr>
        <w:spacing w:before="100" w:beforeAutospacing="1" w:after="100" w:afterAutospacing="1" w:line="240" w:lineRule="auto"/>
        <w:jc w:val="both"/>
        <w:rPr>
          <w:rFonts w:ascii="Times New Roman" w:eastAsia="Times New Roman" w:hAnsi="Times New Roman" w:cs="Times New Roman"/>
          <w:kern w:val="0"/>
          <w:sz w:val="20"/>
          <w:szCs w:val="20"/>
          <w:lang w:eastAsia="en-GB"/>
          <w14:ligatures w14:val="none"/>
        </w:rPr>
      </w:pPr>
      <w:r w:rsidRPr="00D55CFA">
        <w:rPr>
          <w:rFonts w:ascii="Times New Roman" w:eastAsia="Times New Roman" w:hAnsi="Times New Roman" w:cs="Times New Roman"/>
          <w:kern w:val="0"/>
          <w:sz w:val="20"/>
          <w:szCs w:val="20"/>
          <w:lang w:eastAsia="en-GB"/>
          <w14:ligatures w14:val="none"/>
        </w:rPr>
        <w:t>Autonomous navigation represents a fundamental capability for mobile agricultural robots operating in structured environments such as greenhouses. The task requires both localization and real-time environmental mapping, commonly achieved through Simultaneous Localization and Mapping (SLAM) algorithms. Recent research has focused on enhancing SLAM robustness by combining multiple sensor modalities and geometric constraints to improve accuracy in complex or dynamic indoor conditions.</w:t>
      </w:r>
    </w:p>
    <w:p w14:paraId="631E991D" w14:textId="6A24C7F9" w:rsidR="00D55CFA" w:rsidRPr="00D55CFA" w:rsidRDefault="00D55CFA" w:rsidP="002965BD">
      <w:pPr>
        <w:spacing w:before="100" w:beforeAutospacing="1" w:after="100" w:afterAutospacing="1" w:line="240" w:lineRule="auto"/>
        <w:jc w:val="both"/>
        <w:rPr>
          <w:rFonts w:ascii="Times New Roman" w:eastAsia="Times New Roman" w:hAnsi="Times New Roman" w:cs="Times New Roman"/>
          <w:kern w:val="0"/>
          <w:sz w:val="20"/>
          <w:szCs w:val="20"/>
          <w:lang w:eastAsia="en-GB"/>
          <w14:ligatures w14:val="none"/>
        </w:rPr>
      </w:pPr>
      <w:r w:rsidRPr="00D55CFA">
        <w:rPr>
          <w:rFonts w:ascii="Times New Roman" w:eastAsia="Times New Roman" w:hAnsi="Times New Roman" w:cs="Times New Roman"/>
          <w:kern w:val="0"/>
          <w:sz w:val="20"/>
          <w:szCs w:val="20"/>
          <w:lang w:eastAsia="en-GB"/>
          <w14:ligatures w14:val="none"/>
        </w:rPr>
        <w:t xml:space="preserve">Sun et al. </w:t>
      </w:r>
      <w:sdt>
        <w:sdtPr>
          <w:rPr>
            <w:rFonts w:ascii="Times New Roman" w:eastAsia="Times New Roman" w:hAnsi="Times New Roman" w:cs="Times New Roman"/>
            <w:kern w:val="0"/>
            <w:sz w:val="20"/>
            <w:szCs w:val="20"/>
            <w:lang w:eastAsia="en-GB"/>
            <w14:ligatures w14:val="none"/>
          </w:rPr>
          <w:id w:val="1738362534"/>
          <w:citation/>
        </w:sdtPr>
        <w:sdtContent>
          <w:r w:rsidR="005F6EB8" w:rsidRPr="002965BD">
            <w:rPr>
              <w:rFonts w:ascii="Times New Roman" w:eastAsia="Times New Roman" w:hAnsi="Times New Roman" w:cs="Times New Roman"/>
              <w:kern w:val="0"/>
              <w:sz w:val="20"/>
              <w:szCs w:val="20"/>
              <w:lang w:eastAsia="en-GB"/>
              <w14:ligatures w14:val="none"/>
            </w:rPr>
            <w:fldChar w:fldCharType="begin"/>
          </w:r>
          <w:r w:rsidR="005F6EB8" w:rsidRPr="002965BD">
            <w:rPr>
              <w:rFonts w:ascii="Times New Roman" w:eastAsia="Times New Roman" w:hAnsi="Times New Roman" w:cs="Times New Roman"/>
              <w:kern w:val="0"/>
              <w:sz w:val="20"/>
              <w:szCs w:val="20"/>
              <w:lang w:val="en-US" w:eastAsia="en-GB"/>
              <w14:ligatures w14:val="none"/>
            </w:rPr>
            <w:instrText xml:space="preserve"> CITATION Sun23 \l 1033 </w:instrText>
          </w:r>
          <w:r w:rsidR="005F6EB8" w:rsidRPr="002965BD">
            <w:rPr>
              <w:rFonts w:ascii="Times New Roman" w:eastAsia="Times New Roman" w:hAnsi="Times New Roman" w:cs="Times New Roman"/>
              <w:kern w:val="0"/>
              <w:sz w:val="20"/>
              <w:szCs w:val="20"/>
              <w:lang w:eastAsia="en-GB"/>
              <w14:ligatures w14:val="none"/>
            </w:rPr>
            <w:fldChar w:fldCharType="separate"/>
          </w:r>
          <w:r w:rsidR="005F6EB8" w:rsidRPr="002965BD">
            <w:rPr>
              <w:rFonts w:ascii="Times New Roman" w:eastAsia="Times New Roman" w:hAnsi="Times New Roman" w:cs="Times New Roman"/>
              <w:noProof/>
              <w:kern w:val="0"/>
              <w:sz w:val="20"/>
              <w:szCs w:val="20"/>
              <w:lang w:val="en-US" w:eastAsia="en-GB"/>
              <w14:ligatures w14:val="none"/>
            </w:rPr>
            <w:t>[1]</w:t>
          </w:r>
          <w:r w:rsidR="005F6EB8" w:rsidRPr="002965BD">
            <w:rPr>
              <w:rFonts w:ascii="Times New Roman" w:eastAsia="Times New Roman" w:hAnsi="Times New Roman" w:cs="Times New Roman"/>
              <w:kern w:val="0"/>
              <w:sz w:val="20"/>
              <w:szCs w:val="20"/>
              <w:lang w:eastAsia="en-GB"/>
              <w14:ligatures w14:val="none"/>
            </w:rPr>
            <w:fldChar w:fldCharType="end"/>
          </w:r>
        </w:sdtContent>
      </w:sdt>
      <w:r w:rsidR="002965BD">
        <w:rPr>
          <w:rFonts w:ascii="Times New Roman" w:eastAsia="Times New Roman" w:hAnsi="Times New Roman" w:cs="Times New Roman"/>
          <w:kern w:val="0"/>
          <w:sz w:val="20"/>
          <w:szCs w:val="20"/>
          <w:lang w:eastAsia="en-GB"/>
          <w14:ligatures w14:val="none"/>
        </w:rPr>
        <w:t xml:space="preserve"> </w:t>
      </w:r>
      <w:r w:rsidRPr="00D55CFA">
        <w:rPr>
          <w:rFonts w:ascii="Times New Roman" w:eastAsia="Times New Roman" w:hAnsi="Times New Roman" w:cs="Times New Roman"/>
          <w:kern w:val="0"/>
          <w:sz w:val="20"/>
          <w:szCs w:val="20"/>
          <w:lang w:eastAsia="en-GB"/>
          <w14:ligatures w14:val="none"/>
        </w:rPr>
        <w:t>proposed an autonomous navigation system for indoor mobile robots based on LiDAR-SLAM, demonstrating high mapping precision and path consistency. Their system integrates laser scanning with probabilistic localization techniques, generating 2D maps suitable for obstacle avoidance and motion planning. The use of LiDAR sensors allows reliable operation under varying lighting conditions and cluttered layouts</w:t>
      </w:r>
      <w:r w:rsidR="005F6EB8" w:rsidRPr="002965BD">
        <w:rPr>
          <w:rFonts w:ascii="Times New Roman" w:eastAsia="Times New Roman" w:hAnsi="Times New Roman" w:cs="Times New Roman"/>
          <w:kern w:val="0"/>
          <w:sz w:val="20"/>
          <w:szCs w:val="20"/>
          <w:lang w:eastAsia="en-GB"/>
          <w14:ligatures w14:val="none"/>
        </w:rPr>
        <w:t xml:space="preserve"> </w:t>
      </w:r>
      <w:r w:rsidRPr="00D55CFA">
        <w:rPr>
          <w:rFonts w:ascii="Times New Roman" w:eastAsia="Times New Roman" w:hAnsi="Times New Roman" w:cs="Times New Roman"/>
          <w:kern w:val="0"/>
          <w:sz w:val="20"/>
          <w:szCs w:val="20"/>
          <w:lang w:eastAsia="en-GB"/>
          <w14:ligatures w14:val="none"/>
        </w:rPr>
        <w:t>features that closely resemble greenhouse aisles populated with plants and irrigation systems.</w:t>
      </w:r>
    </w:p>
    <w:p w14:paraId="119E7E92" w14:textId="7D59692C" w:rsidR="00D55CFA" w:rsidRPr="00D55CFA" w:rsidRDefault="00D55CFA" w:rsidP="002965BD">
      <w:pPr>
        <w:spacing w:before="100" w:beforeAutospacing="1" w:after="100" w:afterAutospacing="1" w:line="240" w:lineRule="auto"/>
        <w:jc w:val="both"/>
        <w:rPr>
          <w:rFonts w:ascii="Times New Roman" w:eastAsia="Times New Roman" w:hAnsi="Times New Roman" w:cs="Times New Roman"/>
          <w:kern w:val="0"/>
          <w:sz w:val="20"/>
          <w:szCs w:val="20"/>
          <w:lang w:eastAsia="en-GB"/>
          <w14:ligatures w14:val="none"/>
        </w:rPr>
      </w:pPr>
      <w:r w:rsidRPr="00D55CFA">
        <w:rPr>
          <w:rFonts w:ascii="Times New Roman" w:eastAsia="Times New Roman" w:hAnsi="Times New Roman" w:cs="Times New Roman"/>
          <w:kern w:val="0"/>
          <w:sz w:val="20"/>
          <w:szCs w:val="20"/>
          <w:lang w:eastAsia="en-GB"/>
          <w14:ligatures w14:val="none"/>
        </w:rPr>
        <w:t>Complementarily, Liu and Luo</w:t>
      </w:r>
      <w:r w:rsidR="005F6EB8" w:rsidRPr="002965BD">
        <w:rPr>
          <w:rFonts w:ascii="Times New Roman" w:eastAsia="Times New Roman" w:hAnsi="Times New Roman" w:cs="Times New Roman"/>
          <w:kern w:val="0"/>
          <w:sz w:val="20"/>
          <w:szCs w:val="20"/>
          <w:lang w:eastAsia="en-GB"/>
          <w14:ligatures w14:val="none"/>
        </w:rPr>
        <w:t xml:space="preserve"> </w:t>
      </w:r>
      <w:sdt>
        <w:sdtPr>
          <w:rPr>
            <w:rFonts w:ascii="Times New Roman" w:eastAsia="Times New Roman" w:hAnsi="Times New Roman" w:cs="Times New Roman"/>
            <w:kern w:val="0"/>
            <w:sz w:val="20"/>
            <w:szCs w:val="20"/>
            <w:lang w:eastAsia="en-GB"/>
            <w14:ligatures w14:val="none"/>
          </w:rPr>
          <w:id w:val="1882138470"/>
          <w:citation/>
        </w:sdtPr>
        <w:sdtContent>
          <w:r w:rsidR="005F6EB8" w:rsidRPr="002965BD">
            <w:rPr>
              <w:rFonts w:ascii="Times New Roman" w:eastAsia="Times New Roman" w:hAnsi="Times New Roman" w:cs="Times New Roman"/>
              <w:kern w:val="0"/>
              <w:sz w:val="20"/>
              <w:szCs w:val="20"/>
              <w:lang w:eastAsia="en-GB"/>
              <w14:ligatures w14:val="none"/>
            </w:rPr>
            <w:fldChar w:fldCharType="begin"/>
          </w:r>
          <w:r w:rsidR="005F6EB8" w:rsidRPr="002965BD">
            <w:rPr>
              <w:rFonts w:ascii="Times New Roman" w:eastAsia="Times New Roman" w:hAnsi="Times New Roman" w:cs="Times New Roman"/>
              <w:kern w:val="0"/>
              <w:sz w:val="20"/>
              <w:szCs w:val="20"/>
              <w:lang w:val="en-US" w:eastAsia="en-GB"/>
              <w14:ligatures w14:val="none"/>
            </w:rPr>
            <w:instrText xml:space="preserve"> CITATION Jia24 \l 1033 </w:instrText>
          </w:r>
          <w:r w:rsidR="005F6EB8" w:rsidRPr="002965BD">
            <w:rPr>
              <w:rFonts w:ascii="Times New Roman" w:eastAsia="Times New Roman" w:hAnsi="Times New Roman" w:cs="Times New Roman"/>
              <w:kern w:val="0"/>
              <w:sz w:val="20"/>
              <w:szCs w:val="20"/>
              <w:lang w:eastAsia="en-GB"/>
              <w14:ligatures w14:val="none"/>
            </w:rPr>
            <w:fldChar w:fldCharType="separate"/>
          </w:r>
          <w:r w:rsidR="005F6EB8" w:rsidRPr="002965BD">
            <w:rPr>
              <w:rFonts w:ascii="Times New Roman" w:eastAsia="Times New Roman" w:hAnsi="Times New Roman" w:cs="Times New Roman"/>
              <w:noProof/>
              <w:kern w:val="0"/>
              <w:sz w:val="20"/>
              <w:szCs w:val="20"/>
              <w:lang w:val="en-US" w:eastAsia="en-GB"/>
              <w14:ligatures w14:val="none"/>
            </w:rPr>
            <w:t>[2]</w:t>
          </w:r>
          <w:r w:rsidR="005F6EB8" w:rsidRPr="002965BD">
            <w:rPr>
              <w:rFonts w:ascii="Times New Roman" w:eastAsia="Times New Roman" w:hAnsi="Times New Roman" w:cs="Times New Roman"/>
              <w:kern w:val="0"/>
              <w:sz w:val="20"/>
              <w:szCs w:val="20"/>
              <w:lang w:eastAsia="en-GB"/>
              <w14:ligatures w14:val="none"/>
            </w:rPr>
            <w:fldChar w:fldCharType="end"/>
          </w:r>
        </w:sdtContent>
      </w:sdt>
      <w:r w:rsidR="002965BD">
        <w:rPr>
          <w:rFonts w:ascii="Times New Roman" w:eastAsia="Times New Roman" w:hAnsi="Times New Roman" w:cs="Times New Roman"/>
          <w:kern w:val="0"/>
          <w:sz w:val="20"/>
          <w:szCs w:val="20"/>
          <w:lang w:eastAsia="en-GB"/>
          <w14:ligatures w14:val="none"/>
        </w:rPr>
        <w:t xml:space="preserve"> </w:t>
      </w:r>
      <w:r w:rsidRPr="00D55CFA">
        <w:rPr>
          <w:rFonts w:ascii="Times New Roman" w:eastAsia="Times New Roman" w:hAnsi="Times New Roman" w:cs="Times New Roman"/>
          <w:kern w:val="0"/>
          <w:sz w:val="20"/>
          <w:szCs w:val="20"/>
          <w:lang w:eastAsia="en-GB"/>
          <w14:ligatures w14:val="none"/>
        </w:rPr>
        <w:t>introduced PLM-SLAM, an enhanced visual SLAM framework utilizing RGB-D (stereo) vision to support mobile robots in dynamic indoor environments. The algorithm fuses point and line features and leverages the Manhattan World model, which assumes that walls, floors, and ceilings are aligned along three orthogonal axes. This structural assumption simplifies rotation estimation and minimizes drift, enabling stable long-term navigation even when moving objects or lighting changes are present. By combining Lucas–Kanade optical flow tracking, geometric constraints, and depth data, PLM-SLAM efficiently filters dynamic features and achieves superior pose accuracy compared to traditional ORB-SLAM and MSC-VO methods.</w:t>
      </w:r>
    </w:p>
    <w:p w14:paraId="5DAC4AB5" w14:textId="3F7BE8AD" w:rsidR="00D55CFA" w:rsidRPr="002965BD" w:rsidRDefault="00D55CFA" w:rsidP="002965BD">
      <w:pPr>
        <w:spacing w:before="100" w:beforeAutospacing="1" w:after="100" w:afterAutospacing="1" w:line="240" w:lineRule="auto"/>
        <w:jc w:val="both"/>
        <w:rPr>
          <w:rFonts w:ascii="Times New Roman" w:eastAsia="Times New Roman" w:hAnsi="Times New Roman" w:cs="Times New Roman"/>
          <w:kern w:val="0"/>
          <w:sz w:val="20"/>
          <w:szCs w:val="20"/>
          <w:lang w:eastAsia="en-GB"/>
          <w14:ligatures w14:val="none"/>
        </w:rPr>
      </w:pPr>
      <w:r w:rsidRPr="00D55CFA">
        <w:rPr>
          <w:rFonts w:ascii="Times New Roman" w:eastAsia="Times New Roman" w:hAnsi="Times New Roman" w:cs="Times New Roman"/>
          <w:kern w:val="0"/>
          <w:sz w:val="20"/>
          <w:szCs w:val="20"/>
          <w:lang w:eastAsia="en-GB"/>
          <w14:ligatures w14:val="none"/>
        </w:rPr>
        <w:t xml:space="preserve">Although both approaches were developed for indoor service robots, their principles can be directly transferred to greenhouse scenarios, which share similar characteristics: GPS-denied environments, linear pathways, and repeated geometric structures. Greenhouses can thus be modeled as semi-indoor environments, where LiDAR-based and stereo visual SLAM algorithms allow autonomous navigation between plant rows, detection of obstacles, and 3D mapping of crop distribution. </w:t>
      </w:r>
      <w:r w:rsidRPr="00D55CFA">
        <w:rPr>
          <w:rFonts w:ascii="Times New Roman" w:eastAsia="Times New Roman" w:hAnsi="Times New Roman" w:cs="Times New Roman"/>
          <w:kern w:val="0"/>
          <w:sz w:val="20"/>
          <w:szCs w:val="20"/>
          <w:lang w:eastAsia="en-GB"/>
          <w14:ligatures w14:val="none"/>
        </w:rPr>
        <w:t>Integrating these mapping methods into greenhouse robotics facilitates accurate path planning, autonomous inspection, and data collection, forming the foundation for subsequent visual analysis and plant recognition tasks.</w:t>
      </w:r>
    </w:p>
    <w:p w14:paraId="5EFCAB91" w14:textId="0F9A07CC" w:rsidR="00D55CFA" w:rsidRPr="002965BD" w:rsidRDefault="00D55CFA" w:rsidP="002965BD">
      <w:pPr>
        <w:pStyle w:val="p2"/>
        <w:jc w:val="both"/>
        <w:rPr>
          <w:sz w:val="20"/>
          <w:szCs w:val="20"/>
        </w:rPr>
      </w:pPr>
      <w:r w:rsidRPr="002965BD">
        <w:rPr>
          <w:sz w:val="20"/>
          <w:szCs w:val="20"/>
        </w:rPr>
        <w:t>The rapid advancement of artificial intelligence (AI) and computer vision has significantly transformed plant monitoring and disease management in precision agriculture. Early detection of crop diseases is essential to reduce yield losses and optimize the use of pesticides. Various researchers have proposed deep learning and image processing approaches to automate this process within greenhouse environments and open-field conditions.</w:t>
      </w:r>
    </w:p>
    <w:p w14:paraId="4EF2E1F9" w14:textId="20189990" w:rsidR="00D55CFA" w:rsidRPr="002965BD" w:rsidRDefault="00D55CFA" w:rsidP="002965BD">
      <w:pPr>
        <w:pStyle w:val="p2"/>
        <w:jc w:val="both"/>
        <w:rPr>
          <w:sz w:val="20"/>
          <w:szCs w:val="20"/>
        </w:rPr>
      </w:pPr>
      <w:r w:rsidRPr="002965BD">
        <w:rPr>
          <w:sz w:val="20"/>
          <w:szCs w:val="20"/>
        </w:rPr>
        <w:t xml:space="preserve">Shaikh et al. </w:t>
      </w:r>
      <w:sdt>
        <w:sdtPr>
          <w:rPr>
            <w:sz w:val="20"/>
            <w:szCs w:val="20"/>
          </w:rPr>
          <w:id w:val="-1289580593"/>
          <w:citation/>
        </w:sdtPr>
        <w:sdtContent>
          <w:r w:rsidR="005F6EB8" w:rsidRPr="002965BD">
            <w:rPr>
              <w:sz w:val="20"/>
              <w:szCs w:val="20"/>
            </w:rPr>
            <w:fldChar w:fldCharType="begin"/>
          </w:r>
          <w:r w:rsidR="005F6EB8" w:rsidRPr="002965BD">
            <w:rPr>
              <w:sz w:val="20"/>
              <w:szCs w:val="20"/>
              <w:lang w:val="en-US"/>
            </w:rPr>
            <w:instrText xml:space="preserve"> CITATION DAS16 \l 1033 </w:instrText>
          </w:r>
          <w:r w:rsidR="005F6EB8" w:rsidRPr="002965BD">
            <w:rPr>
              <w:sz w:val="20"/>
              <w:szCs w:val="20"/>
            </w:rPr>
            <w:fldChar w:fldCharType="separate"/>
          </w:r>
          <w:r w:rsidR="005F6EB8" w:rsidRPr="002965BD">
            <w:rPr>
              <w:noProof/>
              <w:sz w:val="20"/>
              <w:szCs w:val="20"/>
              <w:lang w:val="en-US"/>
            </w:rPr>
            <w:t>[3]</w:t>
          </w:r>
          <w:r w:rsidR="005F6EB8" w:rsidRPr="002965BD">
            <w:rPr>
              <w:sz w:val="20"/>
              <w:szCs w:val="20"/>
            </w:rPr>
            <w:fldChar w:fldCharType="end"/>
          </w:r>
        </w:sdtContent>
      </w:sdt>
      <w:r w:rsidR="002965BD">
        <w:rPr>
          <w:sz w:val="20"/>
          <w:szCs w:val="20"/>
        </w:rPr>
        <w:t xml:space="preserve"> </w:t>
      </w:r>
      <w:r w:rsidRPr="002965BD">
        <w:rPr>
          <w:sz w:val="20"/>
          <w:szCs w:val="20"/>
        </w:rPr>
        <w:t>introduced an autonomous agricultural robot, Agri-Robo, that integrates image processing techniques to identify infected leaves and spray pesticides automatically. The robot navigates through crop rows, captures images using a low-cost onboard camera, and processes them using segmentation methods such as Otsu thresholding and k-means clustering. The system successfully detects diseases like fungal and bacterial infections and applies targeted spraying, demonstrating an early integration of vision-based monitoring with robotic actuation for disease control.</w:t>
      </w:r>
    </w:p>
    <w:p w14:paraId="1D681D3D" w14:textId="159C110B" w:rsidR="00D55CFA" w:rsidRPr="002965BD" w:rsidRDefault="00D55CFA" w:rsidP="002965BD">
      <w:pPr>
        <w:pStyle w:val="p2"/>
        <w:jc w:val="both"/>
        <w:rPr>
          <w:sz w:val="20"/>
          <w:szCs w:val="20"/>
        </w:rPr>
      </w:pPr>
      <w:r w:rsidRPr="002965BD">
        <w:rPr>
          <w:sz w:val="20"/>
          <w:szCs w:val="20"/>
        </w:rPr>
        <w:t>Recent advances in digital agriculture have shifted focus from traditional monitoring toward sensor- and AI-driven approaches. Mahlein et al.</w:t>
      </w:r>
      <w:r w:rsidR="002965BD" w:rsidRPr="002965BD">
        <w:rPr>
          <w:sz w:val="20"/>
          <w:szCs w:val="20"/>
        </w:rPr>
        <w:t xml:space="preserve"> </w:t>
      </w:r>
      <w:sdt>
        <w:sdtPr>
          <w:rPr>
            <w:sz w:val="20"/>
            <w:szCs w:val="20"/>
          </w:rPr>
          <w:id w:val="-1839065105"/>
          <w:citation/>
        </w:sdtPr>
        <w:sdtContent>
          <w:r w:rsidR="002965BD" w:rsidRPr="002965BD">
            <w:rPr>
              <w:sz w:val="20"/>
              <w:szCs w:val="20"/>
            </w:rPr>
            <w:fldChar w:fldCharType="begin"/>
          </w:r>
          <w:r w:rsidR="002965BD" w:rsidRPr="002965BD">
            <w:rPr>
              <w:sz w:val="20"/>
              <w:szCs w:val="20"/>
              <w:lang w:val="en-US"/>
            </w:rPr>
            <w:instrText xml:space="preserve"> CITATION Ann24 \l 1033 </w:instrText>
          </w:r>
          <w:r w:rsidR="002965BD" w:rsidRPr="002965BD">
            <w:rPr>
              <w:sz w:val="20"/>
              <w:szCs w:val="20"/>
            </w:rPr>
            <w:fldChar w:fldCharType="separate"/>
          </w:r>
          <w:r w:rsidR="002965BD" w:rsidRPr="002965BD">
            <w:rPr>
              <w:noProof/>
              <w:sz w:val="20"/>
              <w:szCs w:val="20"/>
              <w:lang w:val="en-US"/>
            </w:rPr>
            <w:t>[4]</w:t>
          </w:r>
          <w:r w:rsidR="002965BD" w:rsidRPr="002965BD">
            <w:rPr>
              <w:sz w:val="20"/>
              <w:szCs w:val="20"/>
            </w:rPr>
            <w:fldChar w:fldCharType="end"/>
          </w:r>
        </w:sdtContent>
      </w:sdt>
      <w:r w:rsidR="002965BD">
        <w:rPr>
          <w:sz w:val="20"/>
          <w:szCs w:val="20"/>
        </w:rPr>
        <w:t xml:space="preserve"> </w:t>
      </w:r>
      <w:r w:rsidRPr="002965BD">
        <w:rPr>
          <w:sz w:val="20"/>
          <w:szCs w:val="20"/>
        </w:rPr>
        <w:t>reviewed the role of optical sensors, robotics, and artificial intelligence in modern plant disease management, emphasizing the importance of multi-sensor integration</w:t>
      </w:r>
      <w:r w:rsidR="002965BD" w:rsidRPr="002965BD">
        <w:rPr>
          <w:sz w:val="20"/>
          <w:szCs w:val="20"/>
        </w:rPr>
        <w:t xml:space="preserve">, </w:t>
      </w:r>
      <w:r w:rsidRPr="002965BD">
        <w:rPr>
          <w:sz w:val="20"/>
          <w:szCs w:val="20"/>
        </w:rPr>
        <w:t>including RGB, multispectral, and hyperspectral imaging</w:t>
      </w:r>
      <w:r w:rsidR="002965BD" w:rsidRPr="002965BD">
        <w:rPr>
          <w:sz w:val="20"/>
          <w:szCs w:val="20"/>
        </w:rPr>
        <w:t xml:space="preserve">, </w:t>
      </w:r>
      <w:r w:rsidRPr="002965BD">
        <w:rPr>
          <w:sz w:val="20"/>
          <w:szCs w:val="20"/>
        </w:rPr>
        <w:t>combined with machine learning for precision diagnosis. They identified six core technological pillars: optical sensing, robotics and actuators, GIS, predictive models, AI computation, and global data networks, forming the basis of smart agriculture systems. The study also highlighted ongoing challenges related to data standardization and the transfer of research innovations to practical agricultural use.</w:t>
      </w:r>
    </w:p>
    <w:p w14:paraId="46710709" w14:textId="3044F41A" w:rsidR="00D55CFA" w:rsidRPr="002965BD" w:rsidRDefault="00D55CFA" w:rsidP="002965BD">
      <w:pPr>
        <w:pStyle w:val="p2"/>
        <w:jc w:val="both"/>
        <w:rPr>
          <w:sz w:val="20"/>
          <w:szCs w:val="20"/>
        </w:rPr>
      </w:pPr>
      <w:r w:rsidRPr="002965BD">
        <w:rPr>
          <w:sz w:val="20"/>
          <w:szCs w:val="20"/>
        </w:rPr>
        <w:t xml:space="preserve">In a more application-focused study, Mac et al. </w:t>
      </w:r>
      <w:sdt>
        <w:sdtPr>
          <w:rPr>
            <w:sz w:val="20"/>
            <w:szCs w:val="20"/>
          </w:rPr>
          <w:id w:val="1587260462"/>
          <w:citation/>
        </w:sdtPr>
        <w:sdtContent>
          <w:r w:rsidR="002965BD" w:rsidRPr="002965BD">
            <w:rPr>
              <w:sz w:val="20"/>
              <w:szCs w:val="20"/>
            </w:rPr>
            <w:fldChar w:fldCharType="begin"/>
          </w:r>
          <w:r w:rsidR="002965BD" w:rsidRPr="002965BD">
            <w:rPr>
              <w:sz w:val="20"/>
              <w:szCs w:val="20"/>
              <w:lang w:val="en-US"/>
            </w:rPr>
            <w:instrText xml:space="preserve"> CITATION Thi24 \l 1033 </w:instrText>
          </w:r>
          <w:r w:rsidR="002965BD" w:rsidRPr="002965BD">
            <w:rPr>
              <w:sz w:val="20"/>
              <w:szCs w:val="20"/>
            </w:rPr>
            <w:fldChar w:fldCharType="separate"/>
          </w:r>
          <w:r w:rsidR="002965BD" w:rsidRPr="002965BD">
            <w:rPr>
              <w:noProof/>
              <w:sz w:val="20"/>
              <w:szCs w:val="20"/>
              <w:lang w:val="en-US"/>
            </w:rPr>
            <w:t>[5]</w:t>
          </w:r>
          <w:r w:rsidR="002965BD" w:rsidRPr="002965BD">
            <w:rPr>
              <w:sz w:val="20"/>
              <w:szCs w:val="20"/>
            </w:rPr>
            <w:fldChar w:fldCharType="end"/>
          </w:r>
        </w:sdtContent>
      </w:sdt>
      <w:r w:rsidR="002965BD" w:rsidRPr="002965BD">
        <w:rPr>
          <w:sz w:val="20"/>
          <w:szCs w:val="20"/>
        </w:rPr>
        <w:t xml:space="preserve"> </w:t>
      </w:r>
      <w:r w:rsidRPr="002965BD">
        <w:rPr>
          <w:sz w:val="20"/>
          <w:szCs w:val="20"/>
        </w:rPr>
        <w:t xml:space="preserve">developed an intelligent greenhouse robotic detection system combining a fuzzy control algorithm for autonomous navigation and a deep learning-based classification model for tomato leaf diseases. Their work proposed an enhanced Deep Convolutional Generative Adversarial Network (DCGAN) that generates synthetic diseased-leaf images to augment limited datasets. By employing Residual Blocks and Spectral Normalization, the model achieved a remarkable 99.69% classification accuracy using the ResNet-152 architecture, demonstrating the potential of GAN-based </w:t>
      </w:r>
      <w:r w:rsidRPr="002965BD">
        <w:rPr>
          <w:sz w:val="20"/>
          <w:szCs w:val="20"/>
        </w:rPr>
        <w:lastRenderedPageBreak/>
        <w:t>augmentation in improving robustness and generalization of deep learning models under variable lighting and occlusion conditions typical in greenhouses.</w:t>
      </w:r>
    </w:p>
    <w:p w14:paraId="034DBA03" w14:textId="1F467EE8" w:rsidR="00D55CFA" w:rsidRPr="002965BD" w:rsidRDefault="00D55CFA" w:rsidP="002965BD">
      <w:pPr>
        <w:pStyle w:val="p2"/>
        <w:jc w:val="both"/>
        <w:rPr>
          <w:sz w:val="20"/>
          <w:szCs w:val="20"/>
        </w:rPr>
      </w:pPr>
      <w:r w:rsidRPr="002965BD">
        <w:rPr>
          <w:sz w:val="20"/>
          <w:szCs w:val="20"/>
        </w:rPr>
        <w:t xml:space="preserve">Complementary to this, Ngugi et al. </w:t>
      </w:r>
      <w:sdt>
        <w:sdtPr>
          <w:rPr>
            <w:sz w:val="20"/>
            <w:szCs w:val="20"/>
          </w:rPr>
          <w:id w:val="-935749499"/>
          <w:citation/>
        </w:sdtPr>
        <w:sdtContent>
          <w:r w:rsidR="002965BD" w:rsidRPr="002965BD">
            <w:rPr>
              <w:sz w:val="20"/>
              <w:szCs w:val="20"/>
            </w:rPr>
            <w:fldChar w:fldCharType="begin"/>
          </w:r>
          <w:r w:rsidR="002965BD" w:rsidRPr="002965BD">
            <w:rPr>
              <w:sz w:val="20"/>
              <w:szCs w:val="20"/>
              <w:lang w:val="en-US"/>
            </w:rPr>
            <w:instrText xml:space="preserve"> CITATION Hab24 \l 1033 </w:instrText>
          </w:r>
          <w:r w:rsidR="002965BD" w:rsidRPr="002965BD">
            <w:rPr>
              <w:sz w:val="20"/>
              <w:szCs w:val="20"/>
            </w:rPr>
            <w:fldChar w:fldCharType="separate"/>
          </w:r>
          <w:r w:rsidR="002965BD" w:rsidRPr="002965BD">
            <w:rPr>
              <w:noProof/>
              <w:sz w:val="20"/>
              <w:szCs w:val="20"/>
              <w:lang w:val="en-US"/>
            </w:rPr>
            <w:t>[6]</w:t>
          </w:r>
          <w:r w:rsidR="002965BD" w:rsidRPr="002965BD">
            <w:rPr>
              <w:sz w:val="20"/>
              <w:szCs w:val="20"/>
            </w:rPr>
            <w:fldChar w:fldCharType="end"/>
          </w:r>
        </w:sdtContent>
      </w:sdt>
      <w:r w:rsidR="002965BD">
        <w:rPr>
          <w:sz w:val="20"/>
          <w:szCs w:val="20"/>
        </w:rPr>
        <w:t xml:space="preserve"> </w:t>
      </w:r>
      <w:r w:rsidRPr="002965BD">
        <w:rPr>
          <w:sz w:val="20"/>
          <w:szCs w:val="20"/>
        </w:rPr>
        <w:t>provided a comprehensive review of computational deep learning approaches for crop disease detection, classification, and severity estimation. Their work emphasized the dominance of convolutional neural networks (CNNs) such as VGG, Inception, and ResNet in current literature while identifying gaps related to limited dataset diversity and lack of focus on emerging models like Capsule Networks and Vision Transformers. The study advocates for hybrid frameworks that integrate multiple deep learning paradigms to manage multi-disease classification in complex agricultural scenarios.</w:t>
      </w:r>
    </w:p>
    <w:p w14:paraId="57E5C899" w14:textId="77777777" w:rsidR="00D55CFA" w:rsidRPr="002965BD" w:rsidRDefault="00D55CFA" w:rsidP="002965BD">
      <w:pPr>
        <w:pStyle w:val="p2"/>
        <w:jc w:val="both"/>
        <w:rPr>
          <w:sz w:val="20"/>
          <w:szCs w:val="20"/>
        </w:rPr>
      </w:pPr>
      <w:r w:rsidRPr="002965BD">
        <w:rPr>
          <w:sz w:val="20"/>
          <w:szCs w:val="20"/>
        </w:rPr>
        <w:t>These technological developments align with the trend toward intelligent agricultural systems where robotic platforms autonomously collect, analyze, and act upon visual and environmental data. The combination of advanced perception (e.g., CNNs, GANs), sensor fusion, and autonomous mobility enables real-time plant health monitoring, paving the way for sustainable, precision-controlled greenhouse environments.</w:t>
      </w:r>
    </w:p>
    <w:p w14:paraId="09BBDC9F" w14:textId="77777777" w:rsidR="00D55CFA" w:rsidRPr="00D55CFA" w:rsidRDefault="00D55CFA" w:rsidP="002965BD">
      <w:pPr>
        <w:spacing w:before="100" w:beforeAutospacing="1" w:after="100" w:afterAutospacing="1" w:line="240" w:lineRule="auto"/>
        <w:jc w:val="both"/>
        <w:rPr>
          <w:rFonts w:ascii="Times New Roman" w:eastAsia="Times New Roman" w:hAnsi="Times New Roman" w:cs="Times New Roman"/>
          <w:kern w:val="0"/>
          <w:sz w:val="20"/>
          <w:szCs w:val="20"/>
          <w:lang w:eastAsia="en-GB"/>
          <w14:ligatures w14:val="none"/>
        </w:rPr>
      </w:pPr>
    </w:p>
    <w:p w14:paraId="0B364104" w14:textId="6B0B2E51" w:rsidR="00D55CFA" w:rsidRPr="002965BD" w:rsidRDefault="00D55CFA" w:rsidP="00D55CFA">
      <w:pPr>
        <w:rPr>
          <w:rFonts w:ascii="Times New Roman" w:hAnsi="Times New Roman" w:cs="Times New Roman"/>
          <w:color w:val="000000" w:themeColor="text1"/>
          <w:sz w:val="20"/>
          <w:szCs w:val="20"/>
        </w:rPr>
      </w:pPr>
      <w:r w:rsidRPr="002965BD">
        <w:rPr>
          <w:rFonts w:ascii="Times New Roman" w:hAnsi="Times New Roman" w:cs="Times New Roman"/>
          <w:sz w:val="20"/>
          <w:szCs w:val="20"/>
        </w:rPr>
        <w:br w:type="page"/>
      </w:r>
    </w:p>
    <w:sdt>
      <w:sdtPr>
        <w:rPr>
          <w:rFonts w:ascii="Times New Roman" w:hAnsi="Times New Roman" w:cs="Times New Roman"/>
          <w:sz w:val="20"/>
          <w:szCs w:val="20"/>
        </w:rPr>
        <w:id w:val="1832792316"/>
        <w:docPartObj>
          <w:docPartGallery w:val="Bibliographies"/>
          <w:docPartUnique/>
        </w:docPartObj>
      </w:sdtPr>
      <w:sdtEndPr>
        <w:rPr>
          <w:rFonts w:eastAsiaTheme="minorHAnsi"/>
          <w:color w:val="auto"/>
        </w:rPr>
      </w:sdtEndPr>
      <w:sdtContent>
        <w:p w14:paraId="6A2D886F" w14:textId="7A3AA380" w:rsidR="002965BD" w:rsidRPr="002965BD" w:rsidRDefault="002965BD">
          <w:pPr>
            <w:pStyle w:val="Heading1"/>
            <w:rPr>
              <w:rFonts w:ascii="Times New Roman" w:hAnsi="Times New Roman" w:cs="Times New Roman"/>
              <w:sz w:val="30"/>
              <w:szCs w:val="30"/>
            </w:rPr>
          </w:pPr>
          <w:r w:rsidRPr="002965BD">
            <w:rPr>
              <w:rFonts w:ascii="Times New Roman" w:hAnsi="Times New Roman" w:cs="Times New Roman"/>
              <w:sz w:val="30"/>
              <w:szCs w:val="30"/>
            </w:rPr>
            <w:t>Bibliography</w:t>
          </w:r>
        </w:p>
        <w:sdt>
          <w:sdtPr>
            <w:rPr>
              <w:rFonts w:ascii="Times New Roman" w:hAnsi="Times New Roman" w:cs="Times New Roman"/>
              <w:sz w:val="20"/>
              <w:szCs w:val="20"/>
            </w:rPr>
            <w:id w:val="111145805"/>
            <w:bibliography/>
          </w:sdtPr>
          <w:sdtContent>
            <w:p w14:paraId="12F17DE6" w14:textId="77777777" w:rsidR="002965BD" w:rsidRPr="002965BD" w:rsidRDefault="002965BD">
              <w:pPr>
                <w:rPr>
                  <w:rFonts w:ascii="Times New Roman" w:hAnsi="Times New Roman" w:cs="Times New Roman"/>
                  <w:noProof/>
                  <w:sz w:val="20"/>
                  <w:szCs w:val="20"/>
                </w:rPr>
              </w:pPr>
              <w:r w:rsidRPr="002965BD">
                <w:rPr>
                  <w:rFonts w:ascii="Times New Roman" w:hAnsi="Times New Roman" w:cs="Times New Roman"/>
                  <w:sz w:val="20"/>
                  <w:szCs w:val="20"/>
                </w:rPr>
                <w:fldChar w:fldCharType="begin"/>
              </w:r>
              <w:r w:rsidRPr="002965BD">
                <w:rPr>
                  <w:rFonts w:ascii="Times New Roman" w:hAnsi="Times New Roman" w:cs="Times New Roman"/>
                  <w:sz w:val="20"/>
                  <w:szCs w:val="20"/>
                </w:rPr>
                <w:instrText xml:space="preserve"> BIBLIOGRAPHY </w:instrText>
              </w:r>
              <w:r w:rsidRPr="002965BD">
                <w:rPr>
                  <w:rFonts w:ascii="Times New Roman" w:hAnsi="Times New Roman" w:cs="Times New Roman"/>
                  <w:sz w:val="20"/>
                  <w:szCs w:val="20"/>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09"/>
                <w:gridCol w:w="3850"/>
              </w:tblGrid>
              <w:tr w:rsidR="002965BD" w:rsidRPr="002965BD" w14:paraId="3C5B173B" w14:textId="77777777">
                <w:trPr>
                  <w:divId w:val="917255255"/>
                  <w:tblCellSpacing w:w="15" w:type="dxa"/>
                </w:trPr>
                <w:tc>
                  <w:tcPr>
                    <w:tcW w:w="50" w:type="pct"/>
                    <w:hideMark/>
                  </w:tcPr>
                  <w:p w14:paraId="036FD7D3" w14:textId="70128E7E" w:rsidR="002965BD" w:rsidRPr="002965BD" w:rsidRDefault="002965BD">
                    <w:pPr>
                      <w:pStyle w:val="Bibliography"/>
                      <w:rPr>
                        <w:rFonts w:ascii="Times New Roman" w:hAnsi="Times New Roman" w:cs="Times New Roman"/>
                        <w:noProof/>
                        <w:kern w:val="0"/>
                        <w:sz w:val="20"/>
                        <w:szCs w:val="20"/>
                        <w14:ligatures w14:val="none"/>
                      </w:rPr>
                    </w:pPr>
                    <w:r w:rsidRPr="002965BD">
                      <w:rPr>
                        <w:rFonts w:ascii="Times New Roman" w:hAnsi="Times New Roman" w:cs="Times New Roman"/>
                        <w:noProof/>
                        <w:sz w:val="20"/>
                        <w:szCs w:val="20"/>
                      </w:rPr>
                      <w:t xml:space="preserve">[1] </w:t>
                    </w:r>
                  </w:p>
                </w:tc>
                <w:tc>
                  <w:tcPr>
                    <w:tcW w:w="0" w:type="auto"/>
                    <w:hideMark/>
                  </w:tcPr>
                  <w:p w14:paraId="74B77046" w14:textId="77777777" w:rsidR="002965BD" w:rsidRPr="002965BD" w:rsidRDefault="002965BD">
                    <w:pPr>
                      <w:pStyle w:val="Bibliography"/>
                      <w:rPr>
                        <w:rFonts w:ascii="Times New Roman" w:hAnsi="Times New Roman" w:cs="Times New Roman"/>
                        <w:noProof/>
                        <w:sz w:val="20"/>
                        <w:szCs w:val="20"/>
                      </w:rPr>
                    </w:pPr>
                    <w:r w:rsidRPr="002965BD">
                      <w:rPr>
                        <w:rFonts w:ascii="Times New Roman" w:hAnsi="Times New Roman" w:cs="Times New Roman"/>
                        <w:noProof/>
                        <w:sz w:val="20"/>
                        <w:szCs w:val="20"/>
                      </w:rPr>
                      <w:t xml:space="preserve">J. J. Z. X. H. H. G. a. J. Y. Sun, "Autonomous Navigation System of Indoor Mobile Robots Using 2D Lidar," </w:t>
                    </w:r>
                    <w:r w:rsidRPr="002965BD">
                      <w:rPr>
                        <w:rFonts w:ascii="Times New Roman" w:hAnsi="Times New Roman" w:cs="Times New Roman"/>
                        <w:i/>
                        <w:iCs/>
                        <w:noProof/>
                        <w:sz w:val="20"/>
                        <w:szCs w:val="20"/>
                      </w:rPr>
                      <w:t xml:space="preserve">Mathematics 11, </w:t>
                    </w:r>
                    <w:r w:rsidRPr="002965BD">
                      <w:rPr>
                        <w:rFonts w:ascii="Times New Roman" w:hAnsi="Times New Roman" w:cs="Times New Roman"/>
                        <w:noProof/>
                        <w:sz w:val="20"/>
                        <w:szCs w:val="20"/>
                      </w:rPr>
                      <w:t xml:space="preserve">vol. 6, 2023. </w:t>
                    </w:r>
                  </w:p>
                </w:tc>
              </w:tr>
              <w:tr w:rsidR="002965BD" w:rsidRPr="002965BD" w14:paraId="1A000324" w14:textId="77777777">
                <w:trPr>
                  <w:divId w:val="917255255"/>
                  <w:tblCellSpacing w:w="15" w:type="dxa"/>
                </w:trPr>
                <w:tc>
                  <w:tcPr>
                    <w:tcW w:w="50" w:type="pct"/>
                    <w:hideMark/>
                  </w:tcPr>
                  <w:p w14:paraId="0D96F832" w14:textId="77777777" w:rsidR="002965BD" w:rsidRPr="002965BD" w:rsidRDefault="002965BD">
                    <w:pPr>
                      <w:pStyle w:val="Bibliography"/>
                      <w:rPr>
                        <w:rFonts w:ascii="Times New Roman" w:hAnsi="Times New Roman" w:cs="Times New Roman"/>
                        <w:noProof/>
                        <w:sz w:val="20"/>
                        <w:szCs w:val="20"/>
                      </w:rPr>
                    </w:pPr>
                    <w:r w:rsidRPr="002965BD">
                      <w:rPr>
                        <w:rFonts w:ascii="Times New Roman" w:hAnsi="Times New Roman" w:cs="Times New Roman"/>
                        <w:noProof/>
                        <w:sz w:val="20"/>
                        <w:szCs w:val="20"/>
                      </w:rPr>
                      <w:t xml:space="preserve">[2] </w:t>
                    </w:r>
                  </w:p>
                </w:tc>
                <w:tc>
                  <w:tcPr>
                    <w:tcW w:w="0" w:type="auto"/>
                    <w:hideMark/>
                  </w:tcPr>
                  <w:p w14:paraId="73BC4DC2" w14:textId="77777777" w:rsidR="002965BD" w:rsidRPr="002965BD" w:rsidRDefault="002965BD">
                    <w:pPr>
                      <w:pStyle w:val="Bibliography"/>
                      <w:rPr>
                        <w:rFonts w:ascii="Times New Roman" w:hAnsi="Times New Roman" w:cs="Times New Roman"/>
                        <w:noProof/>
                        <w:sz w:val="20"/>
                        <w:szCs w:val="20"/>
                      </w:rPr>
                    </w:pPr>
                    <w:r w:rsidRPr="002965BD">
                      <w:rPr>
                        <w:rFonts w:ascii="Times New Roman" w:hAnsi="Times New Roman" w:cs="Times New Roman"/>
                        <w:noProof/>
                        <w:sz w:val="20"/>
                        <w:szCs w:val="20"/>
                      </w:rPr>
                      <w:t xml:space="preserve">J. L. Jiale Liu, "PLM-SLAM: Enhanced Visual SLAM for Mobile Robots in Indoor Dynamic Scenes Leveraging Point-Line Features and Manhattan World Model," </w:t>
                    </w:r>
                    <w:r w:rsidRPr="002965BD">
                      <w:rPr>
                        <w:rFonts w:ascii="Times New Roman" w:hAnsi="Times New Roman" w:cs="Times New Roman"/>
                        <w:i/>
                        <w:iCs/>
                        <w:noProof/>
                        <w:sz w:val="20"/>
                        <w:szCs w:val="20"/>
                      </w:rPr>
                      <w:t xml:space="preserve">Electronics, </w:t>
                    </w:r>
                    <w:r w:rsidRPr="002965BD">
                      <w:rPr>
                        <w:rFonts w:ascii="Times New Roman" w:hAnsi="Times New Roman" w:cs="Times New Roman"/>
                        <w:noProof/>
                        <w:sz w:val="20"/>
                        <w:szCs w:val="20"/>
                      </w:rPr>
                      <w:t xml:space="preserve">vol. 13, 2024. </w:t>
                    </w:r>
                  </w:p>
                </w:tc>
              </w:tr>
              <w:tr w:rsidR="002965BD" w:rsidRPr="002965BD" w14:paraId="200218C7" w14:textId="77777777">
                <w:trPr>
                  <w:divId w:val="917255255"/>
                  <w:tblCellSpacing w:w="15" w:type="dxa"/>
                </w:trPr>
                <w:tc>
                  <w:tcPr>
                    <w:tcW w:w="50" w:type="pct"/>
                    <w:hideMark/>
                  </w:tcPr>
                  <w:p w14:paraId="0D8532B4" w14:textId="77777777" w:rsidR="002965BD" w:rsidRPr="002965BD" w:rsidRDefault="002965BD">
                    <w:pPr>
                      <w:pStyle w:val="Bibliography"/>
                      <w:rPr>
                        <w:rFonts w:ascii="Times New Roman" w:hAnsi="Times New Roman" w:cs="Times New Roman"/>
                        <w:noProof/>
                        <w:sz w:val="20"/>
                        <w:szCs w:val="20"/>
                      </w:rPr>
                    </w:pPr>
                    <w:r w:rsidRPr="002965BD">
                      <w:rPr>
                        <w:rFonts w:ascii="Times New Roman" w:hAnsi="Times New Roman" w:cs="Times New Roman"/>
                        <w:noProof/>
                        <w:sz w:val="20"/>
                        <w:szCs w:val="20"/>
                      </w:rPr>
                      <w:t xml:space="preserve">[3] </w:t>
                    </w:r>
                  </w:p>
                </w:tc>
                <w:tc>
                  <w:tcPr>
                    <w:tcW w:w="0" w:type="auto"/>
                    <w:hideMark/>
                  </w:tcPr>
                  <w:p w14:paraId="49F6E6D3" w14:textId="77777777" w:rsidR="002965BD" w:rsidRPr="002965BD" w:rsidRDefault="002965BD">
                    <w:pPr>
                      <w:pStyle w:val="Bibliography"/>
                      <w:rPr>
                        <w:rFonts w:ascii="Times New Roman" w:hAnsi="Times New Roman" w:cs="Times New Roman"/>
                        <w:noProof/>
                        <w:sz w:val="20"/>
                        <w:szCs w:val="20"/>
                      </w:rPr>
                    </w:pPr>
                    <w:r w:rsidRPr="002965BD">
                      <w:rPr>
                        <w:rFonts w:ascii="Times New Roman" w:hAnsi="Times New Roman" w:cs="Times New Roman"/>
                        <w:noProof/>
                        <w:sz w:val="20"/>
                        <w:szCs w:val="20"/>
                      </w:rPr>
                      <w:t xml:space="preserve">G. A. G. C. P. A. K. P. L. D. A. Shaikh, "Intelligent Autonomous Farming Robot with Plant Disease Detection using Image Processing," </w:t>
                    </w:r>
                    <w:r w:rsidRPr="002965BD">
                      <w:rPr>
                        <w:rFonts w:ascii="Times New Roman" w:hAnsi="Times New Roman" w:cs="Times New Roman"/>
                        <w:i/>
                        <w:iCs/>
                        <w:noProof/>
                        <w:sz w:val="20"/>
                        <w:szCs w:val="20"/>
                      </w:rPr>
                      <w:t xml:space="preserve">International Journal of Advanced Research in Computer and Communication Engineering, </w:t>
                    </w:r>
                    <w:r w:rsidRPr="002965BD">
                      <w:rPr>
                        <w:rFonts w:ascii="Times New Roman" w:hAnsi="Times New Roman" w:cs="Times New Roman"/>
                        <w:noProof/>
                        <w:sz w:val="20"/>
                        <w:szCs w:val="20"/>
                      </w:rPr>
                      <w:t xml:space="preserve">vol. 5, no. 4, 2016. </w:t>
                    </w:r>
                  </w:p>
                </w:tc>
              </w:tr>
              <w:tr w:rsidR="002965BD" w:rsidRPr="002965BD" w14:paraId="71E03D89" w14:textId="77777777">
                <w:trPr>
                  <w:divId w:val="917255255"/>
                  <w:tblCellSpacing w:w="15" w:type="dxa"/>
                </w:trPr>
                <w:tc>
                  <w:tcPr>
                    <w:tcW w:w="50" w:type="pct"/>
                    <w:hideMark/>
                  </w:tcPr>
                  <w:p w14:paraId="0B7D41E5" w14:textId="77777777" w:rsidR="002965BD" w:rsidRPr="002965BD" w:rsidRDefault="002965BD">
                    <w:pPr>
                      <w:pStyle w:val="Bibliography"/>
                      <w:rPr>
                        <w:rFonts w:ascii="Times New Roman" w:hAnsi="Times New Roman" w:cs="Times New Roman"/>
                        <w:noProof/>
                        <w:sz w:val="20"/>
                        <w:szCs w:val="20"/>
                      </w:rPr>
                    </w:pPr>
                    <w:r w:rsidRPr="002965BD">
                      <w:rPr>
                        <w:rFonts w:ascii="Times New Roman" w:hAnsi="Times New Roman" w:cs="Times New Roman"/>
                        <w:noProof/>
                        <w:sz w:val="20"/>
                        <w:szCs w:val="20"/>
                      </w:rPr>
                      <w:t xml:space="preserve">[4] </w:t>
                    </w:r>
                  </w:p>
                </w:tc>
                <w:tc>
                  <w:tcPr>
                    <w:tcW w:w="0" w:type="auto"/>
                    <w:hideMark/>
                  </w:tcPr>
                  <w:p w14:paraId="5F559920" w14:textId="77777777" w:rsidR="002965BD" w:rsidRPr="002965BD" w:rsidRDefault="002965BD">
                    <w:pPr>
                      <w:pStyle w:val="Bibliography"/>
                      <w:rPr>
                        <w:rFonts w:ascii="Times New Roman" w:hAnsi="Times New Roman" w:cs="Times New Roman"/>
                        <w:noProof/>
                        <w:sz w:val="20"/>
                        <w:szCs w:val="20"/>
                      </w:rPr>
                    </w:pPr>
                    <w:r w:rsidRPr="002965BD">
                      <w:rPr>
                        <w:rFonts w:ascii="Times New Roman" w:hAnsi="Times New Roman" w:cs="Times New Roman"/>
                        <w:noProof/>
                        <w:sz w:val="20"/>
                        <w:szCs w:val="20"/>
                      </w:rPr>
                      <w:t xml:space="preserve">J. G. A. B. K.-S. C. E. M. D. P. a. C. H. B. Anne-Katrin Mahlein, "From Detection to Protection: The Role of Optical Sensors, Robots, and Artificial Intelligence in Modern Plant Disease Management," </w:t>
                    </w:r>
                    <w:r w:rsidRPr="002965BD">
                      <w:rPr>
                        <w:rFonts w:ascii="Times New Roman" w:hAnsi="Times New Roman" w:cs="Times New Roman"/>
                        <w:i/>
                        <w:iCs/>
                        <w:noProof/>
                        <w:sz w:val="20"/>
                        <w:szCs w:val="20"/>
                      </w:rPr>
                      <w:t xml:space="preserve">Phytopathology, </w:t>
                    </w:r>
                    <w:r w:rsidRPr="002965BD">
                      <w:rPr>
                        <w:rFonts w:ascii="Times New Roman" w:hAnsi="Times New Roman" w:cs="Times New Roman"/>
                        <w:noProof/>
                        <w:sz w:val="20"/>
                        <w:szCs w:val="20"/>
                      </w:rPr>
                      <w:t xml:space="preserve">vol. 114, 2024. </w:t>
                    </w:r>
                  </w:p>
                </w:tc>
              </w:tr>
              <w:tr w:rsidR="002965BD" w:rsidRPr="002965BD" w14:paraId="088C101D" w14:textId="77777777">
                <w:trPr>
                  <w:divId w:val="917255255"/>
                  <w:tblCellSpacing w:w="15" w:type="dxa"/>
                </w:trPr>
                <w:tc>
                  <w:tcPr>
                    <w:tcW w:w="50" w:type="pct"/>
                    <w:hideMark/>
                  </w:tcPr>
                  <w:p w14:paraId="42A5939A" w14:textId="77777777" w:rsidR="002965BD" w:rsidRPr="002965BD" w:rsidRDefault="002965BD">
                    <w:pPr>
                      <w:pStyle w:val="Bibliography"/>
                      <w:rPr>
                        <w:rFonts w:ascii="Times New Roman" w:hAnsi="Times New Roman" w:cs="Times New Roman"/>
                        <w:noProof/>
                        <w:sz w:val="20"/>
                        <w:szCs w:val="20"/>
                      </w:rPr>
                    </w:pPr>
                    <w:r w:rsidRPr="002965BD">
                      <w:rPr>
                        <w:rFonts w:ascii="Times New Roman" w:hAnsi="Times New Roman" w:cs="Times New Roman"/>
                        <w:noProof/>
                        <w:sz w:val="20"/>
                        <w:szCs w:val="20"/>
                      </w:rPr>
                      <w:t xml:space="preserve">[5] </w:t>
                    </w:r>
                  </w:p>
                </w:tc>
                <w:tc>
                  <w:tcPr>
                    <w:tcW w:w="0" w:type="auto"/>
                    <w:hideMark/>
                  </w:tcPr>
                  <w:p w14:paraId="651C44E6" w14:textId="77777777" w:rsidR="002965BD" w:rsidRPr="002965BD" w:rsidRDefault="002965BD">
                    <w:pPr>
                      <w:pStyle w:val="Bibliography"/>
                      <w:rPr>
                        <w:rFonts w:ascii="Times New Roman" w:hAnsi="Times New Roman" w:cs="Times New Roman"/>
                        <w:noProof/>
                        <w:sz w:val="20"/>
                        <w:szCs w:val="20"/>
                      </w:rPr>
                    </w:pPr>
                    <w:r w:rsidRPr="002965BD">
                      <w:rPr>
                        <w:rFonts w:ascii="Times New Roman" w:hAnsi="Times New Roman" w:cs="Times New Roman"/>
                        <w:noProof/>
                        <w:sz w:val="20"/>
                        <w:szCs w:val="20"/>
                      </w:rPr>
                      <w:t xml:space="preserve">T.-D. N. H.-K. D. D.-T. N. X.-T. N. Thi Thoa Mac, "Intelligent agricultural robotic detection system for greenhouse tomato leaf diseases using soft computing techniques and deep learning," </w:t>
                    </w:r>
                    <w:r w:rsidRPr="002965BD">
                      <w:rPr>
                        <w:rFonts w:ascii="Times New Roman" w:hAnsi="Times New Roman" w:cs="Times New Roman"/>
                        <w:i/>
                        <w:iCs/>
                        <w:noProof/>
                        <w:sz w:val="20"/>
                        <w:szCs w:val="20"/>
                      </w:rPr>
                      <w:t xml:space="preserve">Sci Rep, </w:t>
                    </w:r>
                    <w:r w:rsidRPr="002965BD">
                      <w:rPr>
                        <w:rFonts w:ascii="Times New Roman" w:hAnsi="Times New Roman" w:cs="Times New Roman"/>
                        <w:noProof/>
                        <w:sz w:val="20"/>
                        <w:szCs w:val="20"/>
                      </w:rPr>
                      <w:t xml:space="preserve">vol. 14, 2024. </w:t>
                    </w:r>
                  </w:p>
                </w:tc>
              </w:tr>
              <w:tr w:rsidR="002965BD" w:rsidRPr="002965BD" w14:paraId="6B000B91" w14:textId="77777777">
                <w:trPr>
                  <w:divId w:val="917255255"/>
                  <w:tblCellSpacing w:w="15" w:type="dxa"/>
                </w:trPr>
                <w:tc>
                  <w:tcPr>
                    <w:tcW w:w="50" w:type="pct"/>
                    <w:hideMark/>
                  </w:tcPr>
                  <w:p w14:paraId="0052D2E0" w14:textId="77777777" w:rsidR="002965BD" w:rsidRPr="002965BD" w:rsidRDefault="002965BD">
                    <w:pPr>
                      <w:pStyle w:val="Bibliography"/>
                      <w:rPr>
                        <w:rFonts w:ascii="Times New Roman" w:hAnsi="Times New Roman" w:cs="Times New Roman"/>
                        <w:noProof/>
                        <w:sz w:val="20"/>
                        <w:szCs w:val="20"/>
                      </w:rPr>
                    </w:pPr>
                    <w:r w:rsidRPr="002965BD">
                      <w:rPr>
                        <w:rFonts w:ascii="Times New Roman" w:hAnsi="Times New Roman" w:cs="Times New Roman"/>
                        <w:noProof/>
                        <w:sz w:val="20"/>
                        <w:szCs w:val="20"/>
                      </w:rPr>
                      <w:t xml:space="preserve">[6] </w:t>
                    </w:r>
                  </w:p>
                </w:tc>
                <w:tc>
                  <w:tcPr>
                    <w:tcW w:w="0" w:type="auto"/>
                    <w:hideMark/>
                  </w:tcPr>
                  <w:p w14:paraId="0470808B" w14:textId="77777777" w:rsidR="002965BD" w:rsidRPr="002965BD" w:rsidRDefault="002965BD">
                    <w:pPr>
                      <w:pStyle w:val="Bibliography"/>
                      <w:rPr>
                        <w:rFonts w:ascii="Times New Roman" w:hAnsi="Times New Roman" w:cs="Times New Roman"/>
                        <w:noProof/>
                        <w:sz w:val="20"/>
                        <w:szCs w:val="20"/>
                      </w:rPr>
                    </w:pPr>
                    <w:r w:rsidRPr="002965BD">
                      <w:rPr>
                        <w:rFonts w:ascii="Times New Roman" w:hAnsi="Times New Roman" w:cs="Times New Roman"/>
                        <w:noProof/>
                        <w:sz w:val="20"/>
                        <w:szCs w:val="20"/>
                      </w:rPr>
                      <w:t xml:space="preserve">A. E. E. A. A. A. L. A. Habiba N. Ngugi, "Revolutionizing crop disease detection with computational deep learning: a comprehensive review," </w:t>
                    </w:r>
                    <w:r w:rsidRPr="002965BD">
                      <w:rPr>
                        <w:rFonts w:ascii="Times New Roman" w:hAnsi="Times New Roman" w:cs="Times New Roman"/>
                        <w:i/>
                        <w:iCs/>
                        <w:noProof/>
                        <w:sz w:val="20"/>
                        <w:szCs w:val="20"/>
                      </w:rPr>
                      <w:t xml:space="preserve">Environ Monit Assess, </w:t>
                    </w:r>
                    <w:r w:rsidRPr="002965BD">
                      <w:rPr>
                        <w:rFonts w:ascii="Times New Roman" w:hAnsi="Times New Roman" w:cs="Times New Roman"/>
                        <w:noProof/>
                        <w:sz w:val="20"/>
                        <w:szCs w:val="20"/>
                      </w:rPr>
                      <w:t xml:space="preserve">2024. </w:t>
                    </w:r>
                  </w:p>
                </w:tc>
              </w:tr>
            </w:tbl>
            <w:p w14:paraId="7BC8B54A" w14:textId="77777777" w:rsidR="002965BD" w:rsidRPr="002965BD" w:rsidRDefault="002965BD">
              <w:pPr>
                <w:divId w:val="917255255"/>
                <w:rPr>
                  <w:rFonts w:ascii="Times New Roman" w:eastAsia="Times New Roman" w:hAnsi="Times New Roman" w:cs="Times New Roman"/>
                  <w:noProof/>
                  <w:sz w:val="20"/>
                  <w:szCs w:val="20"/>
                </w:rPr>
              </w:pPr>
            </w:p>
            <w:p w14:paraId="6FD7FED6" w14:textId="683FFF86" w:rsidR="002965BD" w:rsidRPr="002965BD" w:rsidRDefault="002965BD">
              <w:pPr>
                <w:rPr>
                  <w:rFonts w:ascii="Times New Roman" w:hAnsi="Times New Roman" w:cs="Times New Roman"/>
                  <w:sz w:val="20"/>
                  <w:szCs w:val="20"/>
                </w:rPr>
              </w:pPr>
              <w:r w:rsidRPr="002965BD">
                <w:rPr>
                  <w:rFonts w:ascii="Times New Roman" w:hAnsi="Times New Roman" w:cs="Times New Roman"/>
                  <w:b/>
                  <w:bCs/>
                  <w:noProof/>
                  <w:sz w:val="20"/>
                  <w:szCs w:val="20"/>
                </w:rPr>
                <w:fldChar w:fldCharType="end"/>
              </w:r>
            </w:p>
          </w:sdtContent>
        </w:sdt>
      </w:sdtContent>
    </w:sdt>
    <w:p w14:paraId="0404DE68" w14:textId="77777777" w:rsidR="004D690C" w:rsidRPr="002965BD" w:rsidRDefault="004D690C">
      <w:pPr>
        <w:rPr>
          <w:rFonts w:ascii="Times New Roman" w:hAnsi="Times New Roman" w:cs="Times New Roman"/>
          <w:sz w:val="20"/>
          <w:szCs w:val="20"/>
        </w:rPr>
      </w:pPr>
    </w:p>
    <w:sectPr w:rsidR="004D690C" w:rsidRPr="002965BD" w:rsidSect="00D55CFA">
      <w:pgSz w:w="11906" w:h="16838"/>
      <w:pgMar w:top="1440" w:right="1440" w:bottom="1440" w:left="1440"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432B58"/>
    <w:multiLevelType w:val="multilevel"/>
    <w:tmpl w:val="08090027"/>
    <w:lvl w:ilvl="0">
      <w:start w:val="1"/>
      <w:numFmt w:val="upperRoman"/>
      <w:pStyle w:val="Heading1"/>
      <w:lvlText w:val="%1."/>
      <w:lvlJc w:val="left"/>
      <w:pPr>
        <w:ind w:left="0" w:firstLine="0"/>
      </w:pPr>
    </w:lvl>
    <w:lvl w:ilvl="1">
      <w:start w:val="1"/>
      <w:numFmt w:val="upperLetter"/>
      <w:pStyle w:val="Heading2"/>
      <w:lvlText w:val="%2."/>
      <w:lvlJc w:val="left"/>
      <w:pPr>
        <w:ind w:left="720" w:firstLine="0"/>
      </w:pPr>
    </w:lvl>
    <w:lvl w:ilvl="2">
      <w:start w:val="1"/>
      <w:numFmt w:val="decimal"/>
      <w:pStyle w:val="Heading3"/>
      <w:lvlText w:val="%3."/>
      <w:lvlJc w:val="left"/>
      <w:pPr>
        <w:ind w:left="1440" w:firstLine="0"/>
      </w:p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1" w15:restartNumberingAfterBreak="0">
    <w:nsid w:val="58FB69F8"/>
    <w:multiLevelType w:val="hybridMultilevel"/>
    <w:tmpl w:val="CB74BE6E"/>
    <w:lvl w:ilvl="0" w:tplc="C772D772">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594897995">
    <w:abstractNumId w:val="0"/>
  </w:num>
  <w:num w:numId="2" w16cid:durableId="14002073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1F07"/>
    <w:rsid w:val="0026176B"/>
    <w:rsid w:val="00295DE6"/>
    <w:rsid w:val="002965BD"/>
    <w:rsid w:val="0045419A"/>
    <w:rsid w:val="004D690C"/>
    <w:rsid w:val="005F6EB8"/>
    <w:rsid w:val="006F1F07"/>
    <w:rsid w:val="008F16E5"/>
    <w:rsid w:val="00B65E93"/>
    <w:rsid w:val="00D43C80"/>
    <w:rsid w:val="00D55CFA"/>
  </w:rsids>
  <m:mathPr>
    <m:mathFont m:val="Cambria Math"/>
    <m:brkBin m:val="before"/>
    <m:brkBinSub m:val="--"/>
    <m:smallFrac m:val="0"/>
    <m:dispDef/>
    <m:lMargin m:val="0"/>
    <m:rMargin m:val="0"/>
    <m:defJc m:val="centerGroup"/>
    <m:wrapIndent m:val="1440"/>
    <m:intLim m:val="subSup"/>
    <m:naryLim m:val="undOvr"/>
  </m:mathPr>
  <w:themeFontLang w:val="en-RO"/>
  <w:clrSchemeMapping w:bg1="light1" w:t1="dark1" w:bg2="light2" w:t2="dark2" w:accent1="accent1" w:accent2="accent2" w:accent3="accent3" w:accent4="accent4" w:accent5="accent5" w:accent6="accent6" w:hyperlink="hyperlink" w:followedHyperlink="followedHyperlink"/>
  <w:decimalSymbol w:val=","/>
  <w:listSeparator w:val=","/>
  <w14:docId w14:val="449A9494"/>
  <w15:chartTrackingRefBased/>
  <w15:docId w15:val="{E85DC105-7D82-4D4D-A117-119369EB1D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R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1F07"/>
    <w:pPr>
      <w:keepNext/>
      <w:keepLines/>
      <w:numPr>
        <w:numId w:val="1"/>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1F07"/>
    <w:pPr>
      <w:keepNext/>
      <w:keepLines/>
      <w:numPr>
        <w:ilvl w:val="1"/>
        <w:numId w:val="1"/>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F1F07"/>
    <w:pPr>
      <w:keepNext/>
      <w:keepLines/>
      <w:numPr>
        <w:ilvl w:val="2"/>
        <w:numId w:val="1"/>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1F07"/>
    <w:pPr>
      <w:keepNext/>
      <w:keepLines/>
      <w:numPr>
        <w:ilvl w:val="3"/>
        <w:numId w:val="1"/>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1F07"/>
    <w:pPr>
      <w:keepNext/>
      <w:keepLines/>
      <w:numPr>
        <w:ilvl w:val="4"/>
        <w:numId w:val="1"/>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1F07"/>
    <w:pPr>
      <w:keepNext/>
      <w:keepLines/>
      <w:numPr>
        <w:ilvl w:val="5"/>
        <w:numId w:val="1"/>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1F07"/>
    <w:pPr>
      <w:keepNext/>
      <w:keepLines/>
      <w:numPr>
        <w:ilvl w:val="6"/>
        <w:numId w:val="1"/>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1F07"/>
    <w:pPr>
      <w:keepNext/>
      <w:keepLines/>
      <w:numPr>
        <w:ilvl w:val="7"/>
        <w:numId w:val="1"/>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1F07"/>
    <w:pPr>
      <w:keepNext/>
      <w:keepLines/>
      <w:numPr>
        <w:ilvl w:val="8"/>
        <w:numId w:val="1"/>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1F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1F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F1F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1F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1F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1F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1F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1F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1F07"/>
    <w:rPr>
      <w:rFonts w:eastAsiaTheme="majorEastAsia" w:cstheme="majorBidi"/>
      <w:color w:val="272727" w:themeColor="text1" w:themeTint="D8"/>
    </w:rPr>
  </w:style>
  <w:style w:type="paragraph" w:styleId="Title">
    <w:name w:val="Title"/>
    <w:basedOn w:val="Normal"/>
    <w:next w:val="Normal"/>
    <w:link w:val="TitleChar"/>
    <w:uiPriority w:val="10"/>
    <w:qFormat/>
    <w:rsid w:val="006F1F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1F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1F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1F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1F07"/>
    <w:pPr>
      <w:spacing w:before="160"/>
      <w:jc w:val="center"/>
    </w:pPr>
    <w:rPr>
      <w:i/>
      <w:iCs/>
      <w:color w:val="404040" w:themeColor="text1" w:themeTint="BF"/>
    </w:rPr>
  </w:style>
  <w:style w:type="character" w:customStyle="1" w:styleId="QuoteChar">
    <w:name w:val="Quote Char"/>
    <w:basedOn w:val="DefaultParagraphFont"/>
    <w:link w:val="Quote"/>
    <w:uiPriority w:val="29"/>
    <w:rsid w:val="006F1F07"/>
    <w:rPr>
      <w:i/>
      <w:iCs/>
      <w:color w:val="404040" w:themeColor="text1" w:themeTint="BF"/>
    </w:rPr>
  </w:style>
  <w:style w:type="paragraph" w:styleId="ListParagraph">
    <w:name w:val="List Paragraph"/>
    <w:basedOn w:val="Normal"/>
    <w:uiPriority w:val="34"/>
    <w:qFormat/>
    <w:rsid w:val="006F1F07"/>
    <w:pPr>
      <w:ind w:left="720"/>
      <w:contextualSpacing/>
    </w:pPr>
  </w:style>
  <w:style w:type="character" w:styleId="IntenseEmphasis">
    <w:name w:val="Intense Emphasis"/>
    <w:basedOn w:val="DefaultParagraphFont"/>
    <w:uiPriority w:val="21"/>
    <w:qFormat/>
    <w:rsid w:val="006F1F07"/>
    <w:rPr>
      <w:i/>
      <w:iCs/>
      <w:color w:val="0F4761" w:themeColor="accent1" w:themeShade="BF"/>
    </w:rPr>
  </w:style>
  <w:style w:type="paragraph" w:styleId="IntenseQuote">
    <w:name w:val="Intense Quote"/>
    <w:basedOn w:val="Normal"/>
    <w:next w:val="Normal"/>
    <w:link w:val="IntenseQuoteChar"/>
    <w:uiPriority w:val="30"/>
    <w:qFormat/>
    <w:rsid w:val="006F1F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1F07"/>
    <w:rPr>
      <w:i/>
      <w:iCs/>
      <w:color w:val="0F4761" w:themeColor="accent1" w:themeShade="BF"/>
    </w:rPr>
  </w:style>
  <w:style w:type="character" w:styleId="IntenseReference">
    <w:name w:val="Intense Reference"/>
    <w:basedOn w:val="DefaultParagraphFont"/>
    <w:uiPriority w:val="32"/>
    <w:qFormat/>
    <w:rsid w:val="006F1F07"/>
    <w:rPr>
      <w:b/>
      <w:bCs/>
      <w:smallCaps/>
      <w:color w:val="0F4761" w:themeColor="accent1" w:themeShade="BF"/>
      <w:spacing w:val="5"/>
    </w:rPr>
  </w:style>
  <w:style w:type="paragraph" w:customStyle="1" w:styleId="p2">
    <w:name w:val="p2"/>
    <w:basedOn w:val="Normal"/>
    <w:rsid w:val="00D55CFA"/>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p3">
    <w:name w:val="p3"/>
    <w:basedOn w:val="Normal"/>
    <w:rsid w:val="00D55CFA"/>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p1">
    <w:name w:val="p1"/>
    <w:basedOn w:val="Normal"/>
    <w:rsid w:val="00D55CFA"/>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Bibliography">
    <w:name w:val="Bibliography"/>
    <w:basedOn w:val="Normal"/>
    <w:next w:val="Normal"/>
    <w:uiPriority w:val="37"/>
    <w:unhideWhenUsed/>
    <w:rsid w:val="002965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6190513">
      <w:bodyDiv w:val="1"/>
      <w:marLeft w:val="0"/>
      <w:marRight w:val="0"/>
      <w:marTop w:val="0"/>
      <w:marBottom w:val="0"/>
      <w:divBdr>
        <w:top w:val="none" w:sz="0" w:space="0" w:color="auto"/>
        <w:left w:val="none" w:sz="0" w:space="0" w:color="auto"/>
        <w:bottom w:val="none" w:sz="0" w:space="0" w:color="auto"/>
        <w:right w:val="none" w:sz="0" w:space="0" w:color="auto"/>
      </w:divBdr>
    </w:div>
    <w:div w:id="612324678">
      <w:bodyDiv w:val="1"/>
      <w:marLeft w:val="0"/>
      <w:marRight w:val="0"/>
      <w:marTop w:val="0"/>
      <w:marBottom w:val="0"/>
      <w:divBdr>
        <w:top w:val="none" w:sz="0" w:space="0" w:color="auto"/>
        <w:left w:val="none" w:sz="0" w:space="0" w:color="auto"/>
        <w:bottom w:val="none" w:sz="0" w:space="0" w:color="auto"/>
        <w:right w:val="none" w:sz="0" w:space="0" w:color="auto"/>
      </w:divBdr>
    </w:div>
    <w:div w:id="635263719">
      <w:bodyDiv w:val="1"/>
      <w:marLeft w:val="0"/>
      <w:marRight w:val="0"/>
      <w:marTop w:val="0"/>
      <w:marBottom w:val="0"/>
      <w:divBdr>
        <w:top w:val="none" w:sz="0" w:space="0" w:color="auto"/>
        <w:left w:val="none" w:sz="0" w:space="0" w:color="auto"/>
        <w:bottom w:val="none" w:sz="0" w:space="0" w:color="auto"/>
        <w:right w:val="none" w:sz="0" w:space="0" w:color="auto"/>
      </w:divBdr>
    </w:div>
    <w:div w:id="917255255">
      <w:bodyDiv w:val="1"/>
      <w:marLeft w:val="0"/>
      <w:marRight w:val="0"/>
      <w:marTop w:val="0"/>
      <w:marBottom w:val="0"/>
      <w:divBdr>
        <w:top w:val="none" w:sz="0" w:space="0" w:color="auto"/>
        <w:left w:val="none" w:sz="0" w:space="0" w:color="auto"/>
        <w:bottom w:val="none" w:sz="0" w:space="0" w:color="auto"/>
        <w:right w:val="none" w:sz="0" w:space="0" w:color="auto"/>
      </w:divBdr>
    </w:div>
    <w:div w:id="1473214647">
      <w:bodyDiv w:val="1"/>
      <w:marLeft w:val="0"/>
      <w:marRight w:val="0"/>
      <w:marTop w:val="0"/>
      <w:marBottom w:val="0"/>
      <w:divBdr>
        <w:top w:val="none" w:sz="0" w:space="0" w:color="auto"/>
        <w:left w:val="none" w:sz="0" w:space="0" w:color="auto"/>
        <w:bottom w:val="none" w:sz="0" w:space="0" w:color="auto"/>
        <w:right w:val="none" w:sz="0" w:space="0" w:color="auto"/>
      </w:divBdr>
    </w:div>
    <w:div w:id="1851675291">
      <w:bodyDiv w:val="1"/>
      <w:marLeft w:val="0"/>
      <w:marRight w:val="0"/>
      <w:marTop w:val="0"/>
      <w:marBottom w:val="0"/>
      <w:divBdr>
        <w:top w:val="none" w:sz="0" w:space="0" w:color="auto"/>
        <w:left w:val="none" w:sz="0" w:space="0" w:color="auto"/>
        <w:bottom w:val="none" w:sz="0" w:space="0" w:color="auto"/>
        <w:right w:val="none" w:sz="0" w:space="0" w:color="auto"/>
      </w:divBdr>
    </w:div>
    <w:div w:id="1908957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Sun23</b:Tag>
    <b:SourceType>JournalArticle</b:SourceType>
    <b:Guid>{A56372E8-EF16-7D40-B4B6-430D8CAB40D3}</b:Guid>
    <b:Title>Autonomous Navigation System of Indoor Mobile Robots Using 2D Lidar</b:Title>
    <b:JournalName>Mathematics 11</b:JournalName>
    <b:Year>2023</b:Year>
    <b:Volume>6</b:Volume>
    <b:Author>
      <b:Author>
        <b:NameList>
          <b:Person>
            <b:Last>Sun</b:Last>
            <b:First>Jian,</b:First>
            <b:Middle>Jie Zhao, Xiaoyang Hu, Hongwei Gao, and Jiahui Yu.</b:Middle>
          </b:Person>
        </b:NameList>
      </b:Author>
    </b:Author>
    <b:RefOrder>1</b:RefOrder>
  </b:Source>
  <b:Source>
    <b:Tag>Jia24</b:Tag>
    <b:SourceType>JournalArticle</b:SourceType>
    <b:Guid>{708DE984-D71C-C040-A90C-CCFBF01A4EA0}</b:Guid>
    <b:Author>
      <b:Author>
        <b:NameList>
          <b:Person>
            <b:Last>Jiale Liu</b:Last>
            <b:First>Jingwen</b:First>
            <b:Middle>Luo</b:Middle>
          </b:Person>
        </b:NameList>
      </b:Author>
    </b:Author>
    <b:Title>PLM-SLAM: Enhanced Visual SLAM for Mobile Robots in Indoor Dynamic Scenes Leveraging Point-Line Features and Manhattan World Model</b:Title>
    <b:JournalName>Electronics</b:JournalName>
    <b:Year>2024</b:Year>
    <b:Volume>13</b:Volume>
    <b:RefOrder>2</b:RefOrder>
  </b:Source>
  <b:Source>
    <b:Tag>DAS16</b:Tag>
    <b:SourceType>JournalArticle</b:SourceType>
    <b:Guid>{81D0B072-3C83-424B-9A07-8F643F78B53A}</b:Guid>
    <b:Author>
      <b:Author>
        <b:NameList>
          <b:Person>
            <b:Last>D. A. Shaikh</b:Last>
            <b:First>Ghorale</b:First>
            <b:Middle>Akshay G., Chaudhari Prashant A., Kale Parmeshwar L.</b:Middle>
          </b:Person>
        </b:NameList>
      </b:Author>
    </b:Author>
    <b:Title>Intelligent Autonomous Farming Robot with Plant Disease Detection using Image Processing</b:Title>
    <b:JournalName>International Journal of Advanced Research in Computer and Communication Engineering</b:JournalName>
    <b:Year>2016</b:Year>
    <b:Volume>5</b:Volume>
    <b:Issue>4</b:Issue>
    <b:RefOrder>3</b:RefOrder>
  </b:Source>
  <b:Source>
    <b:Tag>Ann24</b:Tag>
    <b:SourceType>JournalArticle</b:SourceType>
    <b:Guid>{B6BC9F9E-D9F9-1345-971B-D5444BC38912}</b:Guid>
    <b:Author>
      <b:Author>
        <b:NameList>
          <b:Person>
            <b:Last>Anne-Katrin Mahlein</b:Last>
            <b:First>Jayme</b:First>
            <b:Middle>G. Arnal Barbedo, Kuo-Szu Chiang, Emerson M. Del Ponte, and Clive H. Bock</b:Middle>
          </b:Person>
        </b:NameList>
      </b:Author>
    </b:Author>
    <b:Title>From Detection to Protection: The Role of Optical Sensors, Robots, and Artificial Intelligence in Modern Plant Disease Management</b:Title>
    <b:JournalName>Phytopathology</b:JournalName>
    <b:Year>2024</b:Year>
    <b:Volume>114</b:Volume>
    <b:RefOrder>4</b:RefOrder>
  </b:Source>
  <b:Source>
    <b:Tag>Thi24</b:Tag>
    <b:SourceType>JournalArticle</b:SourceType>
    <b:Guid>{7E5F1E89-47F7-254A-B11E-BE20134A4ACF}</b:Guid>
    <b:Author>
      <b:Author>
        <b:NameList>
          <b:Person>
            <b:Last>Thi Thoa Mac</b:Last>
            <b:First>Tien-Duc</b:First>
            <b:Middle>Nguyen, Hong-Ky Dang, Duc-Toan Nguyen, Xuan-Thuan Nguyen</b:Middle>
          </b:Person>
        </b:NameList>
      </b:Author>
    </b:Author>
    <b:Title>Intelligent agricultural robotic detection system for greenhouse tomato leaf diseases using soft computing techniques and deep learning</b:Title>
    <b:JournalName>Sci Rep</b:JournalName>
    <b:Year>2024</b:Year>
    <b:Volume>14</b:Volume>
    <b:RefOrder>5</b:RefOrder>
  </b:Source>
  <b:Source>
    <b:Tag>Hab24</b:Tag>
    <b:SourceType>JournalArticle</b:SourceType>
    <b:Guid>{191D5410-F1FD-8841-BE09-26C8AA7A7889}</b:Guid>
    <b:Author>
      <b:Author>
        <b:NameList>
          <b:Person>
            <b:Last>Habiba N. Ngugi</b:Last>
            <b:First>Absalom</b:First>
            <b:Middle>E. Ezugwu, Andronicus A. Akinyelu, Laith Abualigah</b:Middle>
          </b:Person>
        </b:NameList>
      </b:Author>
    </b:Author>
    <b:Title>Revolutionizing crop disease detection with computational deep learning: a comprehensive review</b:Title>
    <b:JournalName>Environ Monit Assess</b:JournalName>
    <b:Year>2024</b:Year>
    <b:RefOrder>6</b:RefOrder>
  </b:Source>
</b:Sources>
</file>

<file path=customXml/itemProps1.xml><?xml version="1.0" encoding="utf-8"?>
<ds:datastoreItem xmlns:ds="http://schemas.openxmlformats.org/officeDocument/2006/customXml" ds:itemID="{46FC82D1-CEEB-0B46-8347-D00C9604FC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1126</Words>
  <Characters>6423</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Razvan Recea</dc:creator>
  <cp:keywords/>
  <dc:description/>
  <cp:lastModifiedBy>Alex Razvan Recea</cp:lastModifiedBy>
  <cp:revision>2</cp:revision>
  <dcterms:created xsi:type="dcterms:W3CDTF">2025-11-05T13:59:00Z</dcterms:created>
  <dcterms:modified xsi:type="dcterms:W3CDTF">2025-11-05T13:59:00Z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b58b62f-6f94-46bd-8089-18e64b0a9abb_Enabled">
    <vt:lpwstr>true</vt:lpwstr>
  </property>
  <property fmtid="{D5CDD505-2E9C-101B-9397-08002B2CF9AE}" pid="3" name="MSIP_Label_5b58b62f-6f94-46bd-8089-18e64b0a9abb_SetDate">
    <vt:lpwstr>2025-11-05T13:27:22Z</vt:lpwstr>
  </property>
  <property fmtid="{D5CDD505-2E9C-101B-9397-08002B2CF9AE}" pid="4" name="MSIP_Label_5b58b62f-6f94-46bd-8089-18e64b0a9abb_Method">
    <vt:lpwstr>Standard</vt:lpwstr>
  </property>
  <property fmtid="{D5CDD505-2E9C-101B-9397-08002B2CF9AE}" pid="5" name="MSIP_Label_5b58b62f-6f94-46bd-8089-18e64b0a9abb_Name">
    <vt:lpwstr>defa4170-0d19-0005-0004-bc88714345d2</vt:lpwstr>
  </property>
  <property fmtid="{D5CDD505-2E9C-101B-9397-08002B2CF9AE}" pid="6" name="MSIP_Label_5b58b62f-6f94-46bd-8089-18e64b0a9abb_SiteId">
    <vt:lpwstr>a6eb79fa-c4a9-4cce-818d-b85274d15305</vt:lpwstr>
  </property>
  <property fmtid="{D5CDD505-2E9C-101B-9397-08002B2CF9AE}" pid="7" name="MSIP_Label_5b58b62f-6f94-46bd-8089-18e64b0a9abb_ActionId">
    <vt:lpwstr>14b3a0d8-da43-43e1-9ac1-a25782ba5910</vt:lpwstr>
  </property>
  <property fmtid="{D5CDD505-2E9C-101B-9397-08002B2CF9AE}" pid="8" name="MSIP_Label_5b58b62f-6f94-46bd-8089-18e64b0a9abb_ContentBits">
    <vt:lpwstr>0</vt:lpwstr>
  </property>
  <property fmtid="{D5CDD505-2E9C-101B-9397-08002B2CF9AE}" pid="9" name="MSIP_Label_5b58b62f-6f94-46bd-8089-18e64b0a9abb_Tag">
    <vt:lpwstr>50, 3, 0, 1</vt:lpwstr>
  </property>
</Properties>
</file>