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DF2" w:rsidRDefault="00025DF2">
      <w:pPr>
        <w:pBdr>
          <w:top w:val="single" w:sz="40" w:space="0" w:color="1B3A6B"/>
        </w:pBdr>
        <w:spacing w:after="600"/>
      </w:pPr>
    </w:p>
    <w:p w:rsidR="00025DF2" w:rsidRDefault="00DE4ED0">
      <w:pPr>
        <w:spacing w:after="160"/>
        <w:jc w:val="center"/>
      </w:pPr>
      <w:r>
        <w:rPr>
          <w:b/>
          <w:bCs/>
          <w:caps/>
          <w:color w:val="1B3A6B"/>
          <w:sz w:val="56"/>
          <w:szCs w:val="56"/>
        </w:rPr>
        <w:t>PLIEGO DE PRESCRIPCIONES TÉCNICAS</w:t>
      </w:r>
    </w:p>
    <w:p w:rsidR="00025DF2" w:rsidRDefault="00DE4ED0">
      <w:pPr>
        <w:spacing w:after="600"/>
        <w:jc w:val="center"/>
      </w:pPr>
      <w:r>
        <w:rPr>
          <w:color w:val="2D6FBF"/>
          <w:sz w:val="28"/>
          <w:szCs w:val="28"/>
        </w:rPr>
        <w:t>Sistema de Centralización, Clasificación e Integración CRM de Correos Electrónicos</w:t>
      </w:r>
    </w:p>
    <w:p w:rsidR="00025DF2" w:rsidRDefault="00025DF2">
      <w:pPr>
        <w:pBdr>
          <w:bottom w:val="single" w:sz="8" w:space="4" w:color="2D6FBF"/>
        </w:pBdr>
        <w:spacing w:after="600"/>
      </w:pPr>
    </w:p>
    <w:p w:rsidR="00025DF2" w:rsidRDefault="00025DF2">
      <w:pPr>
        <w:spacing w:before="200"/>
      </w:pPr>
    </w:p>
    <w:tbl>
      <w:tblPr>
        <w:tblpPr w:horzAnchor="margin"/>
        <w:tblW w:w="6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4118"/>
      </w:tblGrid>
      <w:tr w:rsidR="00025DF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25DF2" w:rsidRDefault="00DE4ED0">
            <w:r>
              <w:rPr>
                <w:b/>
                <w:bCs/>
                <w:color w:val="FFFFFF"/>
              </w:rPr>
              <w:t>Documento:</w:t>
            </w:r>
          </w:p>
        </w:tc>
        <w:tc>
          <w:tcPr>
            <w:tcW w:w="4118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25DF2" w:rsidRDefault="00DE4ED0">
            <w:r>
              <w:rPr>
                <w:color w:val="1F2937"/>
              </w:rPr>
              <w:t>Pliego de Prescripciones Técnicas (PPT)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25DF2" w:rsidRDefault="00DE4ED0">
            <w:r>
              <w:rPr>
                <w:b/>
                <w:bCs/>
                <w:color w:val="FFFFFF"/>
              </w:rPr>
              <w:t>Versión:</w:t>
            </w:r>
          </w:p>
        </w:tc>
        <w:tc>
          <w:tcPr>
            <w:tcW w:w="4118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25DF2" w:rsidRDefault="00DE4ED0">
            <w:r>
              <w:rPr>
                <w:color w:val="1F2937"/>
              </w:rPr>
              <w:t>1.0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25DF2" w:rsidRDefault="00DE4ED0">
            <w:r>
              <w:rPr>
                <w:b/>
                <w:bCs/>
                <w:color w:val="FFFFFF"/>
              </w:rPr>
              <w:t>Fecha:</w:t>
            </w:r>
          </w:p>
        </w:tc>
        <w:tc>
          <w:tcPr>
            <w:tcW w:w="4118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25DF2" w:rsidRDefault="00DE4ED0">
            <w:r>
              <w:rPr>
                <w:color w:val="1F2937"/>
              </w:rPr>
              <w:t>Mayo 2026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25DF2" w:rsidRDefault="00DE4ED0">
            <w:r>
              <w:rPr>
                <w:b/>
                <w:bCs/>
                <w:color w:val="FFFFFF"/>
              </w:rPr>
              <w:t>Autor:</w:t>
            </w:r>
          </w:p>
        </w:tc>
        <w:tc>
          <w:tcPr>
            <w:tcW w:w="4118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25DF2" w:rsidRDefault="00DE4ED0">
            <w:r>
              <w:rPr>
                <w:color w:val="1F2937"/>
              </w:rPr>
              <w:t>_________________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25DF2" w:rsidRDefault="00DE4ED0">
            <w:r>
              <w:rPr>
                <w:b/>
                <w:bCs/>
                <w:color w:val="FFFFFF"/>
              </w:rPr>
              <w:t>Cliente:</w:t>
            </w:r>
          </w:p>
        </w:tc>
        <w:tc>
          <w:tcPr>
            <w:tcW w:w="4118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25DF2" w:rsidRDefault="00DE4ED0">
            <w:r>
              <w:rPr>
                <w:color w:val="1F2937"/>
              </w:rPr>
              <w:t xml:space="preserve">Be </w:t>
            </w:r>
            <w:proofErr w:type="spellStart"/>
            <w:r>
              <w:rPr>
                <w:color w:val="1F2937"/>
              </w:rPr>
              <w:t>Expand</w:t>
            </w:r>
            <w:proofErr w:type="spellEnd"/>
          </w:p>
        </w:tc>
      </w:tr>
    </w:tbl>
    <w:p w:rsidR="00025DF2" w:rsidRDefault="00025DF2">
      <w:pPr>
        <w:spacing w:before="400"/>
      </w:pPr>
    </w:p>
    <w:p w:rsidR="00025DF2" w:rsidRDefault="00DE4ED0">
      <w:pPr>
        <w:spacing w:before="600" w:after="100"/>
        <w:jc w:val="center"/>
      </w:pPr>
      <w:r>
        <w:rPr>
          <w:i/>
          <w:iCs/>
          <w:color w:val="6B7280"/>
          <w:sz w:val="20"/>
          <w:szCs w:val="20"/>
        </w:rPr>
        <w:t xml:space="preserve">Proyecto: </w:t>
      </w:r>
      <w:proofErr w:type="spellStart"/>
      <w:r>
        <w:rPr>
          <w:i/>
          <w:iCs/>
          <w:color w:val="6B7280"/>
          <w:sz w:val="20"/>
          <w:szCs w:val="20"/>
        </w:rPr>
        <w:t>BeExpand</w:t>
      </w:r>
      <w:proofErr w:type="spellEnd"/>
      <w:r>
        <w:rPr>
          <w:i/>
          <w:iCs/>
          <w:color w:val="6B7280"/>
          <w:sz w:val="20"/>
          <w:szCs w:val="20"/>
        </w:rPr>
        <w:t>-</w:t>
      </w:r>
      <w:proofErr w:type="spellStart"/>
      <w:r>
        <w:rPr>
          <w:i/>
          <w:iCs/>
          <w:color w:val="6B7280"/>
          <w:sz w:val="20"/>
          <w:szCs w:val="20"/>
        </w:rPr>
        <w:t>Fedeto</w:t>
      </w:r>
      <w:proofErr w:type="spellEnd"/>
      <w:r>
        <w:rPr>
          <w:i/>
          <w:iCs/>
          <w:color w:val="6B7280"/>
          <w:sz w:val="20"/>
          <w:szCs w:val="20"/>
        </w:rPr>
        <w:t>-CRM-Email</w:t>
      </w:r>
    </w:p>
    <w:p w:rsidR="00025DF2" w:rsidRDefault="00DE4ED0">
      <w:pPr>
        <w:pStyle w:val="Heading10"/>
        <w:pBdr>
          <w:bottom w:val="single" w:sz="4" w:space="4" w:color="2D6FBF"/>
        </w:pBdr>
      </w:pPr>
      <w:r>
        <w:t>1. OBJETO DEL PLIEGO</w:t>
      </w:r>
    </w:p>
    <w:p w:rsidR="00025DF2" w:rsidRDefault="00DE4ED0">
      <w:pPr>
        <w:spacing w:after="100"/>
      </w:pPr>
      <w:r>
        <w:rPr>
          <w:color w:val="1F2937"/>
        </w:rPr>
        <w:t>El presente Pliego de Prescripciones Técnicas tiene por objeto definir las condiciones técnicas que regirán el desarrollo del sistema de centralización, clasificación e integración CRM de correos ele</w:t>
      </w:r>
      <w:r>
        <w:rPr>
          <w:color w:val="1F2937"/>
        </w:rPr>
        <w:t xml:space="preserve">ctrónicos para la empresa Be </w:t>
      </w:r>
      <w:proofErr w:type="spellStart"/>
      <w:r>
        <w:rPr>
          <w:color w:val="1F2937"/>
        </w:rPr>
        <w:t>Expand</w:t>
      </w:r>
      <w:proofErr w:type="spellEnd"/>
      <w:r>
        <w:rPr>
          <w:color w:val="1F2937"/>
        </w:rPr>
        <w:t>. Este documento recoge el alcance, los requisitos funcionales y no funcionales, la planificación temporal, los entregables y los criterios de aceptación del proyecto.</w:t>
      </w:r>
      <w:r w:rsidR="00A109F0">
        <w:rPr>
          <w:color w:val="1F2937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7.3pt;height:324.85pt">
            <v:imagedata r:id="rId7" o:title="diagrama_completo"/>
          </v:shape>
        </w:pict>
      </w:r>
    </w:p>
    <w:p w:rsidR="00025DF2" w:rsidRDefault="00DE4ED0">
      <w:pPr>
        <w:pStyle w:val="Heading10"/>
        <w:pBdr>
          <w:bottom w:val="single" w:sz="4" w:space="4" w:color="2D6FBF"/>
        </w:pBdr>
      </w:pPr>
      <w:r>
        <w:lastRenderedPageBreak/>
        <w:t>2. ALCANCE DEL PROYECTO</w:t>
      </w:r>
    </w:p>
    <w:p w:rsidR="00025DF2" w:rsidRDefault="00DE4ED0">
      <w:pPr>
        <w:pStyle w:val="Heading20"/>
      </w:pPr>
      <w:r>
        <w:t>2.1 Objetivo General</w:t>
      </w:r>
    </w:p>
    <w:p w:rsidR="00025DF2" w:rsidRDefault="00DE4ED0">
      <w:pPr>
        <w:spacing w:after="100"/>
      </w:pPr>
      <w:r>
        <w:rPr>
          <w:color w:val="1F2937"/>
        </w:rPr>
        <w:t>Desarrol</w:t>
      </w:r>
      <w:r>
        <w:rPr>
          <w:color w:val="1F2937"/>
        </w:rPr>
        <w:t>lar un sistema que permita centralizar y estructurar la información clave proveniente del correo electrónico empresarial, facilitando la identificación de contactos, su clasificación (cliente, lead, proveedor, etc.) y el estado de las interacciones, con in</w:t>
      </w:r>
      <w:r>
        <w:rPr>
          <w:color w:val="1F2937"/>
        </w:rPr>
        <w:t>tegración automática en el CRM.</w:t>
      </w:r>
    </w:p>
    <w:p w:rsidR="00025DF2" w:rsidRDefault="00DE4ED0">
      <w:pPr>
        <w:pStyle w:val="Heading20"/>
      </w:pPr>
      <w:r>
        <w:t>2.2 Módulos del Sistema</w:t>
      </w:r>
    </w:p>
    <w:p w:rsidR="00025DF2" w:rsidRDefault="00DE4ED0">
      <w:pPr>
        <w:spacing w:after="100"/>
      </w:pPr>
      <w:r>
        <w:rPr>
          <w:color w:val="1F2937"/>
        </w:rPr>
        <w:t>El sistema se compone de los siguientes módulos: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1B3A6B"/>
        </w:rPr>
        <w:t xml:space="preserve">Módulo de Ingesta de Correos — </w:t>
      </w:r>
      <w:r>
        <w:rPr>
          <w:color w:val="1F2937"/>
        </w:rPr>
        <w:t xml:space="preserve">Conexión a cuenta intermedia, descarga, </w:t>
      </w:r>
      <w:proofErr w:type="spellStart"/>
      <w:r>
        <w:rPr>
          <w:color w:val="1F2937"/>
        </w:rPr>
        <w:t>parseo</w:t>
      </w:r>
      <w:proofErr w:type="spellEnd"/>
      <w:r>
        <w:rPr>
          <w:color w:val="1F2937"/>
        </w:rPr>
        <w:t xml:space="preserve"> y filtrado de correos electrónicos.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1B3A6B"/>
        </w:rPr>
        <w:t xml:space="preserve">Módulo de Clasificación — </w:t>
      </w:r>
      <w:r>
        <w:rPr>
          <w:color w:val="1F2937"/>
        </w:rPr>
        <w:t>Identificación y clasificación de contactos, determinación de estado y relevancia.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1B3A6B"/>
        </w:rPr>
        <w:t xml:space="preserve">Módulo de Integración CRM — </w:t>
      </w:r>
      <w:r>
        <w:rPr>
          <w:color w:val="1F2937"/>
        </w:rPr>
        <w:t>Sincronización bidireccional de contactos, interacciones y oportunidades con el CRM.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1B3A6B"/>
        </w:rPr>
        <w:t xml:space="preserve">Módulo de </w:t>
      </w:r>
      <w:proofErr w:type="spellStart"/>
      <w:r>
        <w:rPr>
          <w:b/>
          <w:bCs/>
          <w:color w:val="1B3A6B"/>
        </w:rPr>
        <w:t>Frontend</w:t>
      </w:r>
      <w:proofErr w:type="spellEnd"/>
      <w:r>
        <w:rPr>
          <w:b/>
          <w:bCs/>
          <w:color w:val="1B3A6B"/>
        </w:rPr>
        <w:t xml:space="preserve"> y </w:t>
      </w:r>
      <w:proofErr w:type="spellStart"/>
      <w:r>
        <w:rPr>
          <w:b/>
          <w:bCs/>
          <w:color w:val="1B3A6B"/>
        </w:rPr>
        <w:t>Dashboards</w:t>
      </w:r>
      <w:proofErr w:type="spellEnd"/>
      <w:r>
        <w:rPr>
          <w:b/>
          <w:bCs/>
          <w:color w:val="1B3A6B"/>
        </w:rPr>
        <w:t xml:space="preserve"> — </w:t>
      </w:r>
      <w:r>
        <w:rPr>
          <w:color w:val="1F2937"/>
        </w:rPr>
        <w:t xml:space="preserve">Interfaz web con resúmenes, vistas de contactos, pipeline de oportunidades y </w:t>
      </w:r>
      <w:proofErr w:type="spellStart"/>
      <w:r>
        <w:rPr>
          <w:color w:val="1F2937"/>
        </w:rPr>
        <w:t>reporting</w:t>
      </w:r>
      <w:proofErr w:type="spellEnd"/>
      <w:r>
        <w:rPr>
          <w:color w:val="1F2937"/>
        </w:rPr>
        <w:t>.</w:t>
      </w:r>
    </w:p>
    <w:p w:rsidR="00025DF2" w:rsidRDefault="00025DF2">
      <w:pPr>
        <w:spacing w:before="80"/>
      </w:pPr>
    </w:p>
    <w:p w:rsidR="00025DF2" w:rsidRDefault="00DE4ED0">
      <w:pPr>
        <w:pStyle w:val="Heading20"/>
      </w:pPr>
      <w:r>
        <w:t>2.3 Exclusiones</w:t>
      </w:r>
    </w:p>
    <w:p w:rsidR="00025DF2" w:rsidRDefault="00DE4ED0">
      <w:pPr>
        <w:spacing w:after="100"/>
      </w:pPr>
      <w:r>
        <w:rPr>
          <w:color w:val="1F2937"/>
        </w:rPr>
        <w:t>Quedan fuera del alcance del proyecto: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>La migración de datos históricos del CRM existente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>La integración con otros sistemas distintos al CRM acordado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>E</w:t>
      </w:r>
      <w:r>
        <w:rPr>
          <w:color w:val="1F2937"/>
        </w:rPr>
        <w:t>l mantenimiento evolutivo posterior a la entrega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 xml:space="preserve">La infraestructura de </w:t>
      </w:r>
      <w:proofErr w:type="spellStart"/>
      <w:r>
        <w:rPr>
          <w:color w:val="1F2937"/>
        </w:rPr>
        <w:t>hosting</w:t>
      </w:r>
      <w:proofErr w:type="spellEnd"/>
      <w:r>
        <w:rPr>
          <w:color w:val="1F2937"/>
        </w:rPr>
        <w:t xml:space="preserve"> (servidores, dominios, certificados SSL)</w:t>
      </w:r>
    </w:p>
    <w:p w:rsidR="00025DF2" w:rsidRDefault="00025DF2">
      <w:pPr>
        <w:spacing w:before="80"/>
      </w:pPr>
    </w:p>
    <w:p w:rsidR="00025DF2" w:rsidRDefault="00DE4ED0">
      <w:pPr>
        <w:pStyle w:val="Heading10"/>
        <w:pBdr>
          <w:bottom w:val="single" w:sz="4" w:space="4" w:color="2D6FBF"/>
        </w:pBdr>
      </w:pPr>
      <w:r>
        <w:t>3. REQUISITOS FUNCIONALES</w:t>
      </w:r>
    </w:p>
    <w:p w:rsidR="00025DF2" w:rsidRDefault="00DE4ED0">
      <w:pPr>
        <w:pStyle w:val="Heading20"/>
      </w:pPr>
      <w:r>
        <w:t>RF1 — Ingesta de Correos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300"/>
        <w:gridCol w:w="6326"/>
        <w:gridCol w:w="1400"/>
      </w:tblGrid>
      <w:tr w:rsidR="00025DF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6326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4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RF1.1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 xml:space="preserve">Conexión a cuenta intermedia vía IMAP o Microsoft </w:t>
            </w:r>
            <w:proofErr w:type="spellStart"/>
            <w:r>
              <w:rPr>
                <w:color w:val="1F2937"/>
                <w:sz w:val="20"/>
                <w:szCs w:val="20"/>
              </w:rPr>
              <w:t>Graph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API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Alta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RF1.2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 xml:space="preserve">Descarga y </w:t>
            </w:r>
            <w:proofErr w:type="spellStart"/>
            <w:r>
              <w:rPr>
                <w:color w:val="1F2937"/>
                <w:sz w:val="20"/>
                <w:szCs w:val="20"/>
              </w:rPr>
              <w:t>parseo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automático de correos (asunto, cuerpo, remitente, destinatarios, adjuntos)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Alta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RF1.3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Filtrado de correos irrelevantes (</w:t>
            </w:r>
            <w:proofErr w:type="spellStart"/>
            <w:r>
              <w:rPr>
                <w:color w:val="1F2937"/>
                <w:sz w:val="20"/>
                <w:szCs w:val="20"/>
              </w:rPr>
              <w:t>spam</w:t>
            </w:r>
            <w:proofErr w:type="spellEnd"/>
            <w:r>
              <w:rPr>
                <w:color w:val="1F2937"/>
                <w:sz w:val="20"/>
                <w:szCs w:val="20"/>
              </w:rPr>
              <w:t>, automáticos, no deseados)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Alta</w:t>
            </w:r>
          </w:p>
        </w:tc>
      </w:tr>
    </w:tbl>
    <w:p w:rsidR="00025DF2" w:rsidRDefault="00025DF2">
      <w:pPr>
        <w:spacing w:before="160"/>
      </w:pPr>
    </w:p>
    <w:p w:rsidR="00025DF2" w:rsidRDefault="00DE4ED0">
      <w:pPr>
        <w:pStyle w:val="Heading20"/>
      </w:pPr>
      <w:r>
        <w:t>RF2 — Clasificación de Contactos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300"/>
        <w:gridCol w:w="6326"/>
        <w:gridCol w:w="1400"/>
      </w:tblGrid>
      <w:tr w:rsidR="00025DF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6326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4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RF2.1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Identificar tipo de contacto: Cliente, Lead, Proveedor, Otro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Alta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RF2.2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Extraer datos de contacto: nombre, email, empresa, cargo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Alta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RF2.3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Detectar si el contacto es nuevo o ya existe en el CRM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Alta</w:t>
            </w:r>
          </w:p>
        </w:tc>
      </w:tr>
    </w:tbl>
    <w:p w:rsidR="00025DF2" w:rsidRDefault="00025DF2">
      <w:pPr>
        <w:spacing w:before="160"/>
      </w:pPr>
    </w:p>
    <w:p w:rsidR="00025DF2" w:rsidRDefault="00DE4ED0">
      <w:pPr>
        <w:pStyle w:val="Heading20"/>
      </w:pPr>
      <w:r>
        <w:t>RF3 — Determinación de Estado y Relevancia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300"/>
        <w:gridCol w:w="6326"/>
        <w:gridCol w:w="1400"/>
      </w:tblGrid>
      <w:tr w:rsidR="00025DF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6326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4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RF3.1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Asignar estado: Pendiente, En seguimiento, Cerrado, Escalado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Alta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RF3.2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Asignar nivel de relevancia: Alta, Media, Baja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Alta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RF3.3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Detectar oportunidades de negocio en el contenido del correo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Media</w:t>
            </w:r>
          </w:p>
        </w:tc>
      </w:tr>
    </w:tbl>
    <w:p w:rsidR="00025DF2" w:rsidRDefault="00025DF2">
      <w:pPr>
        <w:spacing w:before="160"/>
      </w:pPr>
    </w:p>
    <w:p w:rsidR="00025DF2" w:rsidRDefault="00DE4ED0">
      <w:pPr>
        <w:pStyle w:val="Heading20"/>
      </w:pPr>
      <w:r>
        <w:t>RF4 — Integración con CRM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300"/>
        <w:gridCol w:w="6326"/>
        <w:gridCol w:w="1400"/>
      </w:tblGrid>
      <w:tr w:rsidR="00025DF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6326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4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RF4.1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Crear automáticamente contactos en el CRM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Alta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RF4.2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Actualizar contactos existentes en el CRM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Alta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RF4.3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Registrar interacciones (historial de correos asociado a cada contacto)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Media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RF4.4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Crear y actualizar oportunidades en el CRM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Media</w:t>
            </w:r>
          </w:p>
        </w:tc>
      </w:tr>
    </w:tbl>
    <w:p w:rsidR="00025DF2" w:rsidRDefault="00025DF2">
      <w:pPr>
        <w:spacing w:before="160"/>
      </w:pPr>
    </w:p>
    <w:p w:rsidR="00025DF2" w:rsidRDefault="00DE4ED0">
      <w:pPr>
        <w:pStyle w:val="Heading20"/>
      </w:pPr>
      <w:r>
        <w:t xml:space="preserve">RF5 — </w:t>
      </w:r>
      <w:proofErr w:type="spellStart"/>
      <w:r>
        <w:t>Dashboard</w:t>
      </w:r>
      <w:proofErr w:type="spellEnd"/>
      <w:r>
        <w:t xml:space="preserve"> y </w:t>
      </w:r>
      <w:proofErr w:type="spellStart"/>
      <w:r>
        <w:t>Reporting</w:t>
      </w:r>
      <w:proofErr w:type="spellEnd"/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300"/>
        <w:gridCol w:w="6326"/>
        <w:gridCol w:w="1400"/>
      </w:tblGrid>
      <w:tr w:rsidR="00025DF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6326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4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RF5.1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Resumen diario/semanal de actividad comercial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Media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RF5.2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Vista de contactos con búsqueda y filtros (tipo, estado, fecha, relevancia)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Media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RF5.3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Vista de pipeline de oportunidades con estados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Media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color w:val="1F2937"/>
                <w:sz w:val="20"/>
                <w:szCs w:val="20"/>
              </w:rPr>
              <w:t>RF5.4</w:t>
            </w:r>
          </w:p>
        </w:tc>
        <w:tc>
          <w:tcPr>
            <w:tcW w:w="63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Autenticación de usuarios (</w:t>
            </w:r>
            <w:proofErr w:type="spellStart"/>
            <w:r>
              <w:rPr>
                <w:color w:val="1F2937"/>
                <w:sz w:val="20"/>
                <w:szCs w:val="20"/>
              </w:rPr>
              <w:t>login</w:t>
            </w:r>
            <w:proofErr w:type="spellEnd"/>
            <w:r>
              <w:rPr>
                <w:color w:val="1F2937"/>
                <w:sz w:val="20"/>
                <w:szCs w:val="20"/>
              </w:rPr>
              <w:t>, roles, permisos)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Media</w:t>
            </w:r>
          </w:p>
        </w:tc>
      </w:tr>
    </w:tbl>
    <w:p w:rsidR="00025DF2" w:rsidRDefault="00025DF2">
      <w:pPr>
        <w:spacing w:before="80"/>
      </w:pPr>
    </w:p>
    <w:p w:rsidR="00025DF2" w:rsidRDefault="00DE4ED0">
      <w:pPr>
        <w:pStyle w:val="Heading10"/>
        <w:pBdr>
          <w:bottom w:val="single" w:sz="4" w:space="4" w:color="2D6FBF"/>
        </w:pBdr>
      </w:pPr>
      <w:r>
        <w:t>4. REQUISITOS NO FUNCIONALES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300"/>
        <w:gridCol w:w="1800"/>
        <w:gridCol w:w="5926"/>
      </w:tblGrid>
      <w:tr w:rsidR="00025DF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18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5926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RNF1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Seguridad</w:t>
            </w:r>
          </w:p>
        </w:tc>
        <w:tc>
          <w:tcPr>
            <w:tcW w:w="59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Autenticación de usuarios; cifrado de credenciales de buzones y CRM; cumplimiento GDPR en almacenamiento de datos personales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RNF2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Rendimiento</w:t>
            </w:r>
          </w:p>
        </w:tc>
        <w:tc>
          <w:tcPr>
            <w:tcW w:w="59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Procesamiento eficiente de alto volumen de correos; respuesta en interfaz inferior a 2 segundos en consultas comunes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RNF3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Escalabilidad</w:t>
            </w:r>
          </w:p>
        </w:tc>
        <w:tc>
          <w:tcPr>
            <w:tcW w:w="59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Capacidad de añadir nuevos buzones sin reconfigurar el sistema; arquitectura modular que permita crecimiento horizontal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RNF4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Disponibilidad</w:t>
            </w:r>
          </w:p>
        </w:tc>
        <w:tc>
          <w:tcPr>
            <w:tcW w:w="59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Tolerancia a fallos en el módulo de ingesta; sistema de reintentos ante caídas del CRM o servidor de correo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RNF5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Usabilidad</w:t>
            </w:r>
          </w:p>
        </w:tc>
        <w:tc>
          <w:tcPr>
            <w:tcW w:w="59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 xml:space="preserve">Interfaz intuitiva, </w:t>
            </w:r>
            <w:proofErr w:type="spellStart"/>
            <w:r>
              <w:rPr>
                <w:color w:val="1F2937"/>
                <w:sz w:val="20"/>
                <w:szCs w:val="20"/>
              </w:rPr>
              <w:t>responsive</w:t>
            </w:r>
            <w:proofErr w:type="spellEnd"/>
            <w:r>
              <w:rPr>
                <w:color w:val="1F2937"/>
                <w:sz w:val="20"/>
                <w:szCs w:val="20"/>
              </w:rPr>
              <w:t>, accesible desde navegador web estándar</w:t>
            </w:r>
          </w:p>
        </w:tc>
      </w:tr>
    </w:tbl>
    <w:p w:rsidR="00025DF2" w:rsidRDefault="00025DF2">
      <w:pPr>
        <w:spacing w:before="80"/>
      </w:pPr>
    </w:p>
    <w:p w:rsidR="00025DF2" w:rsidRDefault="00DE4ED0">
      <w:pPr>
        <w:pStyle w:val="Heading10"/>
        <w:pBdr>
          <w:bottom w:val="single" w:sz="4" w:space="4" w:color="2D6FBF"/>
        </w:pBdr>
      </w:pPr>
      <w:r>
        <w:lastRenderedPageBreak/>
        <w:t>5. ARQUITECTURA TECNOLÓGICA</w:t>
      </w:r>
    </w:p>
    <w:p w:rsidR="00025DF2" w:rsidRDefault="00DE4ED0">
      <w:pPr>
        <w:pStyle w:val="Heading20"/>
      </w:pPr>
      <w:r>
        <w:t xml:space="preserve">5.1 </w:t>
      </w:r>
      <w:proofErr w:type="spellStart"/>
      <w:r>
        <w:t>Stack</w:t>
      </w:r>
      <w:proofErr w:type="spellEnd"/>
      <w:r>
        <w:t xml:space="preserve"> Propuesto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0"/>
        <w:gridCol w:w="2500"/>
        <w:gridCol w:w="4526"/>
      </w:tblGrid>
      <w:tr w:rsidR="00025DF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5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4526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roofErr w:type="spellStart"/>
            <w:r>
              <w:rPr>
                <w:color w:val="1F2937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5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roofErr w:type="spellStart"/>
            <w:r>
              <w:rPr>
                <w:color w:val="1F2937"/>
                <w:sz w:val="20"/>
                <w:szCs w:val="20"/>
              </w:rPr>
              <w:t>Python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Node.js</w:t>
            </w:r>
          </w:p>
        </w:tc>
        <w:tc>
          <w:tcPr>
            <w:tcW w:w="45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A definir tras reunión con cliente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Base de Datos</w:t>
            </w:r>
          </w:p>
        </w:tc>
        <w:tc>
          <w:tcPr>
            <w:tcW w:w="25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roofErr w:type="spellStart"/>
            <w:r>
              <w:rPr>
                <w:color w:val="1F2937"/>
                <w:sz w:val="20"/>
                <w:szCs w:val="20"/>
              </w:rPr>
              <w:t>PostgreSQL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MongoDB</w:t>
            </w:r>
            <w:proofErr w:type="spellEnd"/>
          </w:p>
        </w:tc>
        <w:tc>
          <w:tcPr>
            <w:tcW w:w="45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A definir según modelo de datos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roofErr w:type="spellStart"/>
            <w:r>
              <w:rPr>
                <w:color w:val="1F2937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5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roofErr w:type="spellStart"/>
            <w:r>
              <w:rPr>
                <w:color w:val="1F2937"/>
                <w:sz w:val="20"/>
                <w:szCs w:val="20"/>
              </w:rPr>
              <w:t>React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Vue.js</w:t>
            </w:r>
          </w:p>
        </w:tc>
        <w:tc>
          <w:tcPr>
            <w:tcW w:w="45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 xml:space="preserve">A definir según </w:t>
            </w:r>
            <w:proofErr w:type="spellStart"/>
            <w:r>
              <w:rPr>
                <w:color w:val="1F2937"/>
                <w:sz w:val="20"/>
                <w:szCs w:val="20"/>
              </w:rPr>
              <w:t>stack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final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 xml:space="preserve">Email </w:t>
            </w:r>
            <w:proofErr w:type="spellStart"/>
            <w:r>
              <w:rPr>
                <w:color w:val="1F2937"/>
                <w:sz w:val="20"/>
                <w:szCs w:val="20"/>
              </w:rPr>
              <w:t>Processing</w:t>
            </w:r>
            <w:proofErr w:type="spellEnd"/>
          </w:p>
        </w:tc>
        <w:tc>
          <w:tcPr>
            <w:tcW w:w="25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 xml:space="preserve">IMAP / Microsoft </w:t>
            </w:r>
            <w:proofErr w:type="spellStart"/>
            <w:r>
              <w:rPr>
                <w:color w:val="1F2937"/>
                <w:sz w:val="20"/>
                <w:szCs w:val="20"/>
              </w:rPr>
              <w:t>Graph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API</w:t>
            </w:r>
          </w:p>
        </w:tc>
        <w:tc>
          <w:tcPr>
            <w:tcW w:w="45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A confirmar según plataforma de correo del cliente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CRM</w:t>
            </w:r>
          </w:p>
        </w:tc>
        <w:tc>
          <w:tcPr>
            <w:tcW w:w="25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roofErr w:type="spellStart"/>
            <w:r>
              <w:rPr>
                <w:color w:val="1F2937"/>
                <w:sz w:val="20"/>
                <w:szCs w:val="20"/>
              </w:rPr>
              <w:t>HubSpot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Salesforce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API</w:t>
            </w:r>
          </w:p>
        </w:tc>
        <w:tc>
          <w:tcPr>
            <w:tcW w:w="45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A confirmar según CRM del cliente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Contenedores</w:t>
            </w:r>
          </w:p>
        </w:tc>
        <w:tc>
          <w:tcPr>
            <w:tcW w:w="25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roofErr w:type="spellStart"/>
            <w:r>
              <w:rPr>
                <w:color w:val="1F2937"/>
                <w:sz w:val="20"/>
                <w:szCs w:val="20"/>
              </w:rPr>
              <w:t>Docker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F2937"/>
                <w:sz w:val="20"/>
                <w:szCs w:val="20"/>
              </w:rPr>
              <w:t>docker-compose</w:t>
            </w:r>
            <w:proofErr w:type="spellEnd"/>
          </w:p>
        </w:tc>
        <w:tc>
          <w:tcPr>
            <w:tcW w:w="45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Para entornos de desarrollo y producción</w:t>
            </w:r>
          </w:p>
        </w:tc>
      </w:tr>
    </w:tbl>
    <w:p w:rsidR="00025DF2" w:rsidRDefault="00025DF2">
      <w:pPr>
        <w:spacing w:before="80"/>
      </w:pPr>
    </w:p>
    <w:p w:rsidR="00025DF2" w:rsidRDefault="00DE4ED0">
      <w:pPr>
        <w:pStyle w:val="Heading10"/>
        <w:pBdr>
          <w:bottom w:val="single" w:sz="4" w:space="4" w:color="2D6FBF"/>
        </w:pBdr>
      </w:pPr>
      <w:r>
        <w:t xml:space="preserve">6. PLANIFICACIÓN </w:t>
      </w:r>
      <w:proofErr w:type="gramStart"/>
      <w:r>
        <w:t>Y</w:t>
      </w:r>
      <w:proofErr w:type="gramEnd"/>
      <w:r>
        <w:t xml:space="preserve"> HITOS</w:t>
      </w:r>
    </w:p>
    <w:p w:rsidR="00025DF2" w:rsidRDefault="00DE4ED0">
      <w:pPr>
        <w:pStyle w:val="Heading20"/>
      </w:pPr>
      <w:r>
        <w:t xml:space="preserve">6.1 </w:t>
      </w:r>
      <w:proofErr w:type="spellStart"/>
      <w:r>
        <w:t>Milestones</w:t>
      </w:r>
      <w:proofErr w:type="spellEnd"/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200"/>
        <w:gridCol w:w="5826"/>
        <w:gridCol w:w="2000"/>
      </w:tblGrid>
      <w:tr w:rsidR="00025DF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Hito</w:t>
            </w:r>
          </w:p>
        </w:tc>
        <w:tc>
          <w:tcPr>
            <w:tcW w:w="5826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0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Fecha estimada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M1</w:t>
            </w:r>
          </w:p>
        </w:tc>
        <w:tc>
          <w:tcPr>
            <w:tcW w:w="58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Análisis y Diseño</w:t>
            </w:r>
          </w:p>
        </w:tc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Semana 1–2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M2</w:t>
            </w:r>
          </w:p>
        </w:tc>
        <w:tc>
          <w:tcPr>
            <w:tcW w:w="58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Núcleo de Procesamiento</w:t>
            </w:r>
          </w:p>
        </w:tc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Semana 2–3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M3</w:t>
            </w:r>
          </w:p>
        </w:tc>
        <w:tc>
          <w:tcPr>
            <w:tcW w:w="58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Clasificación e Integración CRM</w:t>
            </w:r>
          </w:p>
        </w:tc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Semana 3–4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M4</w:t>
            </w:r>
          </w:p>
        </w:tc>
        <w:tc>
          <w:tcPr>
            <w:tcW w:w="58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roofErr w:type="spellStart"/>
            <w:r>
              <w:rPr>
                <w:color w:val="1F2937"/>
                <w:sz w:val="20"/>
                <w:szCs w:val="20"/>
              </w:rPr>
              <w:t>Frontend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1F2937"/>
                <w:sz w:val="20"/>
                <w:szCs w:val="20"/>
              </w:rPr>
              <w:t>Dashboards</w:t>
            </w:r>
            <w:proofErr w:type="spellEnd"/>
          </w:p>
        </w:tc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Semana 4–5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M5</w:t>
            </w:r>
          </w:p>
        </w:tc>
        <w:tc>
          <w:tcPr>
            <w:tcW w:w="58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Pruebas y Despliegue</w:t>
            </w:r>
          </w:p>
        </w:tc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Semana 5–6</w:t>
            </w:r>
          </w:p>
        </w:tc>
      </w:tr>
    </w:tbl>
    <w:p w:rsidR="00025DF2" w:rsidRDefault="00025DF2">
      <w:pPr>
        <w:spacing w:before="160"/>
      </w:pPr>
    </w:p>
    <w:p w:rsidR="00025DF2" w:rsidRDefault="00DE4ED0">
      <w:pPr>
        <w:pStyle w:val="Heading20"/>
      </w:pPr>
      <w:r>
        <w:t>6.2 Distribución Temporal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0"/>
        <w:gridCol w:w="1400"/>
        <w:gridCol w:w="1600"/>
        <w:gridCol w:w="4026"/>
      </w:tblGrid>
      <w:tr w:rsidR="00025DF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4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Horas</w:t>
            </w:r>
          </w:p>
        </w:tc>
        <w:tc>
          <w:tcPr>
            <w:tcW w:w="16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% del total</w:t>
            </w:r>
          </w:p>
        </w:tc>
        <w:tc>
          <w:tcPr>
            <w:tcW w:w="4026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Módulos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0h → 30h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30h</w:t>
            </w:r>
          </w:p>
        </w:tc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33%</w:t>
            </w:r>
          </w:p>
        </w:tc>
        <w:tc>
          <w:tcPr>
            <w:tcW w:w="40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M1 completo + M2 (inicio)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30h → 60h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30h</w:t>
            </w:r>
          </w:p>
        </w:tc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33%</w:t>
            </w:r>
          </w:p>
        </w:tc>
        <w:tc>
          <w:tcPr>
            <w:tcW w:w="40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M2 (resto) + M3 completo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60h → 90h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31h</w:t>
            </w:r>
          </w:p>
        </w:tc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34%</w:t>
            </w:r>
          </w:p>
        </w:tc>
        <w:tc>
          <w:tcPr>
            <w:tcW w:w="40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M4 + M5 completos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D0E3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1F2937"/>
                <w:sz w:val="20"/>
                <w:szCs w:val="20"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D0E3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1F2937"/>
                <w:sz w:val="20"/>
                <w:szCs w:val="20"/>
              </w:rPr>
              <w:t>91h</w:t>
            </w:r>
          </w:p>
        </w:tc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D0E3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1F2937"/>
                <w:sz w:val="20"/>
                <w:szCs w:val="20"/>
              </w:rPr>
              <w:t>100%</w:t>
            </w:r>
          </w:p>
        </w:tc>
        <w:tc>
          <w:tcPr>
            <w:tcW w:w="40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D0E3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025DF2"/>
        </w:tc>
      </w:tr>
    </w:tbl>
    <w:p w:rsidR="00025DF2" w:rsidRDefault="00025DF2">
      <w:pPr>
        <w:spacing w:before="80"/>
      </w:pPr>
    </w:p>
    <w:p w:rsidR="00025DF2" w:rsidRDefault="00DE4ED0">
      <w:pPr>
        <w:pStyle w:val="Heading10"/>
        <w:pBdr>
          <w:bottom w:val="single" w:sz="4" w:space="4" w:color="2D6FBF"/>
        </w:pBdr>
      </w:pPr>
      <w:r>
        <w:t>7. ENTREGABLES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1B3A6B"/>
        </w:rPr>
        <w:t xml:space="preserve">Documentación de análisis — </w:t>
      </w:r>
      <w:r>
        <w:rPr>
          <w:color w:val="1F2937"/>
        </w:rPr>
        <w:t xml:space="preserve">Requisitos funcionales y no funcionales, arquitectura del sistema, modelo de datos, </w:t>
      </w:r>
      <w:proofErr w:type="spellStart"/>
      <w:r>
        <w:rPr>
          <w:color w:val="1F2937"/>
        </w:rPr>
        <w:t>wireframes</w:t>
      </w:r>
      <w:proofErr w:type="spellEnd"/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1B3A6B"/>
        </w:rPr>
        <w:t xml:space="preserve">Código fuente — </w:t>
      </w:r>
      <w:r>
        <w:rPr>
          <w:color w:val="1F2937"/>
        </w:rPr>
        <w:t xml:space="preserve">Repositorio completo con </w:t>
      </w:r>
      <w:proofErr w:type="spellStart"/>
      <w:r>
        <w:rPr>
          <w:color w:val="1F2937"/>
        </w:rPr>
        <w:t>backend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frontend</w:t>
      </w:r>
      <w:proofErr w:type="spellEnd"/>
      <w:r>
        <w:rPr>
          <w:color w:val="1F2937"/>
        </w:rPr>
        <w:t xml:space="preserve"> e infraestructura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1B3A6B"/>
        </w:rPr>
        <w:t xml:space="preserve">Documentación técnica — </w:t>
      </w:r>
      <w:r>
        <w:rPr>
          <w:color w:val="1F2937"/>
        </w:rPr>
        <w:t>Manual de despliegue, configuración y API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1B3A6B"/>
        </w:rPr>
        <w:lastRenderedPageBreak/>
        <w:t>Documentación de u</w:t>
      </w:r>
      <w:r>
        <w:rPr>
          <w:b/>
          <w:bCs/>
          <w:color w:val="1B3A6B"/>
        </w:rPr>
        <w:t xml:space="preserve">suario — </w:t>
      </w:r>
      <w:r>
        <w:rPr>
          <w:color w:val="1F2937"/>
        </w:rPr>
        <w:t xml:space="preserve">Guía de uso del </w:t>
      </w:r>
      <w:proofErr w:type="spellStart"/>
      <w:r>
        <w:rPr>
          <w:color w:val="1F2937"/>
        </w:rPr>
        <w:t>dashboard</w:t>
      </w:r>
      <w:proofErr w:type="spellEnd"/>
      <w:r>
        <w:rPr>
          <w:color w:val="1F2937"/>
        </w:rPr>
        <w:t xml:space="preserve"> y funcionalidades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1B3A6B"/>
        </w:rPr>
        <w:t xml:space="preserve">Plan de pruebas — </w:t>
      </w:r>
      <w:r>
        <w:rPr>
          <w:color w:val="1F2937"/>
        </w:rPr>
        <w:t>Casos de prueba y resultados</w:t>
      </w:r>
    </w:p>
    <w:p w:rsidR="00025DF2" w:rsidRDefault="00025DF2">
      <w:pPr>
        <w:spacing w:before="80"/>
      </w:pPr>
    </w:p>
    <w:p w:rsidR="00025DF2" w:rsidRDefault="00DE4ED0">
      <w:pPr>
        <w:pStyle w:val="Heading10"/>
        <w:pBdr>
          <w:bottom w:val="single" w:sz="4" w:space="4" w:color="2D6FBF"/>
        </w:pBdr>
      </w:pPr>
      <w:r>
        <w:t>8. CRITERIOS DE ACEPTACIÓN</w:t>
      </w:r>
    </w:p>
    <w:p w:rsidR="00025DF2" w:rsidRDefault="00DE4ED0">
      <w:pPr>
        <w:spacing w:after="100"/>
      </w:pPr>
      <w:r>
        <w:rPr>
          <w:color w:val="1F2937"/>
        </w:rPr>
        <w:t>El sistema se considerará aceptado cuando: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 xml:space="preserve">El módulo de ingesta sea capaz de conectarse a la cuenta intermedia, descargar, </w:t>
      </w:r>
      <w:proofErr w:type="spellStart"/>
      <w:r>
        <w:rPr>
          <w:color w:val="1F2937"/>
        </w:rPr>
        <w:t>parsear</w:t>
      </w:r>
      <w:proofErr w:type="spellEnd"/>
      <w:r>
        <w:rPr>
          <w:color w:val="1F2937"/>
        </w:rPr>
        <w:t xml:space="preserve"> y filtrar correos correctamente.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>El módulo de clasificación identifique correctamente el tipo de contacto y asigne estado y relevancia según las reglas definidas.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>La in</w:t>
      </w:r>
      <w:r>
        <w:rPr>
          <w:color w:val="1F2937"/>
        </w:rPr>
        <w:t>tegración con el CRM cree y actualice contactos de forma automática y sin duplicados.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 xml:space="preserve">El </w:t>
      </w:r>
      <w:proofErr w:type="spellStart"/>
      <w:r>
        <w:rPr>
          <w:color w:val="1F2937"/>
        </w:rPr>
        <w:t>dashboard</w:t>
      </w:r>
      <w:proofErr w:type="spellEnd"/>
      <w:r>
        <w:rPr>
          <w:color w:val="1F2937"/>
        </w:rPr>
        <w:t xml:space="preserve"> muestre los datos de actividad, contactos y pipeline de manera correcta y actualizada.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>Todas las pruebas de integración se hayan ejecutado sin errores crític</w:t>
      </w:r>
      <w:r>
        <w:rPr>
          <w:color w:val="1F2937"/>
        </w:rPr>
        <w:t>os.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>La documentación técnica y de usuario esté completa y entregada.</w:t>
      </w:r>
    </w:p>
    <w:p w:rsidR="00025DF2" w:rsidRDefault="00025DF2">
      <w:pPr>
        <w:spacing w:before="80"/>
      </w:pPr>
    </w:p>
    <w:p w:rsidR="00025DF2" w:rsidRDefault="00DE4ED0">
      <w:pPr>
        <w:pStyle w:val="Heading10"/>
        <w:pBdr>
          <w:bottom w:val="single" w:sz="4" w:space="4" w:color="2D6FBF"/>
        </w:pBdr>
      </w:pPr>
      <w:r>
        <w:t>9. PRESUPUESTO ESTIMADO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226"/>
        <w:gridCol w:w="1800"/>
      </w:tblGrid>
      <w:tr w:rsidR="00025DF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26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1800" w:type="dxa"/>
            <w:tcBorders>
              <w:top w:val="single" w:sz="1" w:space="0" w:color="2D6FBF"/>
              <w:left w:val="single" w:sz="1" w:space="0" w:color="2D6FBF"/>
              <w:bottom w:val="single" w:sz="1" w:space="0" w:color="2D6FBF"/>
              <w:right w:val="single" w:sz="1" w:space="0" w:color="2D6FB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FFFFFF"/>
                <w:sz w:val="20"/>
                <w:szCs w:val="20"/>
              </w:rPr>
              <w:t>Horas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72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Análisis y Diseño (M1)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15h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72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Núcleo de Procesamiento (M2)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19h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72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Clasificación e Integración CRM (M3)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25h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72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proofErr w:type="spellStart"/>
            <w:r>
              <w:rPr>
                <w:color w:val="1F2937"/>
                <w:sz w:val="20"/>
                <w:szCs w:val="20"/>
              </w:rPr>
              <w:t>Frontend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1F2937"/>
                <w:sz w:val="20"/>
                <w:szCs w:val="20"/>
              </w:rPr>
              <w:t>Dashboards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(M4)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20h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72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Pruebas y Despliegue (M5)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color w:val="1F2937"/>
                <w:sz w:val="20"/>
                <w:szCs w:val="20"/>
              </w:rPr>
              <w:t>12h</w:t>
            </w:r>
          </w:p>
        </w:tc>
      </w:tr>
      <w:tr w:rsidR="00025DF2">
        <w:tblPrEx>
          <w:tblCellMar>
            <w:top w:w="0" w:type="dxa"/>
            <w:bottom w:w="0" w:type="dxa"/>
          </w:tblCellMar>
        </w:tblPrEx>
        <w:tc>
          <w:tcPr>
            <w:tcW w:w="7226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D0E3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1F2937"/>
                <w:sz w:val="20"/>
                <w:szCs w:val="20"/>
              </w:rPr>
              <w:t>Total estimado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D0E3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25DF2" w:rsidRDefault="00DE4ED0">
            <w:r>
              <w:rPr>
                <w:b/>
                <w:bCs/>
                <w:color w:val="1F2937"/>
                <w:sz w:val="20"/>
                <w:szCs w:val="20"/>
              </w:rPr>
              <w:t>91h</w:t>
            </w:r>
          </w:p>
        </w:tc>
      </w:tr>
    </w:tbl>
    <w:p w:rsidR="00025DF2" w:rsidRDefault="00025DF2">
      <w:pPr>
        <w:spacing w:before="80"/>
      </w:pPr>
    </w:p>
    <w:p w:rsidR="00025DF2" w:rsidRDefault="00DE4ED0">
      <w:pPr>
        <w:pStyle w:val="Heading10"/>
        <w:pBdr>
          <w:bottom w:val="single" w:sz="4" w:space="4" w:color="2D6FBF"/>
        </w:pBdr>
      </w:pPr>
      <w:r>
        <w:t>10. OBLIGACIONES DE LAS PARTES</w:t>
      </w:r>
    </w:p>
    <w:p w:rsidR="00025DF2" w:rsidRDefault="00DE4ED0">
      <w:pPr>
        <w:pStyle w:val="Heading20"/>
      </w:pPr>
      <w:r>
        <w:t>10.1 Del desarrollador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>Entregar el sistema funcional según los requisitos definidos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>Entregar la documentación completa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>Respetar los plazos acordados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>Comunicar cualquier desviación o incidencia de forma temprana</w:t>
      </w:r>
    </w:p>
    <w:p w:rsidR="00025DF2" w:rsidRDefault="00025DF2">
      <w:pPr>
        <w:spacing w:before="80"/>
      </w:pPr>
    </w:p>
    <w:p w:rsidR="00025DF2" w:rsidRDefault="00DE4ED0">
      <w:pPr>
        <w:pStyle w:val="Heading20"/>
      </w:pPr>
      <w:r>
        <w:t xml:space="preserve">10.2 Del cliente (Be </w:t>
      </w:r>
      <w:proofErr w:type="spellStart"/>
      <w:r>
        <w:t>Expand</w:t>
      </w:r>
      <w:proofErr w:type="spellEnd"/>
      <w:r>
        <w:t>)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>Proporcionar acceso a la cuenta intermedia de correo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 xml:space="preserve">Proporcionar acceso al CRM (API </w:t>
      </w:r>
      <w:proofErr w:type="spellStart"/>
      <w:r>
        <w:rPr>
          <w:color w:val="1F2937"/>
        </w:rPr>
        <w:t>keys</w:t>
      </w:r>
      <w:proofErr w:type="spellEnd"/>
      <w:r>
        <w:rPr>
          <w:color w:val="1F2937"/>
        </w:rPr>
        <w:t>, credenciales de prueba)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>Validar los entregables en los plazos acordados</w:t>
      </w:r>
    </w:p>
    <w:p w:rsidR="00025DF2" w:rsidRDefault="00DE4ED0">
      <w:pPr>
        <w:pStyle w:val="Prrafodelista"/>
        <w:numPr>
          <w:ilvl w:val="0"/>
          <w:numId w:val="2"/>
        </w:numPr>
        <w:spacing w:after="80"/>
      </w:pPr>
      <w:r>
        <w:rPr>
          <w:color w:val="1F2937"/>
        </w:rPr>
        <w:t>Resolver dudas y tomar decisiones técnicas en tiempo y forma</w:t>
      </w:r>
    </w:p>
    <w:p w:rsidR="00025DF2" w:rsidRDefault="00025DF2">
      <w:pPr>
        <w:spacing w:before="80"/>
      </w:pPr>
    </w:p>
    <w:p w:rsidR="00025DF2" w:rsidRDefault="00DE4ED0">
      <w:pPr>
        <w:pStyle w:val="Heading10"/>
        <w:pBdr>
          <w:bottom w:val="single" w:sz="4" w:space="4" w:color="2D6FBF"/>
        </w:pBdr>
      </w:pPr>
      <w:r>
        <w:t>11. PROPIEDAD INTELECTUAL</w:t>
      </w:r>
    </w:p>
    <w:p w:rsidR="00025DF2" w:rsidRDefault="00DE4ED0">
      <w:pPr>
        <w:spacing w:after="100"/>
      </w:pPr>
      <w:r>
        <w:rPr>
          <w:color w:val="1F2937"/>
        </w:rPr>
        <w:t xml:space="preserve">El código fuente y la documentación generada en el marco de este proyecto serán propiedad del cliente (Be </w:t>
      </w:r>
      <w:proofErr w:type="spellStart"/>
      <w:r>
        <w:rPr>
          <w:color w:val="1F2937"/>
        </w:rPr>
        <w:t>Expand</w:t>
      </w:r>
      <w:proofErr w:type="spellEnd"/>
      <w:r>
        <w:rPr>
          <w:color w:val="1F2937"/>
        </w:rPr>
        <w:t>), quedando el desarrollador exento de responsabilidades</w:t>
      </w:r>
      <w:r>
        <w:rPr>
          <w:color w:val="1F2937"/>
        </w:rPr>
        <w:t xml:space="preserve"> por el uso indebido del sistema tras la entrega.</w:t>
      </w:r>
    </w:p>
    <w:p w:rsidR="00025DF2" w:rsidRDefault="00025DF2">
      <w:pPr>
        <w:spacing w:before="400"/>
      </w:pPr>
    </w:p>
    <w:p w:rsidR="00025DF2" w:rsidRDefault="00DE4ED0">
      <w:pPr>
        <w:spacing w:after="80"/>
      </w:pPr>
      <w:r>
        <w:rPr>
          <w:color w:val="1F2937"/>
        </w:rPr>
        <w:t>_________________________</w:t>
      </w:r>
    </w:p>
    <w:p w:rsidR="00025DF2" w:rsidRDefault="00DE4ED0">
      <w:pPr>
        <w:spacing w:after="400"/>
      </w:pPr>
      <w:r>
        <w:rPr>
          <w:i/>
          <w:iCs/>
          <w:color w:val="6B7280"/>
          <w:sz w:val="20"/>
          <w:szCs w:val="20"/>
        </w:rPr>
        <w:t>Firma del desarrollador</w:t>
      </w:r>
    </w:p>
    <w:p w:rsidR="00025DF2" w:rsidRDefault="00DE4ED0">
      <w:pPr>
        <w:spacing w:after="80"/>
      </w:pPr>
      <w:r>
        <w:rPr>
          <w:color w:val="1F2937"/>
        </w:rPr>
        <w:t>_________________________</w:t>
      </w:r>
    </w:p>
    <w:p w:rsidR="00025DF2" w:rsidRDefault="00DE4ED0">
      <w:pPr>
        <w:spacing w:after="200"/>
      </w:pPr>
      <w:r>
        <w:rPr>
          <w:i/>
          <w:iCs/>
          <w:color w:val="6B7280"/>
          <w:sz w:val="20"/>
          <w:szCs w:val="20"/>
        </w:rPr>
        <w:t xml:space="preserve">Firma del cliente (Be </w:t>
      </w:r>
      <w:proofErr w:type="spellStart"/>
      <w:r>
        <w:rPr>
          <w:i/>
          <w:iCs/>
          <w:color w:val="6B7280"/>
          <w:sz w:val="20"/>
          <w:szCs w:val="20"/>
        </w:rPr>
        <w:t>Expand</w:t>
      </w:r>
      <w:proofErr w:type="spellEnd"/>
      <w:r>
        <w:rPr>
          <w:i/>
          <w:iCs/>
          <w:color w:val="6B7280"/>
          <w:sz w:val="20"/>
          <w:szCs w:val="20"/>
        </w:rPr>
        <w:t>)</w:t>
      </w:r>
    </w:p>
    <w:p w:rsidR="00025DF2" w:rsidRDefault="00DE4ED0">
      <w:pPr>
        <w:spacing w:before="200"/>
        <w:jc w:val="center"/>
      </w:pPr>
      <w:r>
        <w:rPr>
          <w:i/>
          <w:iCs/>
          <w:color w:val="6B7280"/>
          <w:sz w:val="20"/>
          <w:szCs w:val="20"/>
        </w:rPr>
        <w:t>Documento generado el _____ de _____________ de 2026</w:t>
      </w:r>
    </w:p>
    <w:sectPr w:rsidR="00025DF2" w:rsidSect="00025DF2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4ED0" w:rsidRDefault="00DE4ED0" w:rsidP="00025DF2">
      <w:r>
        <w:separator/>
      </w:r>
    </w:p>
  </w:endnote>
  <w:endnote w:type="continuationSeparator" w:id="0">
    <w:p w:rsidR="00DE4ED0" w:rsidRDefault="00DE4ED0" w:rsidP="00025DF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DF2" w:rsidRDefault="00DE4ED0">
    <w:pPr>
      <w:pBdr>
        <w:top w:val="single" w:sz="3" w:space="4" w:color="2D6FBF"/>
      </w:pBdr>
      <w:spacing w:before="80"/>
    </w:pPr>
    <w:r>
      <w:rPr>
        <w:i/>
        <w:iCs/>
        <w:color w:val="6B7280"/>
        <w:sz w:val="16"/>
        <w:szCs w:val="16"/>
      </w:rPr>
      <w:t xml:space="preserve">Confidencial · Be </w:t>
    </w:r>
    <w:proofErr w:type="spellStart"/>
    <w:r>
      <w:rPr>
        <w:i/>
        <w:iCs/>
        <w:color w:val="6B7280"/>
        <w:sz w:val="16"/>
        <w:szCs w:val="16"/>
      </w:rPr>
      <w:t>Expand</w:t>
    </w:r>
    <w:proofErr w:type="spellEnd"/>
    <w:r>
      <w:rPr>
        <w:i/>
        <w:iCs/>
        <w:color w:val="6B7280"/>
        <w:sz w:val="16"/>
        <w:szCs w:val="16"/>
      </w:rPr>
      <w:t xml:space="preserve"> 2026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4ED0" w:rsidRDefault="00DE4ED0" w:rsidP="00025DF2">
      <w:r>
        <w:separator/>
      </w:r>
    </w:p>
  </w:footnote>
  <w:footnote w:type="continuationSeparator" w:id="0">
    <w:p w:rsidR="00DE4ED0" w:rsidRDefault="00DE4ED0" w:rsidP="00025DF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DF2" w:rsidRDefault="00DE4ED0">
    <w:pPr>
      <w:pBdr>
        <w:bottom w:val="single" w:sz="3" w:space="4" w:color="2D6FBF"/>
      </w:pBdr>
      <w:tabs>
        <w:tab w:val="right" w:pos="9026"/>
      </w:tabs>
    </w:pPr>
    <w:r>
      <w:rPr>
        <w:color w:val="6B7280"/>
        <w:sz w:val="16"/>
        <w:szCs w:val="16"/>
      </w:rPr>
      <w:t xml:space="preserve">PLIEGO DE PRESCRIPCIONES TÉCNICAS  |  Be </w:t>
    </w:r>
    <w:proofErr w:type="spellStart"/>
    <w:r>
      <w:rPr>
        <w:color w:val="6B7280"/>
        <w:sz w:val="16"/>
        <w:szCs w:val="16"/>
      </w:rPr>
      <w:t>Expand</w:t>
    </w:r>
    <w:proofErr w:type="spellEnd"/>
    <w:r>
      <w:rPr>
        <w:color w:val="6B7280"/>
        <w:sz w:val="16"/>
        <w:szCs w:val="16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F9074B"/>
    <w:multiLevelType w:val="hybridMultilevel"/>
    <w:tmpl w:val="DA00E6DE"/>
    <w:lvl w:ilvl="0" w:tplc="8678124E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D6FBF"/>
        <w:sz w:val="18"/>
        <w:szCs w:val="18"/>
      </w:rPr>
    </w:lvl>
    <w:lvl w:ilvl="1" w:tplc="AA96B082">
      <w:numFmt w:val="decimal"/>
      <w:lvlText w:val=""/>
      <w:lvlJc w:val="left"/>
    </w:lvl>
    <w:lvl w:ilvl="2" w:tplc="DBC6C070">
      <w:numFmt w:val="decimal"/>
      <w:lvlText w:val=""/>
      <w:lvlJc w:val="left"/>
    </w:lvl>
    <w:lvl w:ilvl="3" w:tplc="34342E4A">
      <w:numFmt w:val="decimal"/>
      <w:lvlText w:val=""/>
      <w:lvlJc w:val="left"/>
    </w:lvl>
    <w:lvl w:ilvl="4" w:tplc="27D6A276">
      <w:numFmt w:val="decimal"/>
      <w:lvlText w:val=""/>
      <w:lvlJc w:val="left"/>
    </w:lvl>
    <w:lvl w:ilvl="5" w:tplc="2088527C">
      <w:numFmt w:val="decimal"/>
      <w:lvlText w:val=""/>
      <w:lvlJc w:val="left"/>
    </w:lvl>
    <w:lvl w:ilvl="6" w:tplc="D0B65BB4">
      <w:numFmt w:val="decimal"/>
      <w:lvlText w:val=""/>
      <w:lvlJc w:val="left"/>
    </w:lvl>
    <w:lvl w:ilvl="7" w:tplc="6B7CDFCC">
      <w:numFmt w:val="decimal"/>
      <w:lvlText w:val=""/>
      <w:lvlJc w:val="left"/>
    </w:lvl>
    <w:lvl w:ilvl="8" w:tplc="102CD9AA">
      <w:numFmt w:val="decimal"/>
      <w:lvlText w:val=""/>
      <w:lvlJc w:val="left"/>
    </w:lvl>
  </w:abstractNum>
  <w:abstractNum w:abstractNumId="1">
    <w:nsid w:val="5A7636E9"/>
    <w:multiLevelType w:val="hybridMultilevel"/>
    <w:tmpl w:val="47B68018"/>
    <w:lvl w:ilvl="0" w:tplc="770EFA52">
      <w:start w:val="1"/>
      <w:numFmt w:val="bullet"/>
      <w:lvlText w:val="●"/>
      <w:lvlJc w:val="left"/>
      <w:pPr>
        <w:ind w:left="720" w:hanging="360"/>
      </w:pPr>
    </w:lvl>
    <w:lvl w:ilvl="1" w:tplc="DF00841A">
      <w:start w:val="1"/>
      <w:numFmt w:val="bullet"/>
      <w:lvlText w:val="○"/>
      <w:lvlJc w:val="left"/>
      <w:pPr>
        <w:ind w:left="1440" w:hanging="360"/>
      </w:pPr>
    </w:lvl>
    <w:lvl w:ilvl="2" w:tplc="78E45416">
      <w:start w:val="1"/>
      <w:numFmt w:val="bullet"/>
      <w:lvlText w:val="■"/>
      <w:lvlJc w:val="left"/>
      <w:pPr>
        <w:ind w:left="2160" w:hanging="360"/>
      </w:pPr>
    </w:lvl>
    <w:lvl w:ilvl="3" w:tplc="65528B96">
      <w:start w:val="1"/>
      <w:numFmt w:val="bullet"/>
      <w:lvlText w:val="●"/>
      <w:lvlJc w:val="left"/>
      <w:pPr>
        <w:ind w:left="2880" w:hanging="360"/>
      </w:pPr>
    </w:lvl>
    <w:lvl w:ilvl="4" w:tplc="8904D954">
      <w:start w:val="1"/>
      <w:numFmt w:val="bullet"/>
      <w:lvlText w:val="○"/>
      <w:lvlJc w:val="left"/>
      <w:pPr>
        <w:ind w:left="3600" w:hanging="360"/>
      </w:pPr>
    </w:lvl>
    <w:lvl w:ilvl="5" w:tplc="2D7EA314">
      <w:start w:val="1"/>
      <w:numFmt w:val="bullet"/>
      <w:lvlText w:val="■"/>
      <w:lvlJc w:val="left"/>
      <w:pPr>
        <w:ind w:left="4320" w:hanging="360"/>
      </w:pPr>
    </w:lvl>
    <w:lvl w:ilvl="6" w:tplc="E07A51E0">
      <w:start w:val="1"/>
      <w:numFmt w:val="bullet"/>
      <w:lvlText w:val="●"/>
      <w:lvlJc w:val="left"/>
      <w:pPr>
        <w:ind w:left="5040" w:hanging="360"/>
      </w:pPr>
    </w:lvl>
    <w:lvl w:ilvl="7" w:tplc="66346DCA">
      <w:start w:val="1"/>
      <w:numFmt w:val="bullet"/>
      <w:lvlText w:val="●"/>
      <w:lvlJc w:val="left"/>
      <w:pPr>
        <w:ind w:left="5760" w:hanging="360"/>
      </w:pPr>
    </w:lvl>
    <w:lvl w:ilvl="8" w:tplc="3C6207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25DF2"/>
    <w:rsid w:val="00025DF2"/>
    <w:rsid w:val="00A109F0"/>
    <w:rsid w:val="00DE4E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sid w:val="00025DF2"/>
    <w:rPr>
      <w:sz w:val="56"/>
      <w:szCs w:val="56"/>
    </w:rPr>
  </w:style>
  <w:style w:type="paragraph" w:customStyle="1" w:styleId="Heading1">
    <w:name w:val="Heading 1"/>
    <w:qFormat/>
    <w:rsid w:val="00025DF2"/>
    <w:rPr>
      <w:color w:val="2E74B5"/>
      <w:sz w:val="32"/>
      <w:szCs w:val="32"/>
    </w:rPr>
  </w:style>
  <w:style w:type="paragraph" w:customStyle="1" w:styleId="Heading2">
    <w:name w:val="Heading 2"/>
    <w:qFormat/>
    <w:rsid w:val="00025DF2"/>
    <w:rPr>
      <w:color w:val="2E74B5"/>
      <w:sz w:val="26"/>
      <w:szCs w:val="26"/>
    </w:rPr>
  </w:style>
  <w:style w:type="paragraph" w:customStyle="1" w:styleId="Heading3">
    <w:name w:val="Heading 3"/>
    <w:qFormat/>
    <w:rsid w:val="00025DF2"/>
    <w:rPr>
      <w:color w:val="1F4D78"/>
      <w:sz w:val="24"/>
      <w:szCs w:val="24"/>
    </w:rPr>
  </w:style>
  <w:style w:type="paragraph" w:customStyle="1" w:styleId="Heading4">
    <w:name w:val="Heading 4"/>
    <w:qFormat/>
    <w:rsid w:val="00025DF2"/>
    <w:rPr>
      <w:i/>
      <w:iCs/>
      <w:color w:val="2E74B5"/>
    </w:rPr>
  </w:style>
  <w:style w:type="paragraph" w:customStyle="1" w:styleId="Heading5">
    <w:name w:val="Heading 5"/>
    <w:qFormat/>
    <w:rsid w:val="00025DF2"/>
    <w:rPr>
      <w:color w:val="2E74B5"/>
    </w:rPr>
  </w:style>
  <w:style w:type="paragraph" w:customStyle="1" w:styleId="Heading6">
    <w:name w:val="Heading 6"/>
    <w:qFormat/>
    <w:rsid w:val="00025DF2"/>
    <w:rPr>
      <w:color w:val="1F4D78"/>
    </w:rPr>
  </w:style>
  <w:style w:type="paragraph" w:customStyle="1" w:styleId="Textoennegrita1">
    <w:name w:val="Texto en negrita1"/>
    <w:qFormat/>
    <w:rsid w:val="00025DF2"/>
    <w:rPr>
      <w:b/>
      <w:bCs/>
    </w:rPr>
  </w:style>
  <w:style w:type="paragraph" w:styleId="Prrafodelista">
    <w:name w:val="List Paragraph"/>
    <w:qFormat/>
    <w:rsid w:val="00025DF2"/>
  </w:style>
  <w:style w:type="character" w:styleId="Hipervnculo">
    <w:name w:val="Hyperlink"/>
    <w:uiPriority w:val="99"/>
    <w:unhideWhenUsed/>
    <w:rsid w:val="00025DF2"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sid w:val="00025DF2"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sid w:val="00025DF2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sid w:val="00025DF2"/>
    <w:rPr>
      <w:sz w:val="20"/>
      <w:szCs w:val="20"/>
    </w:rPr>
  </w:style>
  <w:style w:type="character" w:styleId="Refdenotaalfinal">
    <w:name w:val="endnote reference"/>
    <w:uiPriority w:val="99"/>
    <w:semiHidden/>
    <w:unhideWhenUsed/>
    <w:rsid w:val="00025DF2"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sid w:val="00025DF2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sid w:val="00025DF2"/>
    <w:rPr>
      <w:sz w:val="20"/>
      <w:szCs w:val="20"/>
    </w:rPr>
  </w:style>
  <w:style w:type="paragraph" w:customStyle="1" w:styleId="Heading10">
    <w:name w:val="Heading 1"/>
    <w:qFormat/>
    <w:rsid w:val="00025DF2"/>
    <w:pPr>
      <w:spacing w:before="360" w:after="160"/>
      <w:outlineLvl w:val="0"/>
    </w:pPr>
    <w:rPr>
      <w:b/>
      <w:bCs/>
      <w:color w:val="1B3A6B"/>
      <w:sz w:val="32"/>
      <w:szCs w:val="32"/>
    </w:rPr>
  </w:style>
  <w:style w:type="paragraph" w:customStyle="1" w:styleId="Heading20">
    <w:name w:val="Heading 2"/>
    <w:qFormat/>
    <w:rsid w:val="00025DF2"/>
    <w:pPr>
      <w:spacing w:before="240" w:after="100"/>
      <w:outlineLvl w:val="1"/>
    </w:pPr>
    <w:rPr>
      <w:b/>
      <w:bCs/>
      <w:color w:val="2D6FBF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1114</Words>
  <Characters>6127</Characters>
  <Application>Microsoft Office Word</Application>
  <DocSecurity>0</DocSecurity>
  <Lines>51</Lines>
  <Paragraphs>14</Paragraphs>
  <ScaleCrop>false</ScaleCrop>
  <Company>HP Inc.</Company>
  <LinksUpToDate>false</LinksUpToDate>
  <CharactersWithSpaces>7227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A8-12T</cp:lastModifiedBy>
  <cp:revision>2</cp:revision>
  <dcterms:created xsi:type="dcterms:W3CDTF">2026-05-11T18:03:00Z</dcterms:created>
  <dcterms:modified xsi:type="dcterms:W3CDTF">2026-05-11T18:05:00Z</dcterms:modified>
</cp:coreProperties>
</file>