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5184"/>
          </w:tcPr>
          <w:p>
            <w:pPr>
              <w:spacing w:after="0"/>
            </w:pPr>
            <w:r>
              <w:rPr>
                <w:rFonts w:ascii="Arial" w:hAnsi="Arial"/>
                <w:b/>
                <w:color w:val="0284C7"/>
                <w:sz w:val="20"/>
              </w:rPr>
              <w:t>INFORME COMPARATIVO INTERNO &amp; BENCHMARK TÉCNICO</w:t>
              <w:br/>
            </w:r>
            <w:r>
              <w:rPr>
                <w:rFonts w:ascii="Arial" w:hAnsi="Arial"/>
                <w:b/>
                <w:color w:val="0F172A"/>
                <w:sz w:val="23"/>
              </w:rPr>
              <w:t>Evaluación TCO, Riesgo Normativo SENCE y Letra Chica en LMS</w:t>
              <w:br/>
            </w:r>
            <w:r>
              <w:rPr>
                <w:rFonts w:ascii="Arial" w:hAnsi="Arial"/>
                <w:color w:val="64748B"/>
                <w:sz w:val="18"/>
              </w:rPr>
              <w:t>UNIVERSO693 SpA — Área de Ingeniería &amp; Arquitectura Cloud</w:t>
            </w:r>
          </w:p>
        </w:tc>
        <w:tc>
          <w:tcPr>
            <w:tcW w:type="dxa" w:w="5184"/>
          </w:tcPr>
          <w:p>
            <w:pPr>
              <w:spacing w:after="0"/>
              <w:jc w:val="right"/>
            </w:pPr>
            <w:r>
              <w:rPr>
                <w:b/>
                <w:color w:val="0F172A"/>
                <w:sz w:val="18"/>
              </w:rPr>
              <w:t>OCTUBRE 2026</w:t>
              <w:br/>
            </w:r>
            <w:r>
              <w:rPr>
                <w:color w:val="64748B"/>
                <w:sz w:val="17"/>
              </w:rPr>
              <w:t>Documento de Análisis Interno</w:t>
              <w:br/>
              <w:t>Caso de Estudio Referencial:</w:t>
              <w:br/>
              <w:t>ARL (Moodle) vs. UNIVERSO693</w:t>
            </w:r>
          </w:p>
        </w:tc>
      </w:tr>
    </w:tbl>
    <w:p>
      <w:pPr>
        <w:spacing w:before="80" w:after="120"/>
        <w:pBdr>
          <w:bottom w:val="single" w:sz="10" w:space="1" w:color="0284C7"/>
        </w:pBdr>
      </w:pPr>
    </w:p>
    <w:p>
      <w:pPr>
        <w:spacing w:before="0" w:after="120" w:line="269" w:lineRule="auto"/>
        <w:jc w:val="both"/>
      </w:pPr>
      <w:r>
        <w:rPr>
          <w:rFonts w:ascii="Arial" w:hAnsi="Arial"/>
          <w:b/>
          <w:color w:val="0F172A"/>
          <w:sz w:val="17"/>
        </w:rPr>
        <w:t xml:space="preserve">Propósito del Informe: </w:t>
      </w:r>
      <w:r>
        <w:rPr>
          <w:rFonts w:ascii="Arial" w:hAnsi="Arial"/>
          <w:color w:val="334155"/>
          <w:sz w:val="17"/>
        </w:rPr>
        <w:t>El presente informe técnico y financiero fue desarrollado por el equipo de ingeniería de UNIVERSO693 SpA como análisis comparativo interno de mercado y evaluación del Costo Total de Propiedad (TCO) entre dos paradigmas de plataformas e-learning para OTECs: el modelo tradicional montado sobre Moodle (caso de referencia: propuesta ARL para OTEC Ígneo) versus una arquitectura moderna a medida en la nube con Inteligencia Artificial. Su propósito es transparentar costos ocultos, limitaciones de crecimiento y dependencias de terceros.</w:t>
      </w:r>
    </w:p>
    <w:p>
      <w:pPr>
        <w:keepNext/>
        <w:spacing w:before="160" w:after="80"/>
        <w:jc w:val="left"/>
      </w:pPr>
      <w:r>
        <w:rPr>
          <w:rFonts w:ascii="Arial" w:hAnsi="Arial"/>
          <w:b/>
          <w:color w:val="0F172A"/>
          <w:sz w:val="21"/>
        </w:rPr>
        <w:t>1. Matriz Técnica Comparativa Directa</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2448"/>
            <w:shd w:fill="0F172A"/>
            <w:tcMar>
              <w:top w:w="80" w:type="dxa"/>
              <w:bottom w:w="80" w:type="dxa"/>
              <w:left w:w="100" w:type="dxa"/>
              <w:right w:w="100" w:type="dxa"/>
            </w:tcMar>
          </w:tcPr>
          <w:p>
            <w:pPr>
              <w:jc w:val="left"/>
            </w:pPr>
            <w:r>
              <w:rPr>
                <w:b/>
                <w:color w:val="FFFFFF"/>
                <w:sz w:val="17"/>
              </w:rPr>
              <w:t>Criterio Técnico</w:t>
            </w:r>
          </w:p>
        </w:tc>
        <w:tc>
          <w:tcPr>
            <w:tcW w:type="dxa" w:w="3888"/>
            <w:shd w:fill="0F172A"/>
            <w:tcMar>
              <w:top w:w="80" w:type="dxa"/>
              <w:bottom w:w="80" w:type="dxa"/>
              <w:left w:w="100" w:type="dxa"/>
              <w:right w:w="100" w:type="dxa"/>
            </w:tcMar>
          </w:tcPr>
          <w:p>
            <w:pPr>
              <w:jc w:val="left"/>
            </w:pPr>
            <w:r>
              <w:rPr>
                <w:b/>
                <w:color w:val="FFFFFF"/>
                <w:sz w:val="17"/>
              </w:rPr>
              <w:t>ARL (Propuesta Moodle Tradicional)</w:t>
            </w:r>
          </w:p>
        </w:tc>
        <w:tc>
          <w:tcPr>
            <w:tcW w:type="dxa" w:w="4032"/>
            <w:shd w:fill="0F172A"/>
            <w:tcMar>
              <w:top w:w="80" w:type="dxa"/>
              <w:bottom w:w="80" w:type="dxa"/>
              <w:left w:w="100" w:type="dxa"/>
              <w:right w:w="100" w:type="dxa"/>
            </w:tcMar>
          </w:tcPr>
          <w:p>
            <w:pPr>
              <w:jc w:val="left"/>
            </w:pPr>
            <w:r>
              <w:rPr>
                <w:b/>
                <w:color w:val="FFFFFF"/>
                <w:sz w:val="17"/>
              </w:rPr>
              <w:t>UNIVERSO693 SpA (Arquitectura a Medida + IA)</w:t>
            </w:r>
          </w:p>
        </w:tc>
      </w:tr>
      <w:tr>
        <w:trPr>
          <w:cantSplit/>
        </w:trPr>
        <w:tc>
          <w:tcPr>
            <w:tcW w:type="dxa" w:w="2448"/>
            <w:shd w:fill="F8FAFC"/>
            <w:tcMar>
              <w:top w:w="65" w:type="dxa"/>
              <w:bottom w:w="65" w:type="dxa"/>
              <w:left w:w="95" w:type="dxa"/>
              <w:right w:w="95" w:type="dxa"/>
            </w:tcMar>
          </w:tcPr>
          <w:p>
            <w:pPr>
              <w:spacing w:line="269" w:lineRule="auto" w:after="20"/>
              <w:jc w:val="left"/>
            </w:pPr>
            <w:r>
              <w:rPr>
                <w:b/>
                <w:color w:val="0F172A"/>
                <w:sz w:val="16"/>
              </w:rPr>
              <w:t>Tecnología Base</w:t>
            </w:r>
          </w:p>
        </w:tc>
        <w:tc>
          <w:tcPr>
            <w:tcW w:type="dxa" w:w="3888"/>
            <w:shd w:fill="F8FAFC"/>
            <w:tcMar>
              <w:top w:w="65" w:type="dxa"/>
              <w:bottom w:w="65" w:type="dxa"/>
              <w:left w:w="95" w:type="dxa"/>
              <w:right w:w="95" w:type="dxa"/>
            </w:tcMar>
          </w:tcPr>
          <w:p>
            <w:pPr>
              <w:spacing w:line="269" w:lineRule="auto" w:after="20"/>
              <w:jc w:val="left"/>
            </w:pPr>
            <w:r>
              <w:rPr>
                <w:color w:val="334155"/>
                <w:sz w:val="16"/>
              </w:rPr>
              <w:t>Moodle tradicional (PHP / MySQL).</w:t>
              <w:br/>
              <w:t>Código abierto estándar sobre servidor compartido externo.</w:t>
            </w:r>
          </w:p>
        </w:tc>
        <w:tc>
          <w:tcPr>
            <w:tcW w:type="dxa" w:w="4032"/>
            <w:shd w:fill="F8FAFC"/>
            <w:tcMar>
              <w:top w:w="65" w:type="dxa"/>
              <w:bottom w:w="65" w:type="dxa"/>
              <w:left w:w="95" w:type="dxa"/>
              <w:right w:w="95" w:type="dxa"/>
            </w:tcMar>
          </w:tcPr>
          <w:p>
            <w:pPr>
              <w:spacing w:line="269" w:lineRule="auto" w:after="20"/>
              <w:jc w:val="left"/>
            </w:pPr>
            <w:r>
              <w:rPr>
                <w:color w:val="0F172A"/>
                <w:sz w:val="16"/>
              </w:rPr>
              <w:t>Stack Moderno React + TypeScript + Node.js + PostgreSQL 16.</w:t>
              <w:br/>
              <w:t>Compilado en la nube y optimizado para móvil (PWA rápida).</w:t>
            </w:r>
          </w:p>
        </w:tc>
      </w:tr>
      <w:tr>
        <w:trPr>
          <w:cantSplit/>
        </w:trPr>
        <w:tc>
          <w:tcPr>
            <w:tcW w:type="dxa" w:w="2448"/>
            <w:shd w:fill="FFFFFF"/>
            <w:tcMar>
              <w:top w:w="65" w:type="dxa"/>
              <w:bottom w:w="65" w:type="dxa"/>
              <w:left w:w="95" w:type="dxa"/>
              <w:right w:w="95" w:type="dxa"/>
            </w:tcMar>
          </w:tcPr>
          <w:p>
            <w:pPr>
              <w:spacing w:line="269" w:lineRule="auto" w:after="20"/>
              <w:jc w:val="left"/>
            </w:pPr>
            <w:r>
              <w:rPr>
                <w:b/>
                <w:color w:val="0F172A"/>
                <w:sz w:val="16"/>
              </w:rPr>
              <w:t>Límites de Cursos y Alumnos</w:t>
            </w:r>
          </w:p>
        </w:tc>
        <w:tc>
          <w:tcPr>
            <w:tcW w:type="dxa" w:w="3888"/>
            <w:shd w:fill="FFFFFF"/>
            <w:tcMar>
              <w:top w:w="65" w:type="dxa"/>
              <w:bottom w:w="65" w:type="dxa"/>
              <w:left w:w="95" w:type="dxa"/>
              <w:right w:w="95" w:type="dxa"/>
            </w:tcMar>
          </w:tcPr>
          <w:p>
            <w:pPr>
              <w:spacing w:line="269" w:lineRule="auto" w:after="20"/>
              <w:jc w:val="left"/>
            </w:pPr>
            <w:r>
              <w:rPr>
                <w:color w:val="334155"/>
                <w:sz w:val="16"/>
              </w:rPr>
              <w:t>Acotado a 5 cursos y 2 administradores.</w:t>
              <w:br/>
              <w:t>Dimensionado inicialmente para ~100 alumnos registrados. Crecer exige recotizar.</w:t>
            </w:r>
          </w:p>
        </w:tc>
        <w:tc>
          <w:tcPr>
            <w:tcW w:type="dxa" w:w="4032"/>
            <w:shd w:fill="FFFFFF"/>
            <w:tcMar>
              <w:top w:w="65" w:type="dxa"/>
              <w:bottom w:w="65" w:type="dxa"/>
              <w:left w:w="95" w:type="dxa"/>
              <w:right w:w="95" w:type="dxa"/>
            </w:tcMar>
          </w:tcPr>
          <w:p>
            <w:pPr>
              <w:spacing w:line="269" w:lineRule="auto" w:after="20"/>
              <w:jc w:val="left"/>
            </w:pPr>
            <w:r>
              <w:rPr>
                <w:color w:val="0F172A"/>
                <w:sz w:val="16"/>
              </w:rPr>
              <w:t>Totalmente Ilimitado en cursos, alumnos y administradores en todos sus planes.</w:t>
              <w:br/>
              <w:t>Sin techos de crecimiento ni recotizaciones.</w:t>
            </w:r>
          </w:p>
        </w:tc>
      </w:tr>
      <w:tr>
        <w:trPr>
          <w:cantSplit/>
        </w:trPr>
        <w:tc>
          <w:tcPr>
            <w:tcW w:type="dxa" w:w="2448"/>
            <w:shd w:fill="F8FAFC"/>
            <w:tcMar>
              <w:top w:w="65" w:type="dxa"/>
              <w:bottom w:w="65" w:type="dxa"/>
              <w:left w:w="95" w:type="dxa"/>
              <w:right w:w="95" w:type="dxa"/>
            </w:tcMar>
          </w:tcPr>
          <w:p>
            <w:pPr>
              <w:spacing w:line="269" w:lineRule="auto" w:after="20"/>
              <w:jc w:val="left"/>
            </w:pPr>
            <w:r>
              <w:rPr>
                <w:b/>
                <w:color w:val="0F172A"/>
                <w:sz w:val="16"/>
              </w:rPr>
              <w:t>Integración SENCE &amp; ClaveÚnica</w:t>
            </w:r>
          </w:p>
        </w:tc>
        <w:tc>
          <w:tcPr>
            <w:tcW w:type="dxa" w:w="3888"/>
            <w:shd w:fill="F8FAFC"/>
            <w:tcMar>
              <w:top w:w="65" w:type="dxa"/>
              <w:bottom w:w="65" w:type="dxa"/>
              <w:left w:w="95" w:type="dxa"/>
              <w:right w:w="95" w:type="dxa"/>
            </w:tcMar>
          </w:tcPr>
          <w:p>
            <w:pPr>
              <w:spacing w:line="269" w:lineRule="auto" w:after="20"/>
              <w:jc w:val="left"/>
            </w:pPr>
            <w:r>
              <w:rPr>
                <w:color w:val="334155"/>
                <w:sz w:val="16"/>
              </w:rPr>
              <w:t>Complemento estándar de terceros sujeto a pruebas.</w:t>
              <w:br/>
              <w:t>Depende de plugins comunitarios que pueden desconfigurarse.</w:t>
            </w:r>
          </w:p>
        </w:tc>
        <w:tc>
          <w:tcPr>
            <w:tcW w:type="dxa" w:w="4032"/>
            <w:shd w:fill="F8FAFC"/>
            <w:tcMar>
              <w:top w:w="65" w:type="dxa"/>
              <w:bottom w:w="65" w:type="dxa"/>
              <w:left w:w="95" w:type="dxa"/>
              <w:right w:w="95" w:type="dxa"/>
            </w:tcMar>
          </w:tcPr>
          <w:p>
            <w:pPr>
              <w:spacing w:line="269" w:lineRule="auto" w:after="20"/>
              <w:jc w:val="left"/>
            </w:pPr>
            <w:r>
              <w:rPr>
                <w:color w:val="0F172A"/>
                <w:sz w:val="16"/>
              </w:rPr>
              <w:t>Motor Nativo en Tiempo Real: Conexión oficial API / Web Services de SENCE (Res. 3505) y autenticación con ClaveÚnica.</w:t>
            </w:r>
          </w:p>
        </w:tc>
      </w:tr>
      <w:tr>
        <w:trPr>
          <w:cantSplit/>
        </w:trPr>
        <w:tc>
          <w:tcPr>
            <w:tcW w:type="dxa" w:w="2448"/>
            <w:shd w:fill="FFFFFF"/>
            <w:tcMar>
              <w:top w:w="65" w:type="dxa"/>
              <w:bottom w:w="65" w:type="dxa"/>
              <w:left w:w="95" w:type="dxa"/>
              <w:right w:w="95" w:type="dxa"/>
            </w:tcMar>
          </w:tcPr>
          <w:p>
            <w:pPr>
              <w:spacing w:line="269" w:lineRule="auto" w:after="20"/>
              <w:jc w:val="left"/>
            </w:pPr>
            <w:r>
              <w:rPr>
                <w:b/>
                <w:color w:val="0F172A"/>
                <w:sz w:val="16"/>
              </w:rPr>
              <w:t>Inteligencia Artificial</w:t>
            </w:r>
          </w:p>
        </w:tc>
        <w:tc>
          <w:tcPr>
            <w:tcW w:type="dxa" w:w="3888"/>
            <w:shd w:fill="FFFFFF"/>
            <w:tcMar>
              <w:top w:w="65" w:type="dxa"/>
              <w:bottom w:w="65" w:type="dxa"/>
              <w:left w:w="95" w:type="dxa"/>
              <w:right w:w="95" w:type="dxa"/>
            </w:tcMar>
          </w:tcPr>
          <w:p>
            <w:pPr>
              <w:spacing w:line="269" w:lineRule="auto" w:after="20"/>
              <w:jc w:val="left"/>
            </w:pPr>
            <w:r>
              <w:rPr>
                <w:color w:val="334155"/>
                <w:sz w:val="16"/>
              </w:rPr>
              <w:t>No incluye herramientas de IA.</w:t>
            </w:r>
          </w:p>
        </w:tc>
        <w:tc>
          <w:tcPr>
            <w:tcW w:type="dxa" w:w="4032"/>
            <w:shd w:fill="FFFFFF"/>
            <w:tcMar>
              <w:top w:w="65" w:type="dxa"/>
              <w:bottom w:w="65" w:type="dxa"/>
              <w:left w:w="95" w:type="dxa"/>
              <w:right w:w="95" w:type="dxa"/>
            </w:tcMar>
          </w:tcPr>
          <w:p>
            <w:pPr>
              <w:spacing w:line="269" w:lineRule="auto" w:after="20"/>
              <w:jc w:val="left"/>
            </w:pPr>
            <w:r>
              <w:rPr>
                <w:color w:val="0F172A"/>
                <w:sz w:val="16"/>
              </w:rPr>
              <w:t>Profesor Virtual IA 24/7 incorporado (entrenado con manuales propios de Ígneo y normas NFPA) + soporte a relatores.</w:t>
            </w:r>
          </w:p>
        </w:tc>
      </w:tr>
      <w:tr>
        <w:trPr>
          <w:cantSplit/>
        </w:trPr>
        <w:tc>
          <w:tcPr>
            <w:tcW w:type="dxa" w:w="2448"/>
            <w:shd w:fill="F8FAFC"/>
            <w:tcMar>
              <w:top w:w="65" w:type="dxa"/>
              <w:bottom w:w="65" w:type="dxa"/>
              <w:left w:w="95" w:type="dxa"/>
              <w:right w:w="95" w:type="dxa"/>
            </w:tcMar>
          </w:tcPr>
          <w:p>
            <w:pPr>
              <w:spacing w:line="269" w:lineRule="auto" w:after="20"/>
              <w:jc w:val="left"/>
            </w:pPr>
            <w:r>
              <w:rPr>
                <w:b/>
                <w:color w:val="0F172A"/>
                <w:sz w:val="16"/>
              </w:rPr>
              <w:t>Soberanía y Código Fuente</w:t>
            </w:r>
          </w:p>
        </w:tc>
        <w:tc>
          <w:tcPr>
            <w:tcW w:type="dxa" w:w="3888"/>
            <w:shd w:fill="F8FAFC"/>
            <w:tcMar>
              <w:top w:w="65" w:type="dxa"/>
              <w:bottom w:w="65" w:type="dxa"/>
              <w:left w:w="95" w:type="dxa"/>
              <w:right w:w="95" w:type="dxa"/>
            </w:tcMar>
          </w:tcPr>
          <w:p>
            <w:pPr>
              <w:spacing w:line="269" w:lineRule="auto" w:after="20"/>
              <w:jc w:val="left"/>
            </w:pPr>
            <w:r>
              <w:rPr>
                <w:color w:val="334155"/>
                <w:sz w:val="16"/>
              </w:rPr>
              <w:t>Datos en hosting externo compartido (Norteduc).</w:t>
              <w:br/>
              <w:t>Entrega respaldos estándar sin repositorio propio.</w:t>
            </w:r>
          </w:p>
        </w:tc>
        <w:tc>
          <w:tcPr>
            <w:tcW w:type="dxa" w:w="4032"/>
            <w:shd w:fill="F8FAFC"/>
            <w:tcMar>
              <w:top w:w="65" w:type="dxa"/>
              <w:bottom w:w="65" w:type="dxa"/>
              <w:left w:w="95" w:type="dxa"/>
              <w:right w:w="95" w:type="dxa"/>
            </w:tcMar>
          </w:tcPr>
          <w:p>
            <w:pPr>
              <w:spacing w:line="269" w:lineRule="auto" w:after="20"/>
              <w:jc w:val="left"/>
            </w:pPr>
            <w:r>
              <w:rPr>
                <w:color w:val="0F172A"/>
                <w:sz w:val="16"/>
              </w:rPr>
              <w:t>Soberanía Absoluta: Entrega de repositorio oficial GitHub a nombre de la institución mandante y bóveda cifrada.</w:t>
            </w:r>
          </w:p>
        </w:tc>
      </w:tr>
      <w:tr>
        <w:trPr>
          <w:cantSplit/>
        </w:trPr>
        <w:tc>
          <w:tcPr>
            <w:tcW w:type="dxa" w:w="2448"/>
            <w:shd w:fill="FFFFFF"/>
            <w:tcMar>
              <w:top w:w="65" w:type="dxa"/>
              <w:bottom w:w="65" w:type="dxa"/>
              <w:left w:w="95" w:type="dxa"/>
              <w:right w:w="95" w:type="dxa"/>
            </w:tcMar>
          </w:tcPr>
          <w:p>
            <w:pPr>
              <w:spacing w:line="269" w:lineRule="auto" w:after="20"/>
              <w:jc w:val="left"/>
            </w:pPr>
            <w:r>
              <w:rPr>
                <w:b/>
                <w:color w:val="0F172A"/>
                <w:sz w:val="16"/>
              </w:rPr>
              <w:t>Modelo Económico y Soporte</w:t>
            </w:r>
          </w:p>
        </w:tc>
        <w:tc>
          <w:tcPr>
            <w:tcW w:type="dxa" w:w="3888"/>
            <w:shd w:fill="FFFFFF"/>
            <w:tcMar>
              <w:top w:w="65" w:type="dxa"/>
              <w:bottom w:w="65" w:type="dxa"/>
              <w:left w:w="95" w:type="dxa"/>
              <w:right w:w="95" w:type="dxa"/>
            </w:tcMar>
          </w:tcPr>
          <w:p>
            <w:pPr>
              <w:spacing w:line="269" w:lineRule="auto" w:after="20"/>
              <w:jc w:val="left"/>
            </w:pPr>
            <w:r>
              <w:rPr>
                <w:color w:val="334155"/>
                <w:sz w:val="16"/>
              </w:rPr>
              <w:t>Inversión inicial baja ($990K a $1.79M).</w:t>
              <w:br/>
              <w:t>Continuidad de $39.900/mes limitada a solo 2 hrs no acumulables (sin ciberseguridad).</w:t>
            </w:r>
          </w:p>
        </w:tc>
        <w:tc>
          <w:tcPr>
            <w:tcW w:type="dxa" w:w="4032"/>
            <w:shd w:fill="FFFFFF"/>
            <w:tcMar>
              <w:top w:w="65" w:type="dxa"/>
              <w:bottom w:w="65" w:type="dxa"/>
              <w:left w:w="95" w:type="dxa"/>
              <w:right w:w="95" w:type="dxa"/>
            </w:tcMar>
          </w:tcPr>
          <w:p>
            <w:pPr>
              <w:spacing w:line="269" w:lineRule="auto" w:after="20"/>
              <w:jc w:val="left"/>
            </w:pPr>
            <w:r>
              <w:rPr>
                <w:color w:val="0F172A"/>
                <w:sz w:val="16"/>
              </w:rPr>
              <w:t>Inversión inicial mayor ($1.83M a $4.63M + IVA).</w:t>
              <w:br/>
              <w:t>Continuidad integral ($190K a $290K/mes) que incluye servidor cloud dedicado y SLA prioritario.</w:t>
            </w:r>
          </w:p>
        </w:tc>
      </w:tr>
    </w:tbl>
    <w:p>
      <w:r>
        <w:br w:type="page"/>
      </w:r>
    </w:p>
    <w:p>
      <w:pPr>
        <w:keepNext/>
        <w:spacing w:before="160" w:after="80"/>
        <w:jc w:val="left"/>
      </w:pPr>
      <w:r>
        <w:rPr>
          <w:rFonts w:ascii="Arial" w:hAnsi="Arial"/>
          <w:b/>
          <w:color w:val="0F172A"/>
          <w:sz w:val="21"/>
        </w:rPr>
        <w:t>2. Desglose Financiero Real (TCO Año 1): Análisis de la 'Letra Chica'</w:t>
      </w:r>
    </w:p>
    <w:p>
      <w:pPr>
        <w:spacing w:before="0" w:after="120" w:line="269" w:lineRule="auto"/>
        <w:jc w:val="both"/>
      </w:pPr>
      <w:r>
        <w:rPr>
          <w:rFonts w:ascii="Arial" w:hAnsi="Arial"/>
          <w:color w:val="334155"/>
          <w:sz w:val="17"/>
        </w:rPr>
        <w:t>Al auditar las páginas 3 y 7 de la propuesta de ARL y sumar los 'gastos externos de referencia' que declaran pero excluyen del precio de portada, se evidencia que la supuesta brecha de precios no existe en la realidad operativa del primer año:</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4320"/>
            <w:shd w:fill="0F172A"/>
            <w:tcMar>
              <w:top w:w="70" w:type="dxa"/>
              <w:bottom w:w="70" w:type="dxa"/>
              <w:left w:w="90" w:type="dxa"/>
              <w:right w:w="90" w:type="dxa"/>
            </w:tcMar>
          </w:tcPr>
          <w:p>
            <w:pPr>
              <w:jc w:val="left"/>
            </w:pPr>
            <w:r>
              <w:rPr>
                <w:b/>
                <w:color w:val="FFFFFF"/>
                <w:sz w:val="17"/>
              </w:rPr>
              <w:t>Concepto Financiero Real (Año 1)</w:t>
            </w:r>
          </w:p>
        </w:tc>
        <w:tc>
          <w:tcPr>
            <w:tcW w:type="dxa" w:w="3024"/>
            <w:shd w:fill="0F172A"/>
            <w:tcMar>
              <w:top w:w="70" w:type="dxa"/>
              <w:bottom w:w="70" w:type="dxa"/>
              <w:left w:w="90" w:type="dxa"/>
              <w:right w:w="90" w:type="dxa"/>
            </w:tcMar>
          </w:tcPr>
          <w:p>
            <w:pPr>
              <w:jc w:val="left"/>
            </w:pPr>
            <w:r>
              <w:rPr>
                <w:b/>
                <w:color w:val="FFFFFF"/>
                <w:sz w:val="17"/>
              </w:rPr>
              <w:t>ARL (Plan Operativo Recomendado)</w:t>
            </w:r>
          </w:p>
        </w:tc>
        <w:tc>
          <w:tcPr>
            <w:tcW w:type="dxa" w:w="3024"/>
            <w:shd w:fill="0F172A"/>
            <w:tcMar>
              <w:top w:w="70" w:type="dxa"/>
              <w:bottom w:w="70" w:type="dxa"/>
              <w:left w:w="90" w:type="dxa"/>
              <w:right w:w="90" w:type="dxa"/>
            </w:tcMar>
          </w:tcPr>
          <w:p>
            <w:pPr>
              <w:jc w:val="left"/>
            </w:pPr>
            <w:r>
              <w:rPr>
                <w:b/>
                <w:color w:val="FFFFFF"/>
                <w:sz w:val="17"/>
              </w:rPr>
              <w:t>UNIVERSO693 (Opción 1: Esencial SENCE)</w:t>
            </w:r>
          </w:p>
        </w:tc>
      </w:tr>
      <w:tr>
        <w:trPr>
          <w:cantSplit/>
        </w:trPr>
        <w:tc>
          <w:tcPr>
            <w:tcW w:type="dxa" w:w="4320"/>
            <w:shd w:fill="F8FAFC"/>
            <w:tcMar>
              <w:top w:w="60" w:type="dxa"/>
              <w:bottom w:w="60" w:type="dxa"/>
              <w:left w:w="90" w:type="dxa"/>
              <w:right w:w="90" w:type="dxa"/>
            </w:tcMar>
          </w:tcPr>
          <w:p>
            <w:pPr>
              <w:jc w:val="left"/>
            </w:pPr>
            <w:r>
              <w:rPr>
                <w:color w:val="0F172A"/>
                <w:sz w:val="16"/>
              </w:rPr>
              <w:t>Implementación Base (Valores Netos)</w:t>
            </w:r>
          </w:p>
        </w:tc>
        <w:tc>
          <w:tcPr>
            <w:tcW w:type="dxa" w:w="3024"/>
            <w:shd w:fill="F8FAFC"/>
            <w:tcMar>
              <w:top w:w="60" w:type="dxa"/>
              <w:bottom w:w="60" w:type="dxa"/>
              <w:left w:w="90" w:type="dxa"/>
              <w:right w:w="90" w:type="dxa"/>
            </w:tcMar>
          </w:tcPr>
          <w:p>
            <w:pPr>
              <w:jc w:val="left"/>
            </w:pPr>
            <w:r>
              <w:rPr>
                <w:color w:val="334155"/>
                <w:sz w:val="16"/>
              </w:rPr>
              <w:t>$1.168.067 ($1.390.000 con IVA)</w:t>
            </w:r>
          </w:p>
        </w:tc>
        <w:tc>
          <w:tcPr>
            <w:tcW w:type="dxa" w:w="3024"/>
            <w:shd w:fill="F8FAFC"/>
            <w:tcMar>
              <w:top w:w="60" w:type="dxa"/>
              <w:bottom w:w="60" w:type="dxa"/>
              <w:left w:w="90" w:type="dxa"/>
              <w:right w:w="90" w:type="dxa"/>
            </w:tcMar>
          </w:tcPr>
          <w:p>
            <w:pPr>
              <w:jc w:val="left"/>
            </w:pPr>
            <w:r>
              <w:rPr>
                <w:color w:val="334155"/>
                <w:sz w:val="16"/>
              </w:rPr>
              <w:t>$1.830.000 (Valor Neto)</w:t>
            </w:r>
          </w:p>
        </w:tc>
      </w:tr>
      <w:tr>
        <w:trPr>
          <w:cantSplit/>
        </w:trPr>
        <w:tc>
          <w:tcPr>
            <w:tcW w:type="dxa" w:w="4320"/>
            <w:shd w:fill="FFFFFF"/>
            <w:tcMar>
              <w:top w:w="60" w:type="dxa"/>
              <w:bottom w:w="60" w:type="dxa"/>
              <w:left w:w="90" w:type="dxa"/>
              <w:right w:w="90" w:type="dxa"/>
            </w:tcMar>
          </w:tcPr>
          <w:p>
            <w:pPr>
              <w:jc w:val="left"/>
            </w:pPr>
            <w:r>
              <w:rPr>
                <w:color w:val="0F172A"/>
                <w:sz w:val="16"/>
              </w:rPr>
              <w:t>Servidores / Hosting Anual</w:t>
            </w:r>
          </w:p>
        </w:tc>
        <w:tc>
          <w:tcPr>
            <w:tcW w:type="dxa" w:w="3024"/>
            <w:shd w:fill="FFFFFF"/>
            <w:tcMar>
              <w:top w:w="60" w:type="dxa"/>
              <w:bottom w:w="60" w:type="dxa"/>
              <w:left w:w="90" w:type="dxa"/>
              <w:right w:w="90" w:type="dxa"/>
            </w:tcMar>
          </w:tcPr>
          <w:p>
            <w:pPr>
              <w:jc w:val="left"/>
            </w:pPr>
            <w:r>
              <w:rPr>
                <w:color w:val="334155"/>
                <w:sz w:val="16"/>
              </w:rPr>
              <w:t>$298.800 (Norteduc Externo Neto)</w:t>
            </w:r>
          </w:p>
        </w:tc>
        <w:tc>
          <w:tcPr>
            <w:tcW w:type="dxa" w:w="3024"/>
            <w:shd w:fill="FFFFFF"/>
            <w:tcMar>
              <w:top w:w="60" w:type="dxa"/>
              <w:bottom w:w="60" w:type="dxa"/>
              <w:left w:w="90" w:type="dxa"/>
              <w:right w:w="90" w:type="dxa"/>
            </w:tcMar>
          </w:tcPr>
          <w:p>
            <w:pPr>
              <w:jc w:val="left"/>
            </w:pPr>
            <w:r>
              <w:rPr>
                <w:color w:val="334155"/>
                <w:sz w:val="16"/>
              </w:rPr>
              <w:t>$0 (100% Incluido en la Solución)</w:t>
            </w:r>
          </w:p>
        </w:tc>
      </w:tr>
      <w:tr>
        <w:trPr>
          <w:cantSplit/>
        </w:trPr>
        <w:tc>
          <w:tcPr>
            <w:tcW w:type="dxa" w:w="4320"/>
            <w:shd w:fill="F8FAFC"/>
            <w:tcMar>
              <w:top w:w="60" w:type="dxa"/>
              <w:bottom w:w="60" w:type="dxa"/>
              <w:left w:w="90" w:type="dxa"/>
              <w:right w:w="90" w:type="dxa"/>
            </w:tcMar>
          </w:tcPr>
          <w:p>
            <w:pPr>
              <w:jc w:val="left"/>
            </w:pPr>
            <w:r>
              <w:rPr>
                <w:color w:val="0F172A"/>
                <w:sz w:val="16"/>
              </w:rPr>
              <w:t>Soporte Técnico Anual (Meses 4 al 12)</w:t>
            </w:r>
          </w:p>
        </w:tc>
        <w:tc>
          <w:tcPr>
            <w:tcW w:type="dxa" w:w="3024"/>
            <w:shd w:fill="F8FAFC"/>
            <w:tcMar>
              <w:top w:w="60" w:type="dxa"/>
              <w:bottom w:w="60" w:type="dxa"/>
              <w:left w:w="90" w:type="dxa"/>
              <w:right w:w="90" w:type="dxa"/>
            </w:tcMar>
          </w:tcPr>
          <w:p>
            <w:pPr>
              <w:jc w:val="left"/>
            </w:pPr>
            <w:r>
              <w:rPr>
                <w:color w:val="334155"/>
                <w:sz w:val="16"/>
              </w:rPr>
              <w:t>$301.764 (9 meses x $33.529 neto)</w:t>
            </w:r>
          </w:p>
        </w:tc>
        <w:tc>
          <w:tcPr>
            <w:tcW w:type="dxa" w:w="3024"/>
            <w:shd w:fill="F8FAFC"/>
            <w:tcMar>
              <w:top w:w="60" w:type="dxa"/>
              <w:bottom w:w="60" w:type="dxa"/>
              <w:left w:w="90" w:type="dxa"/>
              <w:right w:w="90" w:type="dxa"/>
            </w:tcMar>
          </w:tcPr>
          <w:p>
            <w:pPr>
              <w:jc w:val="left"/>
            </w:pPr>
            <w:r>
              <w:rPr>
                <w:color w:val="334155"/>
                <w:sz w:val="16"/>
              </w:rPr>
              <w:t>$0 (Garantía y Servidores Año 1)</w:t>
            </w:r>
          </w:p>
        </w:tc>
      </w:tr>
      <w:tr>
        <w:trPr>
          <w:cantSplit/>
        </w:trPr>
        <w:tc>
          <w:tcPr>
            <w:tcW w:type="dxa" w:w="4320"/>
            <w:shd w:fill="FEF2F2"/>
            <w:tcMar>
              <w:top w:w="60" w:type="dxa"/>
              <w:bottom w:w="60" w:type="dxa"/>
              <w:left w:w="90" w:type="dxa"/>
              <w:right w:w="90" w:type="dxa"/>
            </w:tcMar>
          </w:tcPr>
          <w:p>
            <w:pPr>
              <w:jc w:val="left"/>
            </w:pPr>
            <w:r>
              <w:rPr>
                <w:b/>
                <w:color w:val="0F172A"/>
                <w:sz w:val="16"/>
              </w:rPr>
              <w:t>TOTAL REAL NETO AÑO 1</w:t>
            </w:r>
          </w:p>
        </w:tc>
        <w:tc>
          <w:tcPr>
            <w:tcW w:type="dxa" w:w="3024"/>
            <w:shd w:fill="FEF2F2"/>
            <w:tcMar>
              <w:top w:w="60" w:type="dxa"/>
              <w:bottom w:w="60" w:type="dxa"/>
              <w:left w:w="90" w:type="dxa"/>
              <w:right w:w="90" w:type="dxa"/>
            </w:tcMar>
          </w:tcPr>
          <w:p>
            <w:pPr>
              <w:jc w:val="left"/>
            </w:pPr>
            <w:r>
              <w:rPr>
                <w:b/>
                <w:color w:val="B91C1C"/>
                <w:sz w:val="16"/>
              </w:rPr>
              <w:t>$1.768.631 Neto ($2.104.672 con IVA)</w:t>
            </w:r>
          </w:p>
        </w:tc>
        <w:tc>
          <w:tcPr>
            <w:tcW w:type="dxa" w:w="3024"/>
            <w:shd w:fill="FEF2F2"/>
            <w:tcMar>
              <w:top w:w="60" w:type="dxa"/>
              <w:bottom w:w="60" w:type="dxa"/>
              <w:left w:w="90" w:type="dxa"/>
              <w:right w:w="90" w:type="dxa"/>
            </w:tcMar>
          </w:tcPr>
          <w:p>
            <w:pPr>
              <w:jc w:val="left"/>
            </w:pPr>
            <w:r>
              <w:rPr>
                <w:b/>
                <w:color w:val="15803D"/>
                <w:sz w:val="16"/>
              </w:rPr>
              <w:t>$1.830.000 Neto</w:t>
            </w:r>
          </w:p>
        </w:tc>
      </w:tr>
      <w:tr>
        <w:trPr>
          <w:cantSplit/>
        </w:trPr>
        <w:tc>
          <w:tcPr>
            <w:tcW w:type="dxa" w:w="4320"/>
            <w:shd w:fill="F8FAFC"/>
            <w:tcMar>
              <w:top w:w="60" w:type="dxa"/>
              <w:bottom w:w="60" w:type="dxa"/>
              <w:left w:w="90" w:type="dxa"/>
              <w:right w:w="90" w:type="dxa"/>
            </w:tcMar>
          </w:tcPr>
          <w:p>
            <w:pPr>
              <w:jc w:val="left"/>
            </w:pPr>
            <w:r>
              <w:rPr>
                <w:b/>
                <w:color w:val="0F172A"/>
                <w:sz w:val="16"/>
              </w:rPr>
              <w:t>Diferencia Real Primer Año</w:t>
            </w:r>
          </w:p>
        </w:tc>
        <w:tc>
          <w:tcPr>
            <w:tcW w:type="dxa" w:w="3024"/>
            <w:shd w:fill="F8FAFC"/>
            <w:tcMar>
              <w:top w:w="60" w:type="dxa"/>
              <w:bottom w:w="60" w:type="dxa"/>
              <w:left w:w="90" w:type="dxa"/>
              <w:right w:w="90" w:type="dxa"/>
            </w:tcMar>
          </w:tcPr>
          <w:p>
            <w:pPr>
              <w:jc w:val="left"/>
            </w:pPr>
            <w:r>
              <w:rPr>
                <w:b/>
                <w:color w:val="B91C1C"/>
                <w:sz w:val="16"/>
              </w:rPr>
              <w:t>Base de ARL: $1.768.631</w:t>
            </w:r>
          </w:p>
        </w:tc>
        <w:tc>
          <w:tcPr>
            <w:tcW w:type="dxa" w:w="3024"/>
            <w:shd w:fill="F8FAFC"/>
            <w:tcMar>
              <w:top w:w="60" w:type="dxa"/>
              <w:bottom w:w="60" w:type="dxa"/>
              <w:left w:w="90" w:type="dxa"/>
              <w:right w:w="90" w:type="dxa"/>
            </w:tcMar>
          </w:tcPr>
          <w:p>
            <w:pPr>
              <w:jc w:val="left"/>
            </w:pPr>
            <w:r>
              <w:rPr>
                <w:b/>
                <w:color w:val="15803D"/>
                <w:sz w:val="16"/>
              </w:rPr>
              <w:t>Apenas +$61.369 Netos (+3.4%)</w:t>
            </w:r>
          </w:p>
        </w:tc>
      </w:tr>
    </w:tbl>
    <w:tbl>
      <w:tblPr>
        <w:tblW w:type="auto" w:w="0"/>
        <w:jc w:val="center"/>
        <w:tblLayout w:type="fixed"/>
        <w:tblLook w:firstColumn="1" w:firstRow="1" w:lastColumn="0" w:lastRow="0" w:noHBand="0" w:noVBand="1" w:val="04A0"/>
      </w:tblPr>
      <w:tblGrid>
        <w:gridCol w:w="10368"/>
      </w:tblGrid>
      <w:tr>
        <w:tc>
          <w:tcPr>
            <w:tcW w:type="dxa" w:w="10368"/>
            <w:shd w:fill="EFF6FF"/>
            <w:tcMar>
              <w:top w:w="60" w:type="dxa"/>
              <w:bottom w:w="60" w:type="dxa"/>
              <w:left w:w="110" w:type="dxa"/>
              <w:right w:w="110" w:type="dxa"/>
            </w:tcMar>
          </w:tcPr>
          <w:p>
            <w:pPr>
              <w:spacing w:line="269" w:lineRule="auto" w:after="0"/>
            </w:pPr>
            <w:r>
              <w:rPr>
                <w:b/>
                <w:color w:val="0284C7"/>
                <w:sz w:val="17"/>
              </w:rPr>
              <w:t xml:space="preserve">HALLAZGO DE AUDITORÍA FINANCIERA: </w:t>
            </w:r>
            <w:r>
              <w:rPr>
                <w:color w:val="334155"/>
                <w:sz w:val="16"/>
              </w:rPr>
              <w:t>La diferencia real de desembolso en el primer año entre el Plan Operativo de ARL y la propuesta de entrada de UNIVERSO693 es de solo $61.369 netos (+3.4%). ARL fragmenta la factura (implementación + hosting externo + soporte de pago + plugins) generando una falsa sensación de bajo costo, mientras que UNIVERSO693 entrega un precio cerrado 'llave en mano' con capacidad ilimitada.</w:t>
            </w:r>
          </w:p>
        </w:tc>
      </w:tr>
    </w:tbl>
    <w:p>
      <w:pPr>
        <w:keepNext/>
        <w:spacing w:before="120" w:after="60"/>
        <w:jc w:val="left"/>
      </w:pPr>
      <w:r>
        <w:rPr>
          <w:rFonts w:ascii="Arial" w:hAnsi="Arial"/>
          <w:b/>
          <w:color w:val="0284C7"/>
          <w:sz w:val="19"/>
        </w:rPr>
        <w:t>Las Letras Chicas Críticas de ARL que Incrementan el Gasto Real:</w:t>
      </w:r>
    </w:p>
    <w:p>
      <w:pPr>
        <w:spacing w:before="20" w:after="50" w:line="264" w:lineRule="auto"/>
        <w:ind w:left="216"/>
      </w:pPr>
      <w:r>
        <w:rPr>
          <w:b/>
          <w:color w:val="B91C1C"/>
          <w:sz w:val="16"/>
        </w:rPr>
        <w:t xml:space="preserve">• Riesgo y sobrecosto de plugin SENCE: </w:t>
      </w:r>
      <w:r>
        <w:rPr>
          <w:color w:val="334155"/>
          <w:sz w:val="16"/>
        </w:rPr>
        <w:t>ARL advierte expresamente que el plugin gratuito está 'sujeto a pruebas'. Si falla o es observado por el fiscalizador, la institución debe pagar obligatoriamente $107.088 anuales adicionales por el plugin comercial.</w:t>
      </w:r>
    </w:p>
    <w:p>
      <w:pPr>
        <w:spacing w:before="20" w:after="50" w:line="264" w:lineRule="auto"/>
        <w:ind w:left="216"/>
      </w:pPr>
      <w:r>
        <w:rPr>
          <w:b/>
          <w:color w:val="B91C1C"/>
          <w:sz w:val="16"/>
        </w:rPr>
        <w:t xml:space="preserve">• Servicios de correo y video 'presupuestos': </w:t>
      </w:r>
      <w:r>
        <w:rPr>
          <w:color w:val="334155"/>
          <w:sz w:val="16"/>
        </w:rPr>
        <w:t>ARL presupone que el cliente ya cuenta con servidor de correo transaccional compatible. En Moodle masivo, los correos de bienvenida y diplomas rebotan; contratar un servidor transaccional (ej. SendGrid o AWS SES) implicará costos y configuración extra. UNIVERSO693 lo entrega 100% resuelto.</w:t>
      </w:r>
    </w:p>
    <w:p>
      <w:pPr>
        <w:spacing w:before="20" w:after="50" w:line="264" w:lineRule="auto"/>
        <w:ind w:left="216"/>
      </w:pPr>
      <w:r>
        <w:rPr>
          <w:b/>
          <w:color w:val="B91C1C"/>
          <w:sz w:val="16"/>
        </w:rPr>
        <w:t xml:space="preserve">• Soporte 'por hora' insuficiente: </w:t>
      </w:r>
      <w:r>
        <w:rPr>
          <w:color w:val="334155"/>
          <w:sz w:val="16"/>
        </w:rPr>
        <w:t>Las 2 horas mensuales de ARL no cubren emergencias mayores, ataques DDoS ni auditorías urgentes de SENCE, las cuales 'se cotizan antes de ejecutar'. UNIVERSO693 entrega SLA de respuesta en menos de 1 hora ante contingencias.</w:t>
      </w:r>
    </w:p>
    <w:p>
      <w:r>
        <w:br w:type="page"/>
      </w:r>
    </w:p>
    <w:p>
      <w:pPr>
        <w:keepNext/>
        <w:spacing w:before="160" w:after="80"/>
        <w:jc w:val="left"/>
      </w:pPr>
      <w:r>
        <w:rPr>
          <w:rFonts w:ascii="Arial" w:hAnsi="Arial"/>
          <w:b/>
          <w:color w:val="0F172A"/>
          <w:sz w:val="21"/>
        </w:rPr>
        <w:t>3. Proyección a 2 Años: Escalabilidad vs. Costos Acumulados</w:t>
      </w:r>
    </w:p>
    <w:p>
      <w:pPr>
        <w:spacing w:before="0" w:after="80" w:line="269" w:lineRule="auto"/>
        <w:jc w:val="both"/>
      </w:pPr>
      <w:r>
        <w:rPr>
          <w:rFonts w:ascii="Arial" w:hAnsi="Arial"/>
          <w:color w:val="334155"/>
          <w:sz w:val="17"/>
        </w:rPr>
        <w:t>Al proyectar la operación a 24 meses, la trampa del límite de cursos de Moodle se vuelve evidente: en cuanto la OTEC supere los 5 cursos o capacite a empresas simultáneas, el modelo de ARL obliga a recotizaciones y pagos extras por almacenamiento en Norteduc.</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4320"/>
            <w:shd w:fill="0F172A"/>
            <w:tcMar>
              <w:top w:w="70" w:type="dxa"/>
              <w:bottom w:w="70" w:type="dxa"/>
              <w:left w:w="90" w:type="dxa"/>
              <w:right w:w="90" w:type="dxa"/>
            </w:tcMar>
          </w:tcPr>
          <w:p>
            <w:pPr>
              <w:jc w:val="left"/>
            </w:pPr>
            <w:r>
              <w:rPr>
                <w:b/>
                <w:color w:val="FFFFFF"/>
                <w:sz w:val="17"/>
              </w:rPr>
              <w:t>Proyección a 2 Años (24 Meses)</w:t>
            </w:r>
          </w:p>
        </w:tc>
        <w:tc>
          <w:tcPr>
            <w:tcW w:type="dxa" w:w="3024"/>
            <w:shd w:fill="0F172A"/>
            <w:tcMar>
              <w:top w:w="70" w:type="dxa"/>
              <w:bottom w:w="70" w:type="dxa"/>
              <w:left w:w="90" w:type="dxa"/>
              <w:right w:w="90" w:type="dxa"/>
            </w:tcMar>
          </w:tcPr>
          <w:p>
            <w:pPr>
              <w:jc w:val="left"/>
            </w:pPr>
            <w:r>
              <w:rPr>
                <w:b/>
                <w:color w:val="FFFFFF"/>
                <w:sz w:val="17"/>
              </w:rPr>
              <w:t>ARL (Moodle Acotado)</w:t>
            </w:r>
          </w:p>
        </w:tc>
        <w:tc>
          <w:tcPr>
            <w:tcW w:type="dxa" w:w="3024"/>
            <w:shd w:fill="0F172A"/>
            <w:tcMar>
              <w:top w:w="70" w:type="dxa"/>
              <w:bottom w:w="70" w:type="dxa"/>
              <w:left w:w="90" w:type="dxa"/>
              <w:right w:w="90" w:type="dxa"/>
            </w:tcMar>
          </w:tcPr>
          <w:p>
            <w:pPr>
              <w:jc w:val="left"/>
            </w:pPr>
            <w:r>
              <w:rPr>
                <w:b/>
                <w:color w:val="FFFFFF"/>
                <w:sz w:val="17"/>
              </w:rPr>
              <w:t>UNIVERSO693 SpA (Ilimitado + IA)</w:t>
            </w:r>
          </w:p>
        </w:tc>
      </w:tr>
      <w:tr>
        <w:trPr>
          <w:cantSplit/>
        </w:trPr>
        <w:tc>
          <w:tcPr>
            <w:tcW w:type="dxa" w:w="4320"/>
            <w:shd w:fill="F8FAFC"/>
            <w:tcMar>
              <w:top w:w="60" w:type="dxa"/>
              <w:bottom w:w="60" w:type="dxa"/>
              <w:left w:w="90" w:type="dxa"/>
              <w:right w:w="90" w:type="dxa"/>
            </w:tcMar>
          </w:tcPr>
          <w:p>
            <w:pPr>
              <w:jc w:val="left"/>
            </w:pPr>
            <w:r>
              <w:rPr>
                <w:color w:val="0F172A"/>
                <w:sz w:val="16"/>
              </w:rPr>
              <w:t>Costo Año 1 (Implementación + Servidores)</w:t>
            </w:r>
          </w:p>
        </w:tc>
        <w:tc>
          <w:tcPr>
            <w:tcW w:type="dxa" w:w="3024"/>
            <w:shd w:fill="F8FAFC"/>
            <w:tcMar>
              <w:top w:w="60" w:type="dxa"/>
              <w:bottom w:w="60" w:type="dxa"/>
              <w:left w:w="90" w:type="dxa"/>
              <w:right w:w="90" w:type="dxa"/>
            </w:tcMar>
          </w:tcPr>
          <w:p>
            <w:pPr>
              <w:jc w:val="left"/>
            </w:pPr>
            <w:r>
              <w:rPr>
                <w:color w:val="334155"/>
                <w:sz w:val="16"/>
              </w:rPr>
              <w:t>$1.768.631 Neto</w:t>
            </w:r>
          </w:p>
        </w:tc>
        <w:tc>
          <w:tcPr>
            <w:tcW w:type="dxa" w:w="3024"/>
            <w:shd w:fill="F8FAFC"/>
            <w:tcMar>
              <w:top w:w="60" w:type="dxa"/>
              <w:bottom w:w="60" w:type="dxa"/>
              <w:left w:w="90" w:type="dxa"/>
              <w:right w:w="90" w:type="dxa"/>
            </w:tcMar>
          </w:tcPr>
          <w:p>
            <w:pPr>
              <w:jc w:val="left"/>
            </w:pPr>
            <w:r>
              <w:rPr>
                <w:color w:val="334155"/>
                <w:sz w:val="16"/>
              </w:rPr>
              <w:t>$1.830.000 Neto (Esencial) / $3.850.000 (Prof.)</w:t>
            </w:r>
          </w:p>
        </w:tc>
      </w:tr>
      <w:tr>
        <w:trPr>
          <w:cantSplit/>
        </w:trPr>
        <w:tc>
          <w:tcPr>
            <w:tcW w:type="dxa" w:w="4320"/>
            <w:shd w:fill="FFFFFF"/>
            <w:tcMar>
              <w:top w:w="60" w:type="dxa"/>
              <w:bottom w:w="60" w:type="dxa"/>
              <w:left w:w="90" w:type="dxa"/>
              <w:right w:w="90" w:type="dxa"/>
            </w:tcMar>
          </w:tcPr>
          <w:p>
            <w:pPr>
              <w:jc w:val="left"/>
            </w:pPr>
            <w:r>
              <w:rPr>
                <w:color w:val="0F172A"/>
                <w:sz w:val="16"/>
              </w:rPr>
              <w:t>Hosting &amp; Servidores Año 2</w:t>
            </w:r>
          </w:p>
        </w:tc>
        <w:tc>
          <w:tcPr>
            <w:tcW w:type="dxa" w:w="3024"/>
            <w:shd w:fill="FFFFFF"/>
            <w:tcMar>
              <w:top w:w="60" w:type="dxa"/>
              <w:bottom w:w="60" w:type="dxa"/>
              <w:left w:w="90" w:type="dxa"/>
              <w:right w:w="90" w:type="dxa"/>
            </w:tcMar>
          </w:tcPr>
          <w:p>
            <w:pPr>
              <w:jc w:val="left"/>
            </w:pPr>
            <w:r>
              <w:rPr>
                <w:color w:val="334155"/>
                <w:sz w:val="16"/>
              </w:rPr>
              <w:t>$298.800 Neto (sujeto a alzas por espacio)</w:t>
            </w:r>
          </w:p>
        </w:tc>
        <w:tc>
          <w:tcPr>
            <w:tcW w:type="dxa" w:w="3024"/>
            <w:shd w:fill="FFFFFF"/>
            <w:tcMar>
              <w:top w:w="60" w:type="dxa"/>
              <w:bottom w:w="60" w:type="dxa"/>
              <w:left w:w="90" w:type="dxa"/>
              <w:right w:w="90" w:type="dxa"/>
            </w:tcMar>
          </w:tcPr>
          <w:p>
            <w:pPr>
              <w:jc w:val="left"/>
            </w:pPr>
            <w:r>
              <w:rPr>
                <w:color w:val="334155"/>
                <w:sz w:val="16"/>
              </w:rPr>
              <w:t>$0 en Esencial / Incluido en Soporte Cloud</w:t>
            </w:r>
          </w:p>
        </w:tc>
      </w:tr>
      <w:tr>
        <w:trPr>
          <w:cantSplit/>
        </w:trPr>
        <w:tc>
          <w:tcPr>
            <w:tcW w:type="dxa" w:w="4320"/>
            <w:shd w:fill="F8FAFC"/>
            <w:tcMar>
              <w:top w:w="60" w:type="dxa"/>
              <w:bottom w:w="60" w:type="dxa"/>
              <w:left w:w="90" w:type="dxa"/>
              <w:right w:w="90" w:type="dxa"/>
            </w:tcMar>
          </w:tcPr>
          <w:p>
            <w:pPr>
              <w:jc w:val="left"/>
            </w:pPr>
            <w:r>
              <w:rPr>
                <w:color w:val="0F172A"/>
                <w:sz w:val="16"/>
              </w:rPr>
              <w:t>Soporte Técnico Año 2</w:t>
            </w:r>
          </w:p>
        </w:tc>
        <w:tc>
          <w:tcPr>
            <w:tcW w:type="dxa" w:w="3024"/>
            <w:shd w:fill="F8FAFC"/>
            <w:tcMar>
              <w:top w:w="60" w:type="dxa"/>
              <w:bottom w:w="60" w:type="dxa"/>
              <w:left w:w="90" w:type="dxa"/>
              <w:right w:w="90" w:type="dxa"/>
            </w:tcMar>
          </w:tcPr>
          <w:p>
            <w:pPr>
              <w:jc w:val="left"/>
            </w:pPr>
            <w:r>
              <w:rPr>
                <w:color w:val="334155"/>
                <w:sz w:val="16"/>
              </w:rPr>
              <w:t>$402.348 Neto (limitado a 2 hrs/mes)</w:t>
            </w:r>
          </w:p>
        </w:tc>
        <w:tc>
          <w:tcPr>
            <w:tcW w:type="dxa" w:w="3024"/>
            <w:shd w:fill="F8FAFC"/>
            <w:tcMar>
              <w:top w:w="60" w:type="dxa"/>
              <w:bottom w:w="60" w:type="dxa"/>
              <w:left w:w="90" w:type="dxa"/>
              <w:right w:w="90" w:type="dxa"/>
            </w:tcMar>
          </w:tcPr>
          <w:p>
            <w:pPr>
              <w:jc w:val="left"/>
            </w:pPr>
            <w:r>
              <w:rPr>
                <w:color w:val="334155"/>
                <w:sz w:val="16"/>
              </w:rPr>
              <w:t>Bolsa de horas y SLA corporativo continuo</w:t>
            </w:r>
          </w:p>
        </w:tc>
      </w:tr>
      <w:tr>
        <w:trPr>
          <w:cantSplit/>
        </w:trPr>
        <w:tc>
          <w:tcPr>
            <w:tcW w:type="dxa" w:w="4320"/>
            <w:shd w:fill="FFFFFF"/>
            <w:tcMar>
              <w:top w:w="60" w:type="dxa"/>
              <w:bottom w:w="60" w:type="dxa"/>
              <w:left w:w="90" w:type="dxa"/>
              <w:right w:w="90" w:type="dxa"/>
            </w:tcMar>
          </w:tcPr>
          <w:p>
            <w:pPr>
              <w:jc w:val="left"/>
            </w:pPr>
            <w:r>
              <w:rPr>
                <w:color w:val="0F172A"/>
                <w:sz w:val="16"/>
              </w:rPr>
              <w:t>Costos por Expansión (Cursos 6 a 10)</w:t>
            </w:r>
          </w:p>
        </w:tc>
        <w:tc>
          <w:tcPr>
            <w:tcW w:type="dxa" w:w="3024"/>
            <w:shd w:fill="FFFFFF"/>
            <w:tcMar>
              <w:top w:w="60" w:type="dxa"/>
              <w:bottom w:w="60" w:type="dxa"/>
              <w:left w:w="90" w:type="dxa"/>
              <w:right w:w="90" w:type="dxa"/>
            </w:tcMar>
          </w:tcPr>
          <w:p>
            <w:pPr>
              <w:jc w:val="left"/>
            </w:pPr>
            <w:r>
              <w:rPr>
                <w:color w:val="334155"/>
                <w:sz w:val="16"/>
              </w:rPr>
              <w:t>~$500.000 a $800.000 (Recotización forzosa)</w:t>
            </w:r>
          </w:p>
        </w:tc>
        <w:tc>
          <w:tcPr>
            <w:tcW w:type="dxa" w:w="3024"/>
            <w:shd w:fill="FFFFFF"/>
            <w:tcMar>
              <w:top w:w="60" w:type="dxa"/>
              <w:bottom w:w="60" w:type="dxa"/>
              <w:left w:w="90" w:type="dxa"/>
              <w:right w:w="90" w:type="dxa"/>
            </w:tcMar>
          </w:tcPr>
          <w:p>
            <w:pPr>
              <w:jc w:val="left"/>
            </w:pPr>
            <w:r>
              <w:rPr>
                <w:color w:val="334155"/>
                <w:sz w:val="16"/>
              </w:rPr>
              <w:t>$0 (Ilimitado de por vida)</w:t>
            </w:r>
          </w:p>
        </w:tc>
      </w:tr>
      <w:tr>
        <w:trPr>
          <w:cantSplit/>
        </w:trPr>
        <w:tc>
          <w:tcPr>
            <w:tcW w:type="dxa" w:w="4320"/>
            <w:shd w:fill="F8FAFC"/>
            <w:tcMar>
              <w:top w:w="60" w:type="dxa"/>
              <w:bottom w:w="60" w:type="dxa"/>
              <w:left w:w="90" w:type="dxa"/>
              <w:right w:w="90" w:type="dxa"/>
            </w:tcMar>
          </w:tcPr>
          <w:p>
            <w:pPr>
              <w:jc w:val="left"/>
            </w:pPr>
            <w:r>
              <w:rPr>
                <w:b/>
                <w:color w:val="0F172A"/>
                <w:sz w:val="16"/>
              </w:rPr>
              <w:t>TOTAL ESTIMADO 2 AÑOS</w:t>
            </w:r>
          </w:p>
        </w:tc>
        <w:tc>
          <w:tcPr>
            <w:tcW w:type="dxa" w:w="3024"/>
            <w:shd w:fill="F8FAFC"/>
            <w:tcMar>
              <w:top w:w="60" w:type="dxa"/>
              <w:bottom w:w="60" w:type="dxa"/>
              <w:left w:w="90" w:type="dxa"/>
              <w:right w:w="90" w:type="dxa"/>
            </w:tcMar>
          </w:tcPr>
          <w:p>
            <w:pPr>
              <w:jc w:val="left"/>
            </w:pPr>
            <w:r>
              <w:rPr>
                <w:b/>
                <w:color w:val="B91C1C"/>
                <w:sz w:val="16"/>
              </w:rPr>
              <w:t>$2.969.779 a $3.269.779 Neto</w:t>
            </w:r>
          </w:p>
        </w:tc>
        <w:tc>
          <w:tcPr>
            <w:tcW w:type="dxa" w:w="3024"/>
            <w:shd w:fill="F8FAFC"/>
            <w:tcMar>
              <w:top w:w="60" w:type="dxa"/>
              <w:bottom w:w="60" w:type="dxa"/>
              <w:left w:w="90" w:type="dxa"/>
              <w:right w:w="90" w:type="dxa"/>
            </w:tcMar>
          </w:tcPr>
          <w:p>
            <w:pPr>
              <w:jc w:val="left"/>
            </w:pPr>
            <w:r>
              <w:rPr>
                <w:b/>
                <w:color w:val="15803D"/>
                <w:sz w:val="16"/>
              </w:rPr>
              <w:t>Solución Definitiva con Activo Propio (GitHub)</w:t>
            </w:r>
          </w:p>
        </w:tc>
      </w:tr>
    </w:tbl>
    <w:p>
      <w:pPr>
        <w:keepNext/>
        <w:spacing w:before="160" w:after="80"/>
        <w:jc w:val="left"/>
      </w:pPr>
      <w:r>
        <w:rPr>
          <w:rFonts w:ascii="Arial" w:hAnsi="Arial"/>
          <w:b/>
          <w:color w:val="0F172A"/>
          <w:sz w:val="21"/>
        </w:rPr>
        <w:t>4. Dictamen Técnico y Conclusión de Ingeniería</w:t>
      </w:r>
    </w:p>
    <w:tbl>
      <w:tblPr>
        <w:tblW w:type="auto" w:w="0"/>
        <w:jc w:val="center"/>
        <w:tblLayout w:type="fixed"/>
        <w:tblLook w:firstColumn="1" w:firstRow="1" w:lastColumn="0" w:lastRow="0" w:noHBand="0" w:noVBand="1" w:val="04A0"/>
      </w:tblPr>
      <w:tblGrid>
        <w:gridCol w:w="10368"/>
      </w:tblGrid>
      <w:tr>
        <w:tc>
          <w:tcPr>
            <w:tcW w:type="dxa" w:w="10368"/>
            <w:shd w:fill="F0FDF4"/>
            <w:tcMar>
              <w:top w:w="80" w:type="dxa"/>
              <w:bottom w:w="80" w:type="dxa"/>
              <w:left w:w="130" w:type="dxa"/>
              <w:right w:w="130" w:type="dxa"/>
            </w:tcMar>
          </w:tcPr>
          <w:p>
            <w:pPr>
              <w:spacing w:line="276" w:lineRule="auto" w:after="20"/>
            </w:pPr>
            <w:r>
              <w:rPr>
                <w:b/>
                <w:color w:val="15803D"/>
                <w:sz w:val="19"/>
              </w:rPr>
              <w:t>CONCLUSIÓN TÉCNICO-ESTRATÉGICA:</w:t>
              <w:br/>
            </w:r>
            <w:r>
              <w:rPr>
                <w:color w:val="166534"/>
                <w:sz w:val="17"/>
              </w:rPr>
              <w:t>1. Desmitificación Económica: ARL no es una opción de bajo costo. Al sincerar el hosting externo Norteduc y el soporte básico obligatorio, la diferencia real en el Año 1 es de apenas $61.369 netos frente a UNIVERSO693.</w:t>
              <w:br/>
              <w:t>2. Riesgo Operativo y Normativo: ARL encierra al cliente en un techo de 5 cursos y 100 alumnos, con plugins SENCE que pueden fallar y costos ocultos futuros. Cualquier crecimiento comercial obligará a recotizar y pagar de más.</w:t>
              <w:br/>
              <w:t>3. Ventaja Patrimonial Definitiva: UNIVERSO693 SpA entrega una plataforma moderna sin techos de alumnos ni cursos, integración nativa con ClaveÚnica y Web Services SENCE, IA 24/7 para turnos de emergencia, entrega del código fuente en GitHub a nombre de la institución y respaldo presencial directo en la Región de Valparaíso.</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