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ind w:left="141.73228346456688" w:firstLine="0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25. Descrição do Subsistema</w:t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Grupo Inovasoft</w:t>
      </w: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400"/>
      </w:tblPr>
      <w:tblGrid>
        <w:gridCol w:w="3105"/>
        <w:gridCol w:w="1065"/>
        <w:gridCol w:w="4485"/>
        <w:gridCol w:w="1650"/>
        <w:tblGridChange w:id="0">
          <w:tblGrid>
            <w:gridCol w:w="3105"/>
            <w:gridCol w:w="1065"/>
            <w:gridCol w:w="4485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Alexandre Ambroselli Saula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1903457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alexandre.saula@aluno.faculdadeimpacta.com.br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99876-6562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 Paula Carvalho Torno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ana.pires@aluno.faculdadeimpacta.com.br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99169-4943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André Luccas Gorski Vasques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1903458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andre.vasques@aluno.faculdadeimpacta.com.br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98508-3232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Guilherme Bismark Manoel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1801447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guilherme.manoel@aluno.faculdadeimpacta.com.br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94867-4307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6484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Vitor Alkindar Santos Rodrigues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vitor.alkindar@aluno.faculdadeimpacta.com.br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95458-6880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SIGAC</w:t>
      </w: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0.0" w:type="dxa"/>
        <w:tblLayout w:type="fixed"/>
        <w:tblLook w:val="04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trHeight w:val="24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Gestão de Atendimento para Cabeleireiros (Sistema de Agendamento por Serviço)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acesso: Meio utilizado para autorizar funções por perfis de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Cadastros básicos: Método utilizado para cadastrar serviços, profissionais, usuários e mantê-los.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Agendamento: Função para reservar um horário, uma data, um serviço e um profissional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Serviços: Módulo para alterar o status do serviço de “agendado” para “realizado” ou “cancelado”.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manoel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/9ku8ccG23ivWpSSMC82oC/l9g==">AMUW2mWVU6Zs7I7DcgvAZ4cCTHxzCDEwt6MNE+BmUp5IVwOqewktrStEeat+syouUJ2Wv8z8/JOaSUkcLTj+q3WqbmvK1C2wrF26msyH6hUEnTt0NS5u7mE=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