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>
        <w:r w:rsidRPr="00576757">
          <w:rPr>
            <w:rFonts w:ascii="Times New Roman" w:hAnsi="Times New Roman" w:cs="Times New Roman"/>
            <w:sz w:val="20"/>
            <w:szCs w:val="20"/>
          </w:rPr>
          <w:t>rustam</w:t>
        </w:r>
        <w:r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76757">
          <w:rPr>
            <w:rFonts w:ascii="Times New Roman" w:hAnsi="Times New Roman" w:cs="Times New Roman"/>
            <w:sz w:val="20"/>
            <w:szCs w:val="20"/>
          </w:rPr>
          <w:t>azimov</w:t>
        </w:r>
        <w:r w:rsidRPr="00576757">
          <w:rPr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Pr="00576757">
          <w:rPr>
            <w:rFonts w:ascii="Times New Roman" w:hAnsi="Times New Roman" w:cs="Times New Roman"/>
            <w:sz w:val="20"/>
            <w:szCs w:val="20"/>
          </w:rPr>
          <w:t>gmail</w:t>
        </w:r>
        <w:r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76757">
          <w:rPr>
            <w:rFonts w:ascii="Times New Roman" w:hAnsi="Times New Roman" w:cs="Times New Roman"/>
            <w:sz w:val="20"/>
            <w:szCs w:val="20"/>
          </w:rPr>
          <w:t>com</w:t>
        </w:r>
        <w:r w:rsidRPr="00576757">
          <w:rPr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 во многих об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ластях, например, биоинформатика, графовые базы данных. В этих областях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большим графам.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 метки на ребрах этог</w:t>
      </w:r>
      <w:bookmarkStart w:id="0" w:name="_GoBack"/>
      <w:bookmarkEnd w:id="0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 образующие более широкий класс грамматик, чем 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позволит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ближенное решение данной задачи, а именно аппроксимацию сверху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биоинформатика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графовые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базы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этих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обла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стях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необходимо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большим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графам. Одними из наиболее распространенных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запросов к графам являются на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вигационные запросы.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путей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графе. Естественно выделять такие отношения — пометив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выделив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в графе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контекстно-свободные грамматики) над тем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запросы,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использующие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>так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КС-языки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обладают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большей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выразительной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мощностью,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регулярные.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576757">
        <w:rPr>
          <w:rFonts w:ascii="Times New Roman" w:hAnsi="Times New Roman" w:cs="Times New Roman"/>
          <w:spacing w:val="-1"/>
          <w:w w:val="9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волит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неразрешима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(сверху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или снизу).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В данной работе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будет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грамматик, а именно ап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проксимацию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Pr="00576757"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1pt;margin-top:50.15pt;width:6.65pt;height:17.3pt;z-index:-5344;mso-position-horizontal-relative:page;mso-position-vertical-relative:text" filled="f" stroked="f">
            <v:textbox style="mso-next-textbox:#_x0000_s1030" inset="0,0,0,0">
              <w:txbxContent>
                <w:p w:rsidR="00A80BE9" w:rsidRDefault="00A80BE9">
                  <w:pPr>
                    <w:pStyle w:val="a3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×V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использовать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)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для обозначения слова, по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лученного конкатенацией меток на ребрах данного пути. Кроме того, 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писать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чтобы указать, что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в 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lastRenderedPageBreak/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такой,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грамматики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Традиционно использовали регулярн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ые выражения 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. Но в последнее время стало популярным использовать КС-грамматики,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), определяются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:rsidR="003B0A56" w:rsidRPr="003B0A56" w:rsidRDefault="003B0A56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E334C0" w:rsidRPr="00576757" w:rsidRDefault="003B0A56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Вся работа алгор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итма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сводится к вычислению контекстно-свободных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3B0A56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.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валентную ей грамматику в бинарной нормальной форме, то достаточно рассмотреть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335EB0">
        <w:rPr>
          <w:rFonts w:ascii="Times New Roman" w:hAnsi="Times New Roman" w:cs="Times New Roman"/>
          <w:sz w:val="20"/>
          <w:szCs w:val="20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m≥1,A,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∈N,</m:t>
        </m:r>
      </m:oMath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запись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</m:oMath>
      </m:oMathPara>
    </w:p>
    <w:p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</w:p>
    <w:p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…w…</m:t>
          </m:r>
        </m:oMath>
      </m:oMathPara>
    </w:p>
    <w:p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4855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 xml:space="preserve">демонстрируют низкую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графах.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шими объемами данных, является использование графического процессора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вычислений,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позволяют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 применить данную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технику.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то время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 с использо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ванием реляционной семантики запросов и КС-грамматик,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ричное транзитивное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 ак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тивно использует матричные опе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рации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ных грамматик. В работе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 описан единственный известный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алгоритм,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грамматики.</w:t>
      </w:r>
    </w:p>
    <w:p w:rsidR="00D47464" w:rsidRDefault="00A80BE9" w:rsidP="00D47464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целью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создание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первого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ритма синтаксического анализа графов с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использованием реляционной се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мантики запросов, который работает с п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роизвольной конъюнктивной грам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матикой.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Кроме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того,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должен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активно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ричные операции, что позволит эффективн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 использовать графический про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цессор 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вычислений.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:rsidR="00576757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</w:p>
    <w:p w:rsidR="00576757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br w:type="page"/>
      </w:r>
    </w:p>
    <w:p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Abiteboul </w:t>
      </w:r>
      <w:r w:rsidRPr="00D47464">
        <w:rPr>
          <w:rFonts w:ascii="Times New Roman" w:hAnsi="Times New Roman" w:cs="Times New Roman"/>
          <w:sz w:val="20"/>
          <w:szCs w:val="20"/>
        </w:rPr>
        <w:t xml:space="preserve">S.,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Hull </w:t>
      </w:r>
      <w:r w:rsidRPr="00D47464">
        <w:rPr>
          <w:rFonts w:ascii="Times New Roman" w:hAnsi="Times New Roman" w:cs="Times New Roman"/>
          <w:sz w:val="20"/>
          <w:szCs w:val="20"/>
        </w:rPr>
        <w:t xml:space="preserve">R., Vianu V.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Foundations </w:t>
      </w:r>
      <w:r w:rsidRPr="00D47464">
        <w:rPr>
          <w:rFonts w:ascii="Times New Roman" w:hAnsi="Times New Roman" w:cs="Times New Roman"/>
          <w:sz w:val="20"/>
          <w:szCs w:val="20"/>
        </w:rPr>
        <w:t>of databases: 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3324"/>
      <w:bookmarkStart w:id="3" w:name="_Ref506122907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3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2"/>
      <w:bookmarkEnd w:id="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 xml:space="preserve">5, № 2. — </w:t>
      </w:r>
      <w:r w:rsidRPr="00D47464">
        <w:rPr>
          <w:rFonts w:ascii="Times New Roman" w:hAnsi="Times New Roman" w:cs="Times New Roman"/>
          <w:sz w:val="20"/>
          <w:szCs w:val="20"/>
        </w:rPr>
        <w:lastRenderedPageBreak/>
        <w:t>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34C0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D4746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. и</w:t>
      </w:r>
      <w:r w:rsidRPr="00D4746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др.</w:t>
      </w:r>
      <w:r w:rsidRPr="00D47464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sectPr w:rsidR="00E334C0" w:rsidRPr="00D47464" w:rsidSect="00576757">
      <w:footerReference w:type="default" r:id="rId9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B95" w:rsidRDefault="001D6B95">
      <w:r>
        <w:separator/>
      </w:r>
    </w:p>
  </w:endnote>
  <w:endnote w:type="continuationSeparator" w:id="0">
    <w:p w:rsidR="001D6B95" w:rsidRDefault="001D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E9" w:rsidRDefault="00A80BE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B95" w:rsidRDefault="001D6B95">
      <w:r>
        <w:separator/>
      </w:r>
    </w:p>
  </w:footnote>
  <w:footnote w:type="continuationSeparator" w:id="0">
    <w:p w:rsidR="001D6B95" w:rsidRDefault="001D6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34C0"/>
    <w:rsid w:val="001D6B95"/>
    <w:rsid w:val="00335EB0"/>
    <w:rsid w:val="003B0A56"/>
    <w:rsid w:val="003E605F"/>
    <w:rsid w:val="00417B92"/>
    <w:rsid w:val="00576757"/>
    <w:rsid w:val="0096656C"/>
    <w:rsid w:val="00A80BE9"/>
    <w:rsid w:val="00D47464"/>
    <w:rsid w:val="00DD3F4E"/>
    <w:rsid w:val="00E334C0"/>
    <w:rsid w:val="00F809AA"/>
    <w:rsid w:val="00F84855"/>
    <w:rsid w:val="00F909D5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FD11-858B-4232-B2F7-7E58E289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Лобкова</cp:lastModifiedBy>
  <cp:revision>3</cp:revision>
  <dcterms:created xsi:type="dcterms:W3CDTF">2018-02-11T09:50:00Z</dcterms:created>
  <dcterms:modified xsi:type="dcterms:W3CDTF">2018-02-11T12:01:00Z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