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1186" w14:textId="77777777"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14:paraId="3CD47BA3" w14:textId="77777777" w:rsidR="00D720DD" w:rsidRDefault="00A80BE9" w:rsidP="00576757">
      <w:pPr>
        <w:ind w:firstLine="567"/>
        <w:jc w:val="center"/>
        <w:rPr>
          <w:rFonts w:ascii="Times New Roman" w:hAnsi="Times New Roman" w:cs="Times New Roman"/>
          <w:w w:val="105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14:paraId="0F025C4C" w14:textId="3E97E08D" w:rsidR="00E334C0" w:rsidRPr="00576757" w:rsidRDefault="008C11F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 w:history="1"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rustam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azimov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gmail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</w:rPr>
          <w:t>com</w:t>
        </w:r>
        <w:r w:rsidR="0068752D" w:rsidRPr="00A37206">
          <w:rPr>
            <w:rStyle w:val="af2"/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14:paraId="689B7E70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14:paraId="304E7CAF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14:paraId="4E1211ED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6468E76" w14:textId="77777777"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14:paraId="7BD404C7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таких областях, как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биоинформатика, графовые базы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ий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 кода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3D27AE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ближенное решение данной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14:paraId="0FC8442D" w14:textId="77777777" w:rsidR="00E334C0" w:rsidRPr="00925AED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14:paraId="4F9943B8" w14:textId="77777777" w:rsidR="003A4447" w:rsidRPr="00576757" w:rsidRDefault="003A4447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0EC2BD2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F59D6FA" w14:textId="77777777" w:rsidR="00DB262E" w:rsidRDefault="00DB262E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4991DCB" w14:textId="77777777"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14:paraId="4118E0F1" w14:textId="34DD0831" w:rsidR="00267E78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 статическом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 xml:space="preserve">программ </w:t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>
        <w:rPr>
          <w:rFonts w:ascii="Times New Roman" w:hAnsi="Times New Roman" w:cs="Times New Roman"/>
          <w:sz w:val="20"/>
          <w:szCs w:val="20"/>
          <w:lang w:val="ru-RU"/>
        </w:rPr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DB262E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оказывается </w:t>
      </w:r>
      <w:r w:rsidR="00547A67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</w:t>
      </w:r>
      <w:r w:rsidR="00DB262E">
        <w:rPr>
          <w:rFonts w:ascii="Times New Roman" w:hAnsi="Times New Roman" w:cs="Times New Roman"/>
          <w:spacing w:val="-3"/>
          <w:sz w:val="20"/>
          <w:szCs w:val="20"/>
          <w:lang w:val="ru-RU"/>
        </w:rPr>
        <w:t>ым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 между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</w:t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>
        <w:rPr>
          <w:rFonts w:ascii="Times New Roman" w:hAnsi="Times New Roman" w:cs="Times New Roman"/>
          <w:sz w:val="20"/>
          <w:szCs w:val="20"/>
          <w:lang w:val="ru-RU"/>
        </w:rPr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венно помеча</w:t>
      </w:r>
      <w:r w:rsidR="00DB262E">
        <w:rPr>
          <w:rFonts w:ascii="Times New Roman" w:hAnsi="Times New Roman" w:cs="Times New Roman"/>
          <w:sz w:val="20"/>
          <w:szCs w:val="20"/>
          <w:lang w:val="ru-RU"/>
        </w:rPr>
        <w:t>ть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я</w:t>
      </w:r>
      <w:r w:rsidR="00DB262E">
        <w:rPr>
          <w:rFonts w:ascii="Times New Roman" w:hAnsi="Times New Roman" w:cs="Times New Roman"/>
          <w:w w:val="95"/>
          <w:sz w:val="20"/>
          <w:szCs w:val="20"/>
          <w:lang w:val="ru-RU"/>
        </w:rPr>
        <w:t>ть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ми </w:t>
      </w:r>
      <w:r w:rsidR="00267E78" w:rsidRPr="0068752D">
        <w:rPr>
          <w:rFonts w:ascii="Times New Roman" w:hAnsi="Times New Roman" w:cs="Times New Roman"/>
          <w:sz w:val="20"/>
          <w:szCs w:val="20"/>
          <w:lang w:val="ru-RU"/>
        </w:rPr>
        <w:t>являются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запросы, 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которые 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>использую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контекстно-свободные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(КС)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грамматики, </w:t>
      </w:r>
      <w:r w:rsidR="009D6BC5" w:rsidRPr="0068752D">
        <w:rPr>
          <w:rFonts w:ascii="Times New Roman" w:hAnsi="Times New Roman" w:cs="Times New Roman"/>
          <w:sz w:val="20"/>
          <w:szCs w:val="20"/>
          <w:lang w:val="ru-RU"/>
        </w:rPr>
        <w:t>поскольку</w:t>
      </w:r>
      <w:r w:rsidRPr="0068752D">
        <w:rPr>
          <w:rFonts w:ascii="Times New Roman" w:hAnsi="Times New Roman" w:cs="Times New Roman"/>
          <w:sz w:val="20"/>
          <w:szCs w:val="20"/>
          <w:lang w:val="ru-RU"/>
        </w:rPr>
        <w:t xml:space="preserve"> КС-языки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 обладают </w:t>
      </w:r>
      <w:r w:rsidR="00267E78"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значительной 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 xml:space="preserve">выразительной </w:t>
      </w:r>
      <w:r w:rsidR="00267E78" w:rsidRPr="003A4447">
        <w:rPr>
          <w:rFonts w:ascii="Times New Roman" w:hAnsi="Times New Roman" w:cs="Times New Roman"/>
          <w:sz w:val="20"/>
          <w:szCs w:val="20"/>
          <w:lang w:val="ru-RU"/>
        </w:rPr>
        <w:t>силой</w:t>
      </w:r>
      <w:r w:rsidRPr="003A4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>языков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3A444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конъюнктивных грамматик 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</w:t>
      </w:r>
      <w:r w:rsidR="00267E78">
        <w:rPr>
          <w:rFonts w:ascii="Times New Roman" w:hAnsi="Times New Roman" w:cs="Times New Roman"/>
          <w:sz w:val="20"/>
          <w:szCs w:val="20"/>
          <w:lang w:val="ru-RU"/>
        </w:rPr>
        <w:t>, например,</w:t>
      </w:r>
      <w:r w:rsidR="00D720D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 xml:space="preserve">задачи поиска псевдонимов и уязвимостей в исходном коде </w:t>
      </w:r>
      <w:r w:rsidR="00010768" w:rsidRPr="00925AE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010768">
        <w:rPr>
          <w:rFonts w:ascii="Times New Roman" w:hAnsi="Times New Roman" w:cs="Times New Roman"/>
          <w:sz w:val="20"/>
          <w:szCs w:val="20"/>
          <w:lang w:val="ru-RU"/>
        </w:rPr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10768" w:rsidRPr="00925AE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010768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При этом необходимо отметить,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267E78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</w:t>
      </w:r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>ой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построить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727A627A" w14:textId="6F86F80B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 данной работе 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14:paraId="5C20D5DC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2B9365B" w14:textId="77777777"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14:paraId="46672E4E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14:paraId="7F6839E1" w14:textId="77777777"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0D6572">
        <w:rPr>
          <w:rFonts w:ascii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F946CD0" wp14:editId="3C1F4F6A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4445" t="381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0C5" w14:textId="77777777" w:rsidR="00B309FF" w:rsidRDefault="00B309FF">
                            <w:pPr>
                              <w:pStyle w:val="a3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46C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6krA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" filled="f" stroked="f">
                <v:textbox inset="0,0,0,0">
                  <w:txbxContent>
                    <w:p w14:paraId="6FA0E0C5" w14:textId="77777777" w:rsidR="00B309FF" w:rsidRDefault="00B309FF">
                      <w:pPr>
                        <w:pStyle w:val="a3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5C815AE2" w14:textId="59188501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>путь</w:t>
      </w:r>
      <w:r w:rsidR="00A66EA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69886A8A" w14:textId="196B012B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316C1330" w14:textId="2A076520"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14:paraId="1A28F739" w14:textId="77777777" w:rsidR="003B0A56" w:rsidRPr="003B0A56" w:rsidRDefault="008C11F9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30A116EE" w14:textId="77777777" w:rsidR="00E334C0" w:rsidRPr="00576757" w:rsidRDefault="003B0A56" w:rsidP="000F0FA2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proofErr w:type="gramEnd"/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EF97E68" w14:textId="77777777" w:rsidR="00E334C0" w:rsidRPr="00576757" w:rsidRDefault="008E2C8B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14:paraId="34731C5F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грамматику в бинарной нормальной форме, то достаточно рассмотреть 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14:paraId="3F143204" w14:textId="77777777"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14:paraId="04CFA490" w14:textId="77777777"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14:paraId="2CE8EB60" w14:textId="77777777"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proofErr w:type="gramStart"/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7E9A8B27" w14:textId="77777777" w:rsidR="00267E78" w:rsidRDefault="00267E78" w:rsidP="003E605F">
      <w:pPr>
        <w:ind w:firstLine="567"/>
        <w:jc w:val="both"/>
        <w:rPr>
          <w:rFonts w:ascii="Times New Roman" w:hAnsi="Times New Roman" w:cs="Times New Roman"/>
          <w:w w:val="96"/>
          <w:sz w:val="20"/>
          <w:szCs w:val="20"/>
          <w:lang w:val="ru-RU"/>
        </w:rPr>
      </w:pPr>
    </w:p>
    <w:p w14:paraId="09D949BD" w14:textId="66C8DB35"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proofErr w:type="gramStart"/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>писать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14:paraId="6FEE80CB" w14:textId="77777777"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proofErr w:type="gramStart"/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proofErr w:type="gramEnd"/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14:paraId="2BCFE13C" w14:textId="77777777"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</w:t>
      </w:r>
      <w:proofErr w:type="gramStart"/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proofErr w:type="gramEnd"/>
    </w:p>
    <w:p w14:paraId="61008D71" w14:textId="77777777"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14:paraId="6D3F0F4D" w14:textId="77777777"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73AE25A" w14:textId="77777777"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</w:t>
      </w:r>
      <w:proofErr w:type="gramEnd"/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14:paraId="190A6765" w14:textId="77777777"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C74858D" w14:textId="1CB35EFE" w:rsidR="00EA1B57" w:rsidRPr="002E2C09" w:rsidRDefault="00A80BE9" w:rsidP="002E2C0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14:paraId="0E0AC5CD" w14:textId="4D44B56D" w:rsidR="00EA1B57" w:rsidRDefault="00297CB2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Существует р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графах</w:t>
      </w:r>
      <w:r w:rsidR="00925AED">
        <w:rPr>
          <w:rFonts w:ascii="Times New Roman" w:hAnsi="Times New Roman" w:cs="Times New Roman"/>
          <w:sz w:val="20"/>
          <w:szCs w:val="20"/>
          <w:lang w:val="ru-RU"/>
        </w:rPr>
        <w:t>, так как имеют в худшем случае кубическую временную сложность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925AED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EA1B57">
        <w:rPr>
          <w:rFonts w:ascii="Times New Roman" w:hAnsi="Times New Roman" w:cs="Times New Roman"/>
          <w:w w:val="95"/>
          <w:sz w:val="20"/>
          <w:szCs w:val="20"/>
          <w:lang w:val="ru-RU"/>
        </w:rPr>
        <w:t>.</w:t>
      </w:r>
      <w:r w:rsidR="00EA1B57">
        <w:rPr>
          <w:rFonts w:ascii="Times New Roman" w:hAnsi="Times New Roman" w:cs="Times New Roman"/>
          <w:sz w:val="20"/>
          <w:szCs w:val="20"/>
          <w:lang w:val="ru-RU"/>
        </w:rPr>
        <w:t xml:space="preserve"> В работе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="00A80BE9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>
        <w:rPr>
          <w:rFonts w:ascii="Times New Roman" w:hAnsi="Times New Roman" w:cs="Times New Roman"/>
          <w:sz w:val="20"/>
          <w:szCs w:val="20"/>
          <w:lang w:val="ru-RU"/>
        </w:rPr>
        <w:t>раций</w:t>
      </w:r>
      <w:r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="00A80BE9"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="00EA1B57">
        <w:rPr>
          <w:rFonts w:ascii="Times New Roman" w:hAnsi="Times New Roman" w:cs="Times New Roman"/>
          <w:sz w:val="20"/>
          <w:szCs w:val="20"/>
          <w:lang w:val="ru-RU"/>
        </w:rPr>
        <w:t xml:space="preserve"> Но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ных грамматик. </w:t>
      </w:r>
    </w:p>
    <w:p w14:paraId="4A1AAA87" w14:textId="4E530843" w:rsidR="00E334C0" w:rsidRDefault="00DD3F4E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работе [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>
        <w:rPr>
          <w:rFonts w:ascii="Times New Roman" w:hAnsi="Times New Roman" w:cs="Times New Roman"/>
          <w:sz w:val="20"/>
          <w:szCs w:val="20"/>
          <w:lang w:val="ru-RU"/>
        </w:rPr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="00A80BE9"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="00A80BE9"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="00862510">
        <w:rPr>
          <w:rFonts w:ascii="Times New Roman" w:hAnsi="Times New Roman" w:cs="Times New Roman"/>
          <w:sz w:val="20"/>
          <w:szCs w:val="20"/>
          <w:lang w:val="ru-RU"/>
        </w:rPr>
        <w:t>, которые имеют в правилах не более одного нетерминального символа в каждом конъюнкте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36460D3" w14:textId="43C870BD" w:rsidR="00EA1B57" w:rsidRPr="00576757" w:rsidRDefault="00EA1B57" w:rsidP="00EA1B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Таким образом, построение алгоритма синтаксического анализа графов, использующего реляционную семантику запросов и работающего с произвольными конъюнктивными грамматиками — является открытой проблемой.</w:t>
      </w:r>
    </w:p>
    <w:p w14:paraId="7C0CDD3F" w14:textId="77777777" w:rsidR="003A2423" w:rsidRDefault="003A2423" w:rsidP="00A94D19">
      <w:pPr>
        <w:ind w:firstLine="567"/>
        <w:jc w:val="both"/>
        <w:rPr>
          <w:rFonts w:ascii="Times New Roman" w:hAnsi="Times New Roman" w:cs="Times New Roman"/>
          <w:spacing w:val="-4"/>
          <w:sz w:val="20"/>
          <w:szCs w:val="20"/>
          <w:lang w:val="ru-RU"/>
        </w:rPr>
      </w:pPr>
    </w:p>
    <w:p w14:paraId="108D471B" w14:textId="77777777" w:rsidR="00A94D19" w:rsidRDefault="00D47464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14:paraId="16ED7F1F" w14:textId="77777777" w:rsidR="00A94D19" w:rsidRPr="00A94D19" w:rsidRDefault="00A94D19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вычисляя некоторое матричное транзитивное замыкание.</w:t>
      </w:r>
    </w:p>
    <w:p w14:paraId="30329776" w14:textId="77777777" w:rsidR="005E2575" w:rsidRDefault="005E2575" w:rsidP="00A94D1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Пусть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даны помеченный граф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и конъюнктивная грамматика</w:t>
      </w:r>
      <w:r w:rsidR="002E2C09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i/>
          <w:sz w:val="20"/>
          <w:szCs w:val="20"/>
        </w:rPr>
        <w:t>G</w:t>
      </w:r>
      <w:r w:rsidR="002E2C09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2E2C09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13353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9637C" w14:textId="77777777" w:rsidR="00A94D19" w:rsidRDefault="005E2575" w:rsidP="00E60D66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Определим </w:t>
      </w:r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конъюнктивное матричное </w:t>
      </w:r>
      <w:proofErr w:type="gramStart"/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>умножение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a∘b=c</m:t>
        </m:r>
      </m:oMath>
      <w:r w:rsidRPr="005E2575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E257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— матрицы подходящего размера, элементами которых являются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подмножества множества нетерминалов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, следующим образом:</w:t>
      </w:r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79A48D0" w14:textId="77777777" w:rsidR="00A94D19" w:rsidRDefault="008C11F9" w:rsidP="00A94D19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∈P,т.ч.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54E83950" w14:textId="77777777" w:rsidR="00A94D19" w:rsidRDefault="00E60D66" w:rsidP="00A94D19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w:r w:rsidR="00B91BFF">
        <w:rPr>
          <w:rFonts w:ascii="Times New Roman" w:hAnsi="Times New Roman" w:cs="Times New Roman"/>
          <w:i/>
          <w:sz w:val="20"/>
          <w:szCs w:val="20"/>
        </w:rPr>
        <w:t>d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поэлементного декартово произведения матриц </w:t>
      </w:r>
      <w:r w:rsidR="00B91BFF">
        <w:rPr>
          <w:rFonts w:ascii="Times New Roman" w:hAnsi="Times New Roman" w:cs="Times New Roman"/>
          <w:i/>
          <w:sz w:val="20"/>
          <w:szCs w:val="20"/>
        </w:rPr>
        <w:t>a</w:t>
      </w:r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B91BFF">
        <w:rPr>
          <w:rFonts w:ascii="Times New Roman" w:hAnsi="Times New Roman" w:cs="Times New Roman"/>
          <w:i/>
          <w:sz w:val="20"/>
          <w:szCs w:val="20"/>
        </w:rPr>
        <w:t>b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 т.е.</w:t>
      </w:r>
    </w:p>
    <w:p w14:paraId="6BEBA586" w14:textId="77777777" w:rsidR="005E2575" w:rsidRDefault="008C11F9" w:rsidP="00A94D1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k,j</m:t>
                </m:r>
              </m:sub>
            </m:sSub>
          </m:e>
        </m:nary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A3A025C" w14:textId="77777777" w:rsidR="00855EF5" w:rsidRDefault="00B91BFF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определим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конъюнктивное</w:t>
      </w:r>
      <w:r w:rsidRPr="00B91BF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транзитивное замыкание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квадратной матрицы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как </w:t>
      </w:r>
    </w:p>
    <w:p w14:paraId="2E7966DA" w14:textId="77777777" w:rsidR="00855EF5" w:rsidRDefault="008C11F9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026B9476" w14:textId="77777777" w:rsidR="00855EF5" w:rsidRDefault="00B91BFF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94D19"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=a</m:t>
        </m:r>
      </m:oMath>
      <w:r w:rsidR="00A94D19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42B2F7B" w14:textId="77777777" w:rsidR="00855EF5" w:rsidRPr="00855EF5" w:rsidRDefault="00A8463D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Чтобы построить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мы построим матрицу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используя ребра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грамматику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Для начала пронумеруем вершины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от 0 до (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 - 1</w:t>
      </w:r>
      <w:r>
        <w:rPr>
          <w:rFonts w:ascii="Times New Roman" w:hAnsi="Times New Roman" w:cs="Times New Roman"/>
          <w:sz w:val="20"/>
          <w:szCs w:val="20"/>
          <w:lang w:val="ru-RU"/>
        </w:rPr>
        <w:t>) и будем ассоциировать вершины с их номерами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Проинициализируем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каждый элемент 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×</m:t>
        </m:r>
      </m:oMath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|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>матрицы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пустым </w:t>
      </w:r>
      <w:proofErr w:type="gramStart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множеством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∅</m:t>
        </m:r>
      </m:oMath>
      <w:r w:rsidR="00AF465A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Далее, для каждых </w:t>
      </w:r>
      <w:proofErr w:type="spellStart"/>
      <w:r w:rsidR="00AF465A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AF465A"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AF465A">
        <w:rPr>
          <w:rFonts w:ascii="Times New Roman" w:hAnsi="Times New Roman" w:cs="Times New Roman"/>
          <w:i/>
          <w:sz w:val="20"/>
          <w:szCs w:val="20"/>
        </w:rPr>
        <w:t>j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мы устанавливаем </w:t>
      </w:r>
    </w:p>
    <w:p w14:paraId="37C97FDE" w14:textId="77777777" w:rsidR="00855EF5" w:rsidRPr="00855EF5" w:rsidRDefault="008C11F9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∃x(((i,x,j)∈E)∧((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→x)∈P))}.</m:t>
          </m:r>
        </m:oMath>
      </m:oMathPara>
    </w:p>
    <w:p w14:paraId="483B2DB5" w14:textId="77777777" w:rsidR="00855EF5" w:rsidRDefault="00AF465A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Наконец, мы 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вычисляем конъюнктивное транзитивное замыкание </w:t>
      </w:r>
    </w:p>
    <w:p w14:paraId="21554C3A" w14:textId="77777777" w:rsidR="00855EF5" w:rsidRDefault="008C11F9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,</w:t>
      </w:r>
    </w:p>
    <w:p w14:paraId="3DAE30C8" w14:textId="32258509" w:rsidR="009F0027" w:rsidRDefault="00B6435D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45AF9">
        <w:rPr>
          <w:rFonts w:ascii="Times New Roman" w:hAnsi="Times New Roman" w:cs="Times New Roman"/>
          <w:sz w:val="20"/>
          <w:szCs w:val="20"/>
          <w:lang w:val="ru-RU"/>
        </w:rPr>
        <w:t>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 xml:space="preserve"> — это построенная нами матрица </w:t>
      </w:r>
      <w:r w:rsidR="00A45AF9">
        <w:rPr>
          <w:rFonts w:ascii="Times New Roman" w:hAnsi="Times New Roman" w:cs="Times New Roman"/>
          <w:i/>
          <w:sz w:val="20"/>
          <w:szCs w:val="20"/>
        </w:rPr>
        <w:t>T</w:t>
      </w:r>
      <w:r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89CEF8C" w14:textId="77777777" w:rsidR="0039096D" w:rsidRDefault="0039096D" w:rsidP="00FA3556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46D85C1" w14:textId="531D1C83" w:rsidR="00A66EA3" w:rsidRDefault="00A66EA3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E6486">
        <w:rPr>
          <w:rFonts w:ascii="Times New Roman" w:hAnsi="Times New Roman" w:cs="Times New Roman"/>
          <w:b/>
          <w:sz w:val="20"/>
          <w:szCs w:val="20"/>
          <w:lang w:val="ru-RU"/>
        </w:rPr>
        <w:t>Лемма 1.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B309FF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309FF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существует путь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для строки 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EC0B69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существует дерево вывода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="00EC0B69">
        <w:rPr>
          <w:rFonts w:ascii="Times New Roman" w:hAnsi="Times New Roman" w:cs="Times New Roman"/>
          <w:i/>
          <w:sz w:val="20"/>
          <w:szCs w:val="20"/>
        </w:rPr>
        <w:t>A</w:t>
      </w:r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(k)</m:t>
            </m:r>
          </m:sup>
        </m:sSubSup>
      </m:oMath>
      <w:r w:rsidR="00156851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DE19029" w14:textId="36802F46" w:rsidR="00156851" w:rsidRDefault="00156851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156851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методом математической индукции</w:t>
      </w:r>
      <w:r w:rsidRPr="00156851">
        <w:rPr>
          <w:rFonts w:ascii="Times New Roman" w:hAnsi="Times New Roman" w:cs="Times New Roman"/>
          <w:sz w:val="20"/>
          <w:szCs w:val="20"/>
          <w:lang w:val="ru-RU"/>
        </w:rPr>
        <w:t>):</w:t>
      </w:r>
    </w:p>
    <w:p w14:paraId="1880520D" w14:textId="77777777" w:rsidR="00FE6486" w:rsidRPr="0039096D" w:rsidRDefault="00156851" w:rsidP="00855EF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t>База индукции</w:t>
      </w:r>
      <w:r w:rsidR="00FE6486" w:rsidRPr="0039096D">
        <w:rPr>
          <w:rFonts w:ascii="Times New Roman" w:hAnsi="Times New Roman" w:cs="Times New Roman"/>
          <w:i/>
          <w:sz w:val="20"/>
          <w:szCs w:val="20"/>
          <w:lang w:val="ru-RU"/>
        </w:rPr>
        <w:t xml:space="preserve">: </w:t>
      </w:r>
    </w:p>
    <w:p w14:paraId="694D322C" w14:textId="6AB8E3E2" w:rsidR="00156851" w:rsidRDefault="00FE6486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Покажем, что утверждение леммы верно при </w:t>
      </w:r>
      <w:r>
        <w:rPr>
          <w:rFonts w:ascii="Times New Roman" w:hAnsi="Times New Roman" w:cs="Times New Roman"/>
          <w:i/>
          <w:sz w:val="20"/>
          <w:szCs w:val="20"/>
        </w:rPr>
        <w:t>k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любых </w:t>
      </w:r>
      <w:proofErr w:type="spellStart"/>
      <w:r w:rsidRPr="00FE6486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существует путь </w:t>
      </w:r>
      <w:proofErr w:type="spellStart"/>
      <w:r w:rsidRPr="00FE6486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FE6486"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такой, что для строки </w:t>
      </w:r>
      <w:r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дерево вывода грамматики </w:t>
      </w:r>
      <w:r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h≤1</m:t>
        </m:r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, то путь </w:t>
      </w:r>
      <w:r w:rsidR="003D139B"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состоит из единственного ребра из вершины </w:t>
      </w:r>
      <w:proofErr w:type="spellStart"/>
      <w:r w:rsidR="003D139B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в вершину </w:t>
      </w:r>
      <w:r w:rsidR="003D139B">
        <w:rPr>
          <w:rFonts w:ascii="Times New Roman" w:hAnsi="Times New Roman" w:cs="Times New Roman"/>
          <w:i/>
          <w:sz w:val="20"/>
          <w:szCs w:val="20"/>
        </w:rPr>
        <w:t>j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(A→x)∈P</m:t>
        </m:r>
      </m:oMath>
      <w:r w:rsidR="003D139B" w:rsidRPr="003D139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3D139B">
        <w:rPr>
          <w:rFonts w:ascii="Times New Roman" w:hAnsi="Times New Roman" w:cs="Times New Roman"/>
          <w:i/>
          <w:sz w:val="20"/>
          <w:szCs w:val="20"/>
        </w:rPr>
        <w:t>x</w:t>
      </w:r>
      <w:r w:rsidR="003D139B" w:rsidRPr="003D139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3D139B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. Таким </w:t>
      </w:r>
      <w:proofErr w:type="gramStart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образом,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bSup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</w:t>
      </w:r>
      <w:proofErr w:type="gramEnd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утверждение леммы доказано при </w:t>
      </w:r>
      <w:r w:rsidR="003D139B">
        <w:rPr>
          <w:rFonts w:ascii="Times New Roman" w:hAnsi="Times New Roman" w:cs="Times New Roman"/>
          <w:i/>
          <w:sz w:val="20"/>
          <w:szCs w:val="20"/>
        </w:rPr>
        <w:t>k</w:t>
      </w:r>
      <w:r w:rsidR="003D139B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6905039" w14:textId="30073774" w:rsidR="003D139B" w:rsidRPr="0039096D" w:rsidRDefault="003D139B" w:rsidP="00855EF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lastRenderedPageBreak/>
        <w:t>Индукционный переход:</w:t>
      </w:r>
    </w:p>
    <w:p w14:paraId="70A2093E" w14:textId="1C5F16C2" w:rsidR="00D21A70" w:rsidRDefault="006C2E04" w:rsidP="00D21A70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Предположим, что утверждение леммы верно для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k≤(p-1)</m:t>
        </m:r>
      </m:oMath>
      <w:r w:rsidR="00D21A7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. Покажем, что утверждение леммы 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также </w:t>
      </w:r>
      <w:r>
        <w:rPr>
          <w:rFonts w:ascii="Times New Roman" w:hAnsi="Times New Roman" w:cs="Times New Roman"/>
          <w:sz w:val="20"/>
          <w:szCs w:val="20"/>
          <w:lang w:val="ru-RU"/>
        </w:rPr>
        <w:t>верно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и при </w:t>
      </w:r>
      <w:r w:rsidR="00D21A70">
        <w:rPr>
          <w:rFonts w:ascii="Times New Roman" w:hAnsi="Times New Roman" w:cs="Times New Roman"/>
          <w:i/>
          <w:sz w:val="20"/>
          <w:szCs w:val="20"/>
        </w:rPr>
        <w:t>k</w:t>
      </w:r>
      <w:r w:rsidR="00D21A70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D21A70">
        <w:rPr>
          <w:rFonts w:ascii="Times New Roman" w:hAnsi="Times New Roman" w:cs="Times New Roman"/>
          <w:i/>
          <w:sz w:val="20"/>
          <w:szCs w:val="20"/>
        </w:rPr>
        <w:t>p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D21A70" w:rsidRPr="00D21A7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72466" w14:textId="692EA612" w:rsidR="003D139B" w:rsidRDefault="00B309FF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существует путь </w:t>
      </w:r>
      <w:proofErr w:type="spellStart"/>
      <w:r w:rsidRPr="00B309FF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Pr="00B309FF">
        <w:rPr>
          <w:rFonts w:ascii="Times New Roman" w:hAnsi="Times New Roman" w:cs="Times New Roman"/>
          <w:i/>
          <w:sz w:val="20"/>
          <w:szCs w:val="20"/>
        </w:rPr>
        <w:t>πj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, обра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зующий строку </w:t>
      </w:r>
      <w:r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которой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дерево вывода грамматики </w:t>
      </w:r>
      <w:r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proofErr w:type="gramStart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h&lt;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то утверждение леммы верно </w:t>
      </w:r>
      <w:r>
        <w:rPr>
          <w:rFonts w:ascii="Times New Roman" w:hAnsi="Times New Roman" w:cs="Times New Roman"/>
          <w:sz w:val="20"/>
          <w:szCs w:val="20"/>
          <w:lang w:val="ru-RU"/>
        </w:rPr>
        <w:t>по индукционному предположению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h=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а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правило, использованное для корня этого дерева —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Тогда все поддеревья для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нетерминалов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имеют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высоту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меньшую, чем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Пусть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каждая пара нетерминалов в </w:t>
      </w:r>
      <w:proofErr w:type="gramStart"/>
      <w:r w:rsidR="006C4D7D">
        <w:rPr>
          <w:rFonts w:ascii="Times New Roman" w:hAnsi="Times New Roman" w:cs="Times New Roman"/>
          <w:sz w:val="20"/>
          <w:szCs w:val="20"/>
          <w:lang w:val="ru-RU"/>
        </w:rPr>
        <w:t>конъюнктах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>разбивает</w:t>
      </w:r>
      <w:proofErr w:type="gramEnd"/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путь </w:t>
      </w:r>
      <w:proofErr w:type="spellStart"/>
      <w:r w:rsidR="006C4D7D" w:rsidRPr="00B309FF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6C4D7D" w:rsidRPr="00B309FF">
        <w:rPr>
          <w:rFonts w:ascii="Times New Roman" w:hAnsi="Times New Roman" w:cs="Times New Roman"/>
          <w:i/>
          <w:sz w:val="20"/>
          <w:szCs w:val="20"/>
        </w:rPr>
        <w:t>πj</w:t>
      </w:r>
      <w:r w:rsidR="006C4D7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на два </w:t>
      </w:r>
      <w:proofErr w:type="spellStart"/>
      <w:r w:rsidR="006C4D7D">
        <w:rPr>
          <w:rFonts w:ascii="Times New Roman" w:hAnsi="Times New Roman" w:cs="Times New Roman"/>
          <w:sz w:val="20"/>
          <w:szCs w:val="20"/>
          <w:lang w:val="ru-RU"/>
        </w:rPr>
        <w:t>подпути</w:t>
      </w:r>
      <w:proofErr w:type="spellEnd"/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в вершинах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По индукционному предположению получаем,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, для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1≤x≤m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>Таким образом,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все пары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нетерминалов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,…(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5A1010" w:rsidRP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>принадлежат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</m:e>
        </m:nary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. Значит, по определению конъюнктивного матричного умножения, получаем,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</m:d>
          </m:sup>
        </m:sSubSup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утверждение леммы также верно и </w:t>
      </w:r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при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k</w:t>
      </w:r>
      <w:r w:rsidR="0039096D" w:rsidRPr="0039096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p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3DA5F4E7" w14:textId="77777777" w:rsidR="0039096D" w:rsidRPr="0039096D" w:rsidRDefault="0039096D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E594031" w14:textId="6B835E0E" w:rsidR="0039096D" w:rsidRDefault="00F60114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</w:t>
      </w:r>
      <w:r w:rsidR="0039096D" w:rsidRPr="00FE6486">
        <w:rPr>
          <w:rFonts w:ascii="Times New Roman" w:hAnsi="Times New Roman" w:cs="Times New Roman"/>
          <w:b/>
          <w:sz w:val="20"/>
          <w:szCs w:val="20"/>
          <w:lang w:val="ru-RU"/>
        </w:rPr>
        <w:t xml:space="preserve"> 1.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8E503B" w:rsidRPr="008E503B">
        <w:rPr>
          <w:rFonts w:ascii="Times New Roman" w:hAnsi="Times New Roman" w:cs="Times New Roman"/>
          <w:i/>
          <w:sz w:val="20"/>
          <w:szCs w:val="20"/>
          <w:lang w:val="ru-RU"/>
        </w:rPr>
        <w:t>Корректность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9096D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proofErr w:type="spellStart"/>
      <w:r w:rsidR="0039096D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39096D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>
        <w:rPr>
          <w:rFonts w:ascii="Times New Roman" w:hAnsi="Times New Roman" w:cs="Times New Roman"/>
          <w:i/>
          <w:sz w:val="20"/>
          <w:szCs w:val="20"/>
        </w:rPr>
        <w:t>j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39096D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AE1F23" w14:textId="5B9255B4" w:rsidR="00F60114" w:rsidRDefault="00F60114" w:rsidP="0039096D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7C3C9829" w14:textId="0E26AD08" w:rsidR="0039096D" w:rsidRDefault="00F60114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получаем, что существует путь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строка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принадлежит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язык</w:t>
      </w:r>
      <w:r>
        <w:rPr>
          <w:rFonts w:ascii="Times New Roman" w:hAnsi="Times New Roman" w:cs="Times New Roman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порожденному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Рассмотрим некоторое дерево вывода этой грамматики для строки </w:t>
      </w:r>
      <w:r w:rsidRPr="00F60114">
        <w:rPr>
          <w:rFonts w:ascii="Times New Roman" w:hAnsi="Times New Roman" w:cs="Times New Roman"/>
          <w:i/>
          <w:sz w:val="20"/>
          <w:szCs w:val="20"/>
        </w:rPr>
        <w:t>l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60114">
        <w:rPr>
          <w:rFonts w:ascii="Times New Roman" w:hAnsi="Times New Roman" w:cs="Times New Roman"/>
          <w:i/>
          <w:sz w:val="20"/>
          <w:szCs w:val="20"/>
        </w:rPr>
        <w:t>π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Пусть высота этого дерева равна </w:t>
      </w:r>
      <w:r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Тогда, по лемме 1,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получаем,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(h)</m:t>
            </m:r>
          </m:sup>
        </m:sSubSup>
      </m:oMath>
      <w:r w:rsidR="008E503B" w:rsidRPr="008E503B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А так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7D6955E3" w14:textId="77777777" w:rsid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E2A8D25" w14:textId="5EDD30E0" w:rsidR="008E503B" w:rsidRPr="00111F1D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 2</w:t>
      </w:r>
      <w:r w:rsidRPr="00FE6486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111F1D">
        <w:rPr>
          <w:rFonts w:ascii="Times New Roman" w:hAnsi="Times New Roman" w:cs="Times New Roman"/>
          <w:i/>
          <w:sz w:val="20"/>
          <w:szCs w:val="20"/>
          <w:lang w:val="ru-RU"/>
        </w:rPr>
        <w:t>Конечность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Тогда конъюнктивное транзитивное замыкание 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w:r w:rsidR="00111F1D">
        <w:rPr>
          <w:rFonts w:ascii="Times New Roman" w:hAnsi="Times New Roman" w:cs="Times New Roman"/>
          <w:i/>
          <w:sz w:val="20"/>
          <w:szCs w:val="20"/>
        </w:rPr>
        <w:t>T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построенной по графу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D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1F1D" w:rsidRPr="00111F1D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грамматике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G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вычислено за конечное число операций.</w:t>
      </w:r>
    </w:p>
    <w:p w14:paraId="61757CA3" w14:textId="77777777" w:rsidR="008E503B" w:rsidRP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Pr="008E503B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733B5BE5" w14:textId="5E6EB5F4" w:rsidR="008E503B" w:rsidRPr="00FA3556" w:rsidRDefault="00111F1D" w:rsidP="008E503B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Если матриц</w:t>
      </w:r>
      <w:proofErr w:type="gramStart"/>
      <w:r w:rsidR="008A4310">
        <w:rPr>
          <w:rFonts w:ascii="Times New Roman" w:hAnsi="Times New Roman" w:cs="Times New Roman"/>
          <w:sz w:val="20"/>
          <w:szCs w:val="20"/>
        </w:rPr>
        <w:t>a</w:t>
      </w:r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некоторого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то для любого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≥p</m:t>
        </m:r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>и конъюнктивное транзитивное замыкание</w:t>
      </w:r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p>
      </m:oMath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для нахождения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достаточно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вычислять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+1)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количество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. А так как общее количество нетерминалов в любой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больше, чем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|V|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|N|</m:t>
        </m:r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</m:sup>
        </m:sSup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. Таким образом, </w:t>
      </w:r>
      <w:proofErr w:type="gramStart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FA3556" w:rsidRPr="00FA35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A3556">
        <w:rPr>
          <w:rFonts w:ascii="Times New Roman" w:hAnsi="Times New Roman" w:cs="Times New Roman"/>
          <w:sz w:val="20"/>
          <w:szCs w:val="20"/>
          <w:lang w:val="ru-RU"/>
        </w:rPr>
        <w:t>может</w:t>
      </w:r>
      <w:proofErr w:type="gramEnd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 быть вычислена за конечное число операций, ч. т. д.</w:t>
      </w:r>
    </w:p>
    <w:p w14:paraId="4D10F241" w14:textId="77777777" w:rsidR="008E503B" w:rsidRDefault="008E503B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AB736DC" w14:textId="7854A442" w:rsidR="008256CC" w:rsidRDefault="008256CC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мы </w:t>
      </w:r>
      <w:r w:rsidR="00F66DFD">
        <w:rPr>
          <w:rFonts w:ascii="Times New Roman" w:hAnsi="Times New Roman" w:cs="Times New Roman"/>
          <w:sz w:val="20"/>
          <w:szCs w:val="20"/>
          <w:lang w:val="ru-RU"/>
        </w:rPr>
        <w:t>показали,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найдена с помощью вычисления </w:t>
      </w:r>
      <w:r w:rsidR="00F66DFD">
        <w:rPr>
          <w:rFonts w:ascii="Times New Roman" w:hAnsi="Times New Roman" w:cs="Times New Roman"/>
          <w:sz w:val="20"/>
          <w:szCs w:val="20"/>
          <w:lang w:val="ru-RU"/>
        </w:rPr>
        <w:t xml:space="preserve">конъюнктивного транзитивного замыкания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F66DFD">
        <w:rPr>
          <w:rFonts w:ascii="Times New Roman" w:hAnsi="Times New Roman" w:cs="Times New Roman"/>
          <w:sz w:val="20"/>
          <w:szCs w:val="20"/>
          <w:lang w:val="ru-RU"/>
        </w:rPr>
        <w:t>.</w:t>
      </w:r>
      <w:bookmarkStart w:id="0" w:name="_GoBack"/>
      <w:bookmarkEnd w:id="0"/>
    </w:p>
    <w:p w14:paraId="759E0874" w14:textId="77777777" w:rsidR="008256CC" w:rsidRPr="008E503B" w:rsidRDefault="008256CC" w:rsidP="008E503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99E35DA" w14:textId="77777777" w:rsidR="00855EF5" w:rsidRPr="00855EF5" w:rsidRDefault="00855EF5" w:rsidP="00855EF5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855EF5">
        <w:rPr>
          <w:rFonts w:ascii="Times New Roman" w:hAnsi="Times New Roman" w:cs="Times New Roman"/>
          <w:b/>
          <w:sz w:val="20"/>
          <w:szCs w:val="20"/>
          <w:lang w:val="ru-RU"/>
        </w:rPr>
        <w:t>Пример работы алгоритма</w:t>
      </w:r>
    </w:p>
    <w:p w14:paraId="2584C19E" w14:textId="77777777"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14:paraId="71048092" w14:textId="77777777" w:rsidR="00576757" w:rsidRPr="002E2C09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</w:p>
    <w:p w14:paraId="54C54764" w14:textId="77777777" w:rsidR="00576757" w:rsidRPr="002E2C09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  <w:lang w:val="ru-RU"/>
        </w:rPr>
      </w:pPr>
      <w:r w:rsidRPr="002E2C09"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br w:type="page"/>
      </w:r>
    </w:p>
    <w:p w14:paraId="2F50A5F7" w14:textId="77777777"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14:paraId="43FBB80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>Abiteboul</w:t>
      </w:r>
      <w:r w:rsidRPr="008256C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</w:t>
      </w:r>
      <w:r w:rsidRPr="008256CC">
        <w:rPr>
          <w:rFonts w:ascii="Times New Roman" w:hAnsi="Times New Roman" w:cs="Times New Roman"/>
          <w:sz w:val="20"/>
          <w:szCs w:val="20"/>
        </w:rPr>
        <w:t xml:space="preserve">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>Hull</w:t>
      </w:r>
      <w:r w:rsidRPr="008256C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</w:t>
      </w:r>
      <w:r w:rsidRPr="008256CC">
        <w:rPr>
          <w:rFonts w:ascii="Times New Roman" w:hAnsi="Times New Roman" w:cs="Times New Roman"/>
          <w:sz w:val="20"/>
          <w:szCs w:val="20"/>
        </w:rPr>
        <w:t xml:space="preserve">., </w:t>
      </w:r>
      <w:r w:rsidRPr="00D47464">
        <w:rPr>
          <w:rFonts w:ascii="Times New Roman" w:hAnsi="Times New Roman" w:cs="Times New Roman"/>
          <w:sz w:val="20"/>
          <w:szCs w:val="20"/>
        </w:rPr>
        <w:t>Vianu</w:t>
      </w:r>
      <w:r w:rsidRPr="008256CC">
        <w:rPr>
          <w:rFonts w:ascii="Times New Roman" w:hAnsi="Times New Roman" w:cs="Times New Roman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V</w:t>
      </w:r>
      <w:r w:rsidRPr="008256CC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Foundations</w:t>
      </w:r>
      <w:r w:rsidRPr="008256C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8256CC">
        <w:rPr>
          <w:rFonts w:ascii="Times New Roman" w:hAnsi="Times New Roman" w:cs="Times New Roman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8256CC">
        <w:rPr>
          <w:rFonts w:ascii="Times New Roman" w:hAnsi="Times New Roman" w:cs="Times New Roman"/>
          <w:sz w:val="20"/>
          <w:szCs w:val="20"/>
        </w:rPr>
        <w:t xml:space="preserve">: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14:paraId="2ACF4FA4" w14:textId="77777777"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2907"/>
      <w:bookmarkStart w:id="3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2"/>
    </w:p>
    <w:p w14:paraId="6E2F066A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3"/>
      <w:bookmarkEnd w:id="4"/>
    </w:p>
    <w:p w14:paraId="1D16076C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14:paraId="712777E6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14:paraId="122F9F3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14:paraId="47FB500D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14:paraId="0F3AEB7A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14:paraId="6268583F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14:paraId="580E5A2D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14:paraId="39A662C4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14:paraId="3F27BAB1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5, № 2. — 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14:paraId="7231E8B2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lastRenderedPageBreak/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14:paraId="7FB8F10B" w14:textId="77777777"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14:paraId="750420EA" w14:textId="77777777"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6F9CD5" w14:textId="77777777" w:rsidR="00E334C0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p w14:paraId="66E0598A" w14:textId="77777777" w:rsidR="004A5970" w:rsidRDefault="004A5970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9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19"/>
    </w:p>
    <w:p w14:paraId="47D7EBE2" w14:textId="77777777"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0"/>
    </w:p>
    <w:p w14:paraId="41811465" w14:textId="77777777"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1"/>
    </w:p>
    <w:p w14:paraId="0FF8319F" w14:textId="77777777" w:rsidR="008E2C8B" w:rsidRPr="00D47464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2"/>
    </w:p>
    <w:sectPr w:rsidR="008E2C8B" w:rsidRPr="00D47464" w:rsidSect="00576757">
      <w:footerReference w:type="default" r:id="rId9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24FE0" w14:textId="77777777" w:rsidR="008C11F9" w:rsidRDefault="008C11F9">
      <w:r>
        <w:separator/>
      </w:r>
    </w:p>
  </w:endnote>
  <w:endnote w:type="continuationSeparator" w:id="0">
    <w:p w14:paraId="0C5BBCA4" w14:textId="77777777" w:rsidR="008C11F9" w:rsidRDefault="008C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4EE82" w14:textId="77777777" w:rsidR="00B309FF" w:rsidRDefault="00B309FF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6CFE3" w14:textId="77777777" w:rsidR="008C11F9" w:rsidRDefault="008C11F9">
      <w:r>
        <w:separator/>
      </w:r>
    </w:p>
  </w:footnote>
  <w:footnote w:type="continuationSeparator" w:id="0">
    <w:p w14:paraId="63ABFAA5" w14:textId="77777777" w:rsidR="008C11F9" w:rsidRDefault="008C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C0"/>
    <w:rsid w:val="00010768"/>
    <w:rsid w:val="00020037"/>
    <w:rsid w:val="000D6572"/>
    <w:rsid w:val="000F0FA2"/>
    <w:rsid w:val="00111F1D"/>
    <w:rsid w:val="00133538"/>
    <w:rsid w:val="00156851"/>
    <w:rsid w:val="001D68E7"/>
    <w:rsid w:val="001D6B95"/>
    <w:rsid w:val="00267E78"/>
    <w:rsid w:val="00297CB2"/>
    <w:rsid w:val="002E2C09"/>
    <w:rsid w:val="00321FF6"/>
    <w:rsid w:val="00335EB0"/>
    <w:rsid w:val="0039096D"/>
    <w:rsid w:val="003A2423"/>
    <w:rsid w:val="003A4447"/>
    <w:rsid w:val="003B0A56"/>
    <w:rsid w:val="003D139B"/>
    <w:rsid w:val="003D27AE"/>
    <w:rsid w:val="003E605F"/>
    <w:rsid w:val="00417B92"/>
    <w:rsid w:val="004A5970"/>
    <w:rsid w:val="004E1553"/>
    <w:rsid w:val="00547A67"/>
    <w:rsid w:val="00576757"/>
    <w:rsid w:val="005A093B"/>
    <w:rsid w:val="005A1010"/>
    <w:rsid w:val="005E2575"/>
    <w:rsid w:val="005F1B11"/>
    <w:rsid w:val="0068752D"/>
    <w:rsid w:val="006C2E04"/>
    <w:rsid w:val="006C4D7D"/>
    <w:rsid w:val="00803020"/>
    <w:rsid w:val="008256CC"/>
    <w:rsid w:val="00853BAC"/>
    <w:rsid w:val="00855EF5"/>
    <w:rsid w:val="00862510"/>
    <w:rsid w:val="00891066"/>
    <w:rsid w:val="008A4310"/>
    <w:rsid w:val="008B71D4"/>
    <w:rsid w:val="008C11F9"/>
    <w:rsid w:val="008E2C8B"/>
    <w:rsid w:val="008E503B"/>
    <w:rsid w:val="00925AED"/>
    <w:rsid w:val="0096656C"/>
    <w:rsid w:val="009D6BC5"/>
    <w:rsid w:val="009E1442"/>
    <w:rsid w:val="009F0027"/>
    <w:rsid w:val="00A01E99"/>
    <w:rsid w:val="00A45AF9"/>
    <w:rsid w:val="00A66EA3"/>
    <w:rsid w:val="00A80BE9"/>
    <w:rsid w:val="00A8463D"/>
    <w:rsid w:val="00A94D19"/>
    <w:rsid w:val="00AF465A"/>
    <w:rsid w:val="00B10592"/>
    <w:rsid w:val="00B2062C"/>
    <w:rsid w:val="00B309FF"/>
    <w:rsid w:val="00B6435D"/>
    <w:rsid w:val="00B91BFF"/>
    <w:rsid w:val="00C019F8"/>
    <w:rsid w:val="00D21A70"/>
    <w:rsid w:val="00D47464"/>
    <w:rsid w:val="00D720DD"/>
    <w:rsid w:val="00DB262E"/>
    <w:rsid w:val="00DD3F4E"/>
    <w:rsid w:val="00E334C0"/>
    <w:rsid w:val="00E60D66"/>
    <w:rsid w:val="00EA1B57"/>
    <w:rsid w:val="00EC0B69"/>
    <w:rsid w:val="00EF2F52"/>
    <w:rsid w:val="00F60114"/>
    <w:rsid w:val="00F66DFD"/>
    <w:rsid w:val="00F809AA"/>
    <w:rsid w:val="00F84855"/>
    <w:rsid w:val="00F909D5"/>
    <w:rsid w:val="00FA2138"/>
    <w:rsid w:val="00FA3556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77C02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67E7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E7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E78"/>
    <w:rPr>
      <w:rFonts w:ascii="Georgia" w:eastAsia="Georgia" w:hAnsi="Georgia" w:cs="Georgi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67E7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67E78"/>
    <w:rPr>
      <w:rFonts w:ascii="Georgia" w:eastAsia="Georgia" w:hAnsi="Georgia" w:cs="Georgia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67E7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67E78"/>
    <w:rPr>
      <w:rFonts w:ascii="Segoe UI" w:eastAsia="Georgia" w:hAnsi="Segoe UI" w:cs="Segoe UI"/>
      <w:sz w:val="18"/>
      <w:szCs w:val="18"/>
    </w:rPr>
  </w:style>
  <w:style w:type="paragraph" w:styleId="af1">
    <w:name w:val="Revision"/>
    <w:hidden/>
    <w:uiPriority w:val="99"/>
    <w:semiHidden/>
    <w:rsid w:val="0068752D"/>
    <w:pPr>
      <w:widowControl/>
      <w:autoSpaceDE/>
      <w:autoSpaceDN/>
    </w:pPr>
    <w:rPr>
      <w:rFonts w:ascii="Georgia" w:eastAsia="Georgia" w:hAnsi="Georgia" w:cs="Georgia"/>
    </w:rPr>
  </w:style>
  <w:style w:type="character" w:styleId="af2">
    <w:name w:val="Hyperlink"/>
    <w:basedOn w:val="a0"/>
    <w:uiPriority w:val="99"/>
    <w:unhideWhenUsed/>
    <w:rsid w:val="00687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B73A-9E1B-472E-9771-99A12142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Светлана Лобкова</cp:lastModifiedBy>
  <cp:revision>11</cp:revision>
  <dcterms:created xsi:type="dcterms:W3CDTF">2018-02-23T07:02:00Z</dcterms:created>
  <dcterms:modified xsi:type="dcterms:W3CDTF">2018-02-25T15:02:00Z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