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941D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6605F639" w14:textId="77777777" w:rsidR="00C44367" w:rsidRDefault="00C44367" w:rsidP="00733A25">
      <w:pPr>
        <w:autoSpaceDE w:val="0"/>
        <w:spacing w:after="240" w:line="240" w:lineRule="auto"/>
        <w:ind w:firstLine="360"/>
      </w:pPr>
      <w:r>
        <w:rPr>
          <w:rFonts w:cs="Calibri"/>
          <w:noProof/>
          <w:lang w:val="fr"/>
        </w:rPr>
        <w:drawing>
          <wp:inline distT="0" distB="0" distL="0" distR="0" wp14:anchorId="5C0C0874" wp14:editId="54AD3968">
            <wp:extent cx="2238378" cy="571500"/>
            <wp:effectExtent l="0" t="0" r="9522" b="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8" cy="571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C3D2CF" w14:textId="77777777" w:rsidR="00C44367" w:rsidRDefault="00C44367" w:rsidP="00733A25">
      <w:pPr>
        <w:autoSpaceDE w:val="0"/>
        <w:spacing w:after="240" w:line="240" w:lineRule="auto"/>
        <w:ind w:firstLine="360"/>
      </w:pPr>
      <w:r>
        <w:rPr>
          <w:rFonts w:cs="Calibri"/>
          <w:noProof/>
          <w:lang w:val="fr"/>
        </w:rPr>
        <w:drawing>
          <wp:inline distT="0" distB="0" distL="0" distR="0" wp14:anchorId="148040DF" wp14:editId="174568AE">
            <wp:extent cx="4762496" cy="3362321"/>
            <wp:effectExtent l="0" t="0" r="4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96" cy="3362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7B0A78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074D6B13" w14:textId="77777777" w:rsidR="00C44367" w:rsidRDefault="00C44367" w:rsidP="00733A25">
      <w:pPr>
        <w:autoSpaceDE w:val="0"/>
        <w:spacing w:after="240" w:line="240" w:lineRule="auto"/>
        <w:rPr>
          <w:rFonts w:ascii="Times New Roman" w:hAnsi="Times New Roman"/>
          <w:b/>
          <w:bCs/>
          <w:i/>
          <w:iCs/>
          <w:sz w:val="40"/>
          <w:szCs w:val="40"/>
          <w:lang w:val="fr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lang w:val="fr"/>
        </w:rPr>
        <w:t>Projet L2AN1</w:t>
      </w:r>
    </w:p>
    <w:p w14:paraId="40116456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76430610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044C9751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0955A983" w14:textId="77777777" w:rsidR="00C44367" w:rsidRDefault="00C44367" w:rsidP="00733A25">
      <w:pPr>
        <w:autoSpaceDE w:val="0"/>
        <w:spacing w:after="240" w:line="240" w:lineRule="auto"/>
        <w:ind w:firstLine="360"/>
      </w:pPr>
      <w:r>
        <w:rPr>
          <w:rFonts w:cs="Calibri"/>
          <w:noProof/>
          <w:lang w:val="fr"/>
        </w:rPr>
        <w:drawing>
          <wp:inline distT="0" distB="0" distL="0" distR="0" wp14:anchorId="5CCDA17E" wp14:editId="57B94726">
            <wp:extent cx="2238378" cy="571500"/>
            <wp:effectExtent l="0" t="0" r="9522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8" cy="571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54CB13" w14:textId="77777777" w:rsidR="00C44367" w:rsidRDefault="00C44367" w:rsidP="00733A25">
      <w:pPr>
        <w:autoSpaceDE w:val="0"/>
        <w:spacing w:after="0" w:line="360" w:lineRule="auto"/>
        <w:ind w:left="360" w:hanging="360"/>
        <w:rPr>
          <w:rFonts w:cs="Calibri"/>
          <w:lang w:val="fr"/>
        </w:rPr>
      </w:pPr>
    </w:p>
    <w:p w14:paraId="6DFF727D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7BD81666" w14:textId="77777777" w:rsidR="00C44367" w:rsidRDefault="00C44367" w:rsidP="00733A25">
      <w:pPr>
        <w:autoSpaceDE w:val="0"/>
        <w:spacing w:after="240" w:line="360" w:lineRule="auto"/>
        <w:rPr>
          <w:rFonts w:cs="Calibri"/>
          <w:lang w:val="fr"/>
        </w:rPr>
      </w:pPr>
    </w:p>
    <w:p w14:paraId="2BE043F6" w14:textId="77777777" w:rsidR="00C44367" w:rsidRDefault="00C44367" w:rsidP="00733A25">
      <w:pPr>
        <w:autoSpaceDE w:val="0"/>
        <w:spacing w:after="320" w:line="240" w:lineRule="auto"/>
        <w:ind w:firstLine="360"/>
        <w:rPr>
          <w:rFonts w:ascii="Times New Roman" w:hAnsi="Times New Roman"/>
          <w:b/>
          <w:bCs/>
          <w:i/>
          <w:iCs/>
          <w:color w:val="4F81BD"/>
          <w:spacing w:val="10"/>
          <w:sz w:val="44"/>
          <w:szCs w:val="44"/>
          <w:lang w:val="fr"/>
          <w14:shadow w14:blurRad="50749" w14:dist="37630" w14:dir="2700000" w14:sx="100000" w14:sy="100000" w14:kx="0" w14:ky="0" w14:algn="b">
            <w14:srgbClr w14:val="000000"/>
          </w14:shadow>
        </w:rPr>
      </w:pPr>
    </w:p>
    <w:p w14:paraId="559C066A" w14:textId="77777777" w:rsidR="00C44367" w:rsidRDefault="00C44367" w:rsidP="00733A25">
      <w:pPr>
        <w:autoSpaceDE w:val="0"/>
        <w:spacing w:after="320" w:line="240" w:lineRule="auto"/>
        <w:ind w:firstLine="360"/>
        <w:rPr>
          <w:rFonts w:ascii="Times New Roman" w:hAnsi="Times New Roman"/>
          <w:b/>
          <w:bCs/>
          <w:i/>
          <w:iCs/>
          <w:color w:val="4F81BD"/>
          <w:spacing w:val="10"/>
          <w:sz w:val="44"/>
          <w:szCs w:val="44"/>
          <w:lang w:val="fr"/>
          <w14:shadow w14:blurRad="50749" w14:dist="37630" w14:dir="2700000" w14:sx="100000" w14:sy="100000" w14:kx="0" w14:ky="0" w14:algn="b">
            <w14:srgbClr w14:val="000000"/>
          </w14:shadow>
        </w:rPr>
      </w:pPr>
      <w:r>
        <w:rPr>
          <w:rFonts w:ascii="Times New Roman" w:hAnsi="Times New Roman"/>
          <w:b/>
          <w:bCs/>
          <w:i/>
          <w:iCs/>
          <w:color w:val="4F81BD"/>
          <w:spacing w:val="10"/>
          <w:sz w:val="44"/>
          <w:szCs w:val="44"/>
          <w:lang w:val="fr"/>
          <w14:shadow w14:blurRad="50749" w14:dist="37630" w14:dir="2700000" w14:sx="100000" w14:sy="100000" w14:kx="0" w14:ky="0" w14:algn="b">
            <w14:srgbClr w14:val="000000"/>
          </w14:shadow>
        </w:rPr>
        <w:lastRenderedPageBreak/>
        <w:t>BlackJack (L2AN1)</w:t>
      </w:r>
    </w:p>
    <w:p w14:paraId="5DAEE660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19C8D0DC" w14:textId="77777777" w:rsidR="00C44367" w:rsidRDefault="00C44367" w:rsidP="00733A25">
      <w:pPr>
        <w:autoSpaceDE w:val="0"/>
        <w:spacing w:after="240" w:line="240" w:lineRule="auto"/>
        <w:rPr>
          <w:rFonts w:ascii="Times New Roman" w:hAnsi="Times New Roman"/>
          <w:b/>
          <w:bCs/>
          <w:i/>
          <w:iCs/>
          <w:color w:val="FF0000"/>
          <w:lang w:val="fr"/>
        </w:rPr>
      </w:pPr>
      <w:r>
        <w:rPr>
          <w:rFonts w:ascii="Times New Roman" w:hAnsi="Times New Roman"/>
          <w:b/>
          <w:bCs/>
          <w:i/>
          <w:iCs/>
          <w:color w:val="FF0000"/>
          <w:lang w:val="fr"/>
        </w:rPr>
        <w:t>Les informations d’identification du document</w:t>
      </w:r>
      <w:r>
        <w:rPr>
          <w:rFonts w:ascii="Times New Roman" w:hAnsi="Times New Roman"/>
          <w:b/>
          <w:bCs/>
          <w:i/>
          <w:iCs/>
          <w:color w:val="FF0000"/>
          <w:lang w:val="fr"/>
        </w:rPr>
        <w:tab/>
      </w:r>
      <w:r>
        <w:rPr>
          <w:rFonts w:ascii="Times New Roman" w:hAnsi="Times New Roman"/>
          <w:b/>
          <w:bCs/>
          <w:i/>
          <w:iCs/>
          <w:color w:val="FF0000"/>
          <w:lang w:val="fr"/>
        </w:rPr>
        <w:tab/>
        <w:t>Les éléments de vérification du document</w:t>
      </w:r>
    </w:p>
    <w:tbl>
      <w:tblPr>
        <w:tblW w:w="9544" w:type="dxa"/>
        <w:tblInd w:w="-1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3"/>
        <w:gridCol w:w="2184"/>
        <w:gridCol w:w="549"/>
        <w:gridCol w:w="2185"/>
        <w:gridCol w:w="2443"/>
      </w:tblGrid>
      <w:tr w:rsidR="00C44367" w14:paraId="436BC482" w14:textId="77777777" w:rsidTr="00531D3E">
        <w:trPr>
          <w:trHeight w:val="75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1558C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Référence du document 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BBC97" w14:textId="458EAF5C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color w:val="000000"/>
                <w:lang w:val="fr"/>
              </w:rPr>
              <w:t>D3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ED9CC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66B81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Validé par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73292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color w:val="000000"/>
                <w:lang w:val="fr"/>
              </w:rPr>
              <w:t>David Janiszek</w:t>
            </w:r>
          </w:p>
        </w:tc>
      </w:tr>
      <w:tr w:rsidR="00C44367" w14:paraId="6D33EF7E" w14:textId="77777777" w:rsidTr="00531D3E">
        <w:trPr>
          <w:trHeight w:val="75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E9548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 xml:space="preserve">Version du document :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1ADC4" w14:textId="6B928CA2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fr"/>
              </w:rPr>
              <w:t>1.00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42467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541FD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Validé le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12DBA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</w:tr>
      <w:tr w:rsidR="00C44367" w14:paraId="58F1ACB9" w14:textId="77777777" w:rsidTr="00531D3E">
        <w:trPr>
          <w:trHeight w:val="75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79414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Date du document 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8C545" w14:textId="58570C44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  <w:r>
              <w:rPr>
                <w:rFonts w:cs="Calibri"/>
                <w:lang w:val="fr"/>
              </w:rPr>
              <w:t>19/04/2021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4A13D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A6B58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Soumis le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4BBB4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</w:tr>
      <w:tr w:rsidR="00C44367" w14:paraId="39A283AE" w14:textId="77777777" w:rsidTr="00531D3E">
        <w:trPr>
          <w:trHeight w:val="75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C2839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Auteur(s) 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FE595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Stefanos Alexandre, El Mougharti Hanafi, Couquet Samuel, Vallée Arthur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73490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82AF8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Type de diffusion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5177B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color w:val="000000"/>
                <w:lang w:val="fr"/>
              </w:rPr>
              <w:t>Document électronique (.odt)</w:t>
            </w:r>
          </w:p>
        </w:tc>
      </w:tr>
      <w:tr w:rsidR="00C44367" w14:paraId="455E6883" w14:textId="77777777" w:rsidTr="00531D3E">
        <w:trPr>
          <w:trHeight w:val="750"/>
        </w:trPr>
        <w:tc>
          <w:tcPr>
            <w:tcW w:w="2183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27FD1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4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E4FBD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549" w:type="dxa"/>
            <w:tcBorders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5E532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67958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Confidentialité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9F810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fr"/>
              </w:rPr>
              <w:t>Réservé aux étudiants UFR Maths-Info de l’université Paris Descartes</w:t>
            </w:r>
          </w:p>
        </w:tc>
      </w:tr>
      <w:tr w:rsidR="00C44367" w14:paraId="64412A61" w14:textId="77777777" w:rsidTr="00531D3E">
        <w:trPr>
          <w:trHeight w:val="567"/>
        </w:trPr>
        <w:tc>
          <w:tcPr>
            <w:tcW w:w="954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C363E" w14:textId="77777777" w:rsidR="00C44367" w:rsidRDefault="00C44367" w:rsidP="00733A25">
            <w:pPr>
              <w:autoSpaceDE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</w:pPr>
          </w:p>
          <w:p w14:paraId="0819BB66" w14:textId="77777777" w:rsidR="00C44367" w:rsidRDefault="00C44367" w:rsidP="00733A25">
            <w:pPr>
              <w:autoSpaceDE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</w:pPr>
          </w:p>
          <w:p w14:paraId="5E36E77C" w14:textId="77777777" w:rsidR="00C44367" w:rsidRDefault="00C44367" w:rsidP="00733A25">
            <w:pPr>
              <w:autoSpaceDE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  <w:t>Les éléments d’authentification</w:t>
            </w:r>
          </w:p>
          <w:p w14:paraId="7B5B590F" w14:textId="77777777" w:rsidR="00C44367" w:rsidRDefault="00C44367" w:rsidP="00733A25">
            <w:pPr>
              <w:autoSpaceDE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</w:pPr>
          </w:p>
          <w:p w14:paraId="7A748C8E" w14:textId="77777777" w:rsidR="00C44367" w:rsidRDefault="00C44367" w:rsidP="00733A25">
            <w:pPr>
              <w:autoSpaceDE w:val="0"/>
              <w:spacing w:after="0" w:line="240" w:lineRule="auto"/>
            </w:pPr>
          </w:p>
        </w:tc>
      </w:tr>
      <w:tr w:rsidR="00C44367" w14:paraId="0ABDF779" w14:textId="77777777" w:rsidTr="00531D3E">
        <w:trPr>
          <w:trHeight w:val="567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3C2C0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Maître d’ouvrage: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30EBA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  <w:r>
              <w:rPr>
                <w:rFonts w:cs="Calibri"/>
                <w:lang w:val="fr"/>
              </w:rPr>
              <w:t>David Janiszek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8BA48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F2549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Chef de projet 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64627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  <w:r>
              <w:rPr>
                <w:rFonts w:cs="Calibri"/>
                <w:lang w:val="fr"/>
              </w:rPr>
              <w:t>Frank Sauvage</w:t>
            </w:r>
          </w:p>
        </w:tc>
      </w:tr>
      <w:tr w:rsidR="00C44367" w14:paraId="5095B4E1" w14:textId="77777777" w:rsidTr="00531D3E">
        <w:trPr>
          <w:trHeight w:val="567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BA45D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Date / Signature 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D6199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5EDF2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61BB5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Date / Signature 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1AA79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</w:tr>
    </w:tbl>
    <w:p w14:paraId="1A48FC2C" w14:textId="77777777" w:rsidR="00C44367" w:rsidRDefault="00C44367" w:rsidP="00733A25">
      <w:pPr>
        <w:autoSpaceDE w:val="0"/>
        <w:spacing w:after="0" w:line="240" w:lineRule="auto"/>
        <w:rPr>
          <w:rFonts w:cs="Calibri"/>
          <w:lang w:val="fr"/>
        </w:rPr>
      </w:pPr>
    </w:p>
    <w:p w14:paraId="7CFEF50E" w14:textId="77777777" w:rsidR="00C44367" w:rsidRDefault="00C44367" w:rsidP="00733A25">
      <w:pPr>
        <w:autoSpaceDE w:val="0"/>
        <w:spacing w:after="0" w:line="360" w:lineRule="auto"/>
        <w:ind w:left="360"/>
        <w:rPr>
          <w:rFonts w:ascii="Verdana" w:hAnsi="Verdana" w:cs="Verdana"/>
          <w:b/>
          <w:bCs/>
          <w:sz w:val="32"/>
          <w:szCs w:val="32"/>
          <w:lang w:val="fr"/>
        </w:rPr>
      </w:pPr>
    </w:p>
    <w:p w14:paraId="159D63E2" w14:textId="1E7E68A4" w:rsidR="002C4323" w:rsidRDefault="002C4323" w:rsidP="00733A25"/>
    <w:p w14:paraId="7281308B" w14:textId="613043F3" w:rsidR="00C44367" w:rsidRDefault="00C44367" w:rsidP="00733A25"/>
    <w:p w14:paraId="13AB9A12" w14:textId="39426162" w:rsidR="00C44367" w:rsidRDefault="00C44367" w:rsidP="00733A25"/>
    <w:p w14:paraId="429EB2F6" w14:textId="5D445059" w:rsidR="00C44367" w:rsidRDefault="00C44367" w:rsidP="00733A25"/>
    <w:p w14:paraId="20CB3D07" w14:textId="2FF0EF17" w:rsidR="00C44367" w:rsidRDefault="00C44367" w:rsidP="00733A25"/>
    <w:p w14:paraId="49110C03" w14:textId="2E06B3F2" w:rsidR="00C44367" w:rsidRDefault="00C44367" w:rsidP="00733A25"/>
    <w:p w14:paraId="5232111F" w14:textId="65C7B3AB" w:rsidR="00C44367" w:rsidRDefault="00C44367" w:rsidP="00733A25"/>
    <w:p w14:paraId="3944860E" w14:textId="14D7A63F" w:rsidR="00C44367" w:rsidRDefault="00C44367" w:rsidP="00733A25"/>
    <w:p w14:paraId="30118C97" w14:textId="2C4B3E32" w:rsidR="00C44367" w:rsidRDefault="00C44367" w:rsidP="00733A25"/>
    <w:p w14:paraId="5D9DC6A0" w14:textId="08D9C663" w:rsidR="00C44367" w:rsidRDefault="00C44367" w:rsidP="00733A25"/>
    <w:p w14:paraId="57227963" w14:textId="052638C2" w:rsidR="00C44367" w:rsidRDefault="00C44367" w:rsidP="004C159F">
      <w:pPr>
        <w:autoSpaceDE w:val="0"/>
        <w:spacing w:after="0" w:line="360" w:lineRule="auto"/>
        <w:jc w:val="center"/>
        <w:rPr>
          <w:rFonts w:ascii="Verdana" w:hAnsi="Verdana" w:cs="Calibri"/>
          <w:color w:val="000000" w:themeColor="text1"/>
          <w:sz w:val="32"/>
          <w:szCs w:val="32"/>
          <w:lang w:val="fr"/>
        </w:rPr>
      </w:pPr>
      <w:r>
        <w:rPr>
          <w:rFonts w:ascii="Verdana" w:hAnsi="Verdana" w:cs="Calibri"/>
          <w:b/>
          <w:bCs/>
          <w:color w:val="000000" w:themeColor="text1"/>
          <w:sz w:val="32"/>
          <w:szCs w:val="32"/>
          <w:u w:val="single"/>
          <w:lang w:val="fr"/>
        </w:rPr>
        <w:lastRenderedPageBreak/>
        <w:t>Manuel d’Installation</w:t>
      </w:r>
      <w:bookmarkStart w:id="0" w:name="Introduction"/>
      <w:bookmarkEnd w:id="0"/>
    </w:p>
    <w:p w14:paraId="265C0CCC" w14:textId="64262EDA" w:rsidR="00C44367" w:rsidRDefault="00C44367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  <w:sz w:val="24"/>
          <w:szCs w:val="24"/>
          <w:lang w:val="fr"/>
        </w:rPr>
      </w:pPr>
    </w:p>
    <w:p w14:paraId="32E13374" w14:textId="77777777" w:rsidR="00DB0AE5" w:rsidRDefault="00C44367" w:rsidP="00DB0AE5">
      <w:pPr>
        <w:autoSpaceDE w:val="0"/>
        <w:spacing w:after="0" w:line="360" w:lineRule="auto"/>
        <w:jc w:val="both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  <w:lang w:val="fr"/>
        </w:rPr>
        <w:t>Un fichier .zip vous est fourni. Vous devez extraire son contenu de p</w:t>
      </w:r>
      <w:r>
        <w:rPr>
          <w:rFonts w:ascii="Verdana" w:hAnsi="Verdana" w:cs="Calibri"/>
          <w:color w:val="000000" w:themeColor="text1"/>
        </w:rPr>
        <w:t>référence dans un dossier</w:t>
      </w:r>
      <w:r w:rsidR="00596E9F">
        <w:rPr>
          <w:rFonts w:ascii="Verdana" w:hAnsi="Verdana" w:cs="Calibri"/>
          <w:color w:val="000000" w:themeColor="text1"/>
        </w:rPr>
        <w:t xml:space="preserve"> créé pour l’occasion</w:t>
      </w:r>
      <w:r>
        <w:rPr>
          <w:rFonts w:ascii="Verdana" w:hAnsi="Verdana" w:cs="Calibri"/>
          <w:color w:val="000000" w:themeColor="text1"/>
        </w:rPr>
        <w:t>.</w:t>
      </w:r>
      <w:r w:rsidR="005D5D24">
        <w:rPr>
          <w:rFonts w:ascii="Verdana" w:hAnsi="Verdana" w:cs="Calibri"/>
          <w:color w:val="000000" w:themeColor="text1"/>
        </w:rPr>
        <w:t xml:space="preserve"> Une fois ceci fait, vous disposez du dossier nommé libgdx</w:t>
      </w:r>
      <w:r w:rsidR="00E1499A">
        <w:rPr>
          <w:rFonts w:ascii="Verdana" w:hAnsi="Verdana" w:cs="Calibri"/>
          <w:color w:val="000000" w:themeColor="text1"/>
        </w:rPr>
        <w:t>, d’un raccourci ‘‘Lancer le Jeu’’ d’un installeur Java jdk15 et de ce Manuel d’Installation.</w:t>
      </w:r>
      <w:r w:rsidR="00DB0AE5">
        <w:rPr>
          <w:rFonts w:ascii="Verdana" w:hAnsi="Verdana" w:cs="Calibri"/>
          <w:color w:val="000000" w:themeColor="text1"/>
        </w:rPr>
        <w:t xml:space="preserve"> </w:t>
      </w:r>
    </w:p>
    <w:p w14:paraId="52EDD5D2" w14:textId="016783D3" w:rsidR="000B3591" w:rsidRDefault="00DB0AE5" w:rsidP="00DB0AE5">
      <w:pPr>
        <w:autoSpaceDE w:val="0"/>
        <w:spacing w:after="0" w:line="360" w:lineRule="auto"/>
        <w:jc w:val="both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</w:rPr>
        <w:t xml:space="preserve">L’installeur Java </w:t>
      </w:r>
      <w:r w:rsidR="00CD2052">
        <w:rPr>
          <w:rFonts w:ascii="Verdana" w:hAnsi="Verdana" w:cs="Calibri"/>
          <w:color w:val="000000" w:themeColor="text1"/>
        </w:rPr>
        <w:t>est</w:t>
      </w:r>
      <w:r>
        <w:rPr>
          <w:rFonts w:ascii="Verdana" w:hAnsi="Verdana" w:cs="Calibri"/>
          <w:color w:val="000000" w:themeColor="text1"/>
        </w:rPr>
        <w:t xml:space="preserve"> généralement nécessaire, aucunes version de Java n’est installé</w:t>
      </w:r>
      <w:r w:rsidR="00CD2052">
        <w:rPr>
          <w:rFonts w:ascii="Verdana" w:hAnsi="Verdana" w:cs="Calibri"/>
          <w:color w:val="000000" w:themeColor="text1"/>
        </w:rPr>
        <w:t xml:space="preserve"> sur la plupart des ordinateurs actuellement</w:t>
      </w:r>
      <w:r>
        <w:rPr>
          <w:rFonts w:ascii="Verdana" w:hAnsi="Verdana" w:cs="Calibri"/>
          <w:color w:val="000000" w:themeColor="text1"/>
        </w:rPr>
        <w:t>. Il faut donc dans ce cas lancer l’installeur Java.</w:t>
      </w:r>
      <w:r w:rsidR="00CD2052">
        <w:rPr>
          <w:rFonts w:ascii="Verdana" w:hAnsi="Verdana" w:cs="Calibri"/>
          <w:color w:val="000000" w:themeColor="text1"/>
        </w:rPr>
        <w:t xml:space="preserve"> Si vous avez déjà une version de Java, vous pouvez directement passer à la suite.</w:t>
      </w:r>
    </w:p>
    <w:p w14:paraId="3B9310BB" w14:textId="3B757EA5" w:rsidR="00DB0AE5" w:rsidRDefault="0090243C" w:rsidP="00DB0AE5">
      <w:pPr>
        <w:autoSpaceDE w:val="0"/>
        <w:spacing w:after="0" w:line="360" w:lineRule="auto"/>
        <w:jc w:val="both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</w:rPr>
        <w:t>Vous pouvez lancer le jeu à partir du raccourci ou si cela ne fonctionne pas</w:t>
      </w:r>
      <w:r w:rsidR="003B18D1">
        <w:rPr>
          <w:rFonts w:ascii="Verdana" w:hAnsi="Verdana" w:cs="Calibri"/>
          <w:color w:val="000000" w:themeColor="text1"/>
        </w:rPr>
        <w:t>, veuillez-vous rendre à l’exécuteur d’origine : libgdx &gt; desktop &gt; build &gt; libs &gt; desktop-1.0.jar</w:t>
      </w:r>
    </w:p>
    <w:p w14:paraId="25884301" w14:textId="20673855" w:rsidR="009E5815" w:rsidRPr="00AB2E11" w:rsidRDefault="009E5815" w:rsidP="00DB0AE5">
      <w:pPr>
        <w:autoSpaceDE w:val="0"/>
        <w:spacing w:after="0" w:line="360" w:lineRule="auto"/>
        <w:jc w:val="both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</w:rPr>
        <w:t>Ou alors pour vous rendre à l’exécuteur d’origine : clique droit sur le raccourci et ‘‘Ouvrir l’emplacement du fichier’’.</w:t>
      </w:r>
    </w:p>
    <w:sectPr w:rsidR="009E5815" w:rsidRPr="00AB2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67"/>
    <w:rsid w:val="000B3591"/>
    <w:rsid w:val="002A1364"/>
    <w:rsid w:val="002C4323"/>
    <w:rsid w:val="002F66B4"/>
    <w:rsid w:val="003B18D1"/>
    <w:rsid w:val="004C159F"/>
    <w:rsid w:val="00596E9F"/>
    <w:rsid w:val="005D5D24"/>
    <w:rsid w:val="00617514"/>
    <w:rsid w:val="006816D6"/>
    <w:rsid w:val="00733A25"/>
    <w:rsid w:val="007346C5"/>
    <w:rsid w:val="007662E7"/>
    <w:rsid w:val="0090243C"/>
    <w:rsid w:val="009E5815"/>
    <w:rsid w:val="00A66810"/>
    <w:rsid w:val="00AB2E11"/>
    <w:rsid w:val="00AC48E2"/>
    <w:rsid w:val="00C44367"/>
    <w:rsid w:val="00CC7849"/>
    <w:rsid w:val="00CD2052"/>
    <w:rsid w:val="00DB0AE5"/>
    <w:rsid w:val="00E1057C"/>
    <w:rsid w:val="00E1499A"/>
    <w:rsid w:val="00EE4274"/>
    <w:rsid w:val="00F5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1165"/>
  <w15:chartTrackingRefBased/>
  <w15:docId w15:val="{E9BC45CB-DBED-40B7-8F77-A22CA2E3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591"/>
    <w:pPr>
      <w:suppressAutoHyphens/>
      <w:autoSpaceDN w:val="0"/>
      <w:spacing w:line="244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C44367"/>
    <w:pPr>
      <w:ind w:left="720"/>
    </w:pPr>
  </w:style>
  <w:style w:type="character" w:styleId="Lienhypertexte">
    <w:name w:val="Hyperlink"/>
    <w:basedOn w:val="Policepardfaut"/>
    <w:uiPriority w:val="99"/>
    <w:unhideWhenUsed/>
    <w:rsid w:val="00EE42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42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E42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Stefanos</dc:creator>
  <cp:keywords/>
  <dc:description/>
  <cp:lastModifiedBy>Alexandre Stefanos</cp:lastModifiedBy>
  <cp:revision>18</cp:revision>
  <dcterms:created xsi:type="dcterms:W3CDTF">2021-04-19T14:46:00Z</dcterms:created>
  <dcterms:modified xsi:type="dcterms:W3CDTF">2021-05-03T15:52:00Z</dcterms:modified>
</cp:coreProperties>
</file>