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110315" w14:textId="77777777" w:rsidR="007E5164" w:rsidRDefault="00000000">
      <w:pPr>
        <w:jc w:val="center"/>
        <w:rPr>
          <w:rFonts w:ascii="Times New Roman" w:hAnsi="Times New Roman"/>
          <w:sz w:val="36"/>
          <w:szCs w:val="36"/>
        </w:rPr>
      </w:pPr>
      <w:r>
        <w:rPr>
          <w:rFonts w:ascii="Times New Roman" w:hAnsi="Times New Roman"/>
          <w:sz w:val="36"/>
          <w:szCs w:val="36"/>
        </w:rPr>
        <w:t xml:space="preserve">Composable Strategy </w:t>
      </w:r>
      <w:r>
        <w:rPr>
          <w:rFonts w:ascii="Times New Roman" w:hAnsi="Times New Roman" w:hint="eastAsia"/>
          <w:sz w:val="36"/>
          <w:szCs w:val="36"/>
        </w:rPr>
        <w:t>F</w:t>
      </w:r>
      <w:r>
        <w:rPr>
          <w:rFonts w:ascii="Times New Roman" w:hAnsi="Times New Roman"/>
          <w:sz w:val="36"/>
          <w:szCs w:val="36"/>
        </w:rPr>
        <w:t xml:space="preserve">ramework </w:t>
      </w:r>
      <w:r>
        <w:rPr>
          <w:rFonts w:ascii="Times New Roman" w:hAnsi="Times New Roman" w:hint="eastAsia"/>
          <w:sz w:val="36"/>
          <w:szCs w:val="36"/>
        </w:rPr>
        <w:t xml:space="preserve">with Integrated Video-text based Language Models </w:t>
      </w:r>
      <w:r>
        <w:rPr>
          <w:rFonts w:ascii="Times New Roman" w:hAnsi="Times New Roman"/>
          <w:sz w:val="36"/>
          <w:szCs w:val="36"/>
        </w:rPr>
        <w:t>for Heart Failure</w:t>
      </w:r>
      <w:r>
        <w:rPr>
          <w:rFonts w:ascii="Times New Roman" w:hAnsi="Times New Roman" w:hint="eastAsia"/>
          <w:sz w:val="36"/>
          <w:szCs w:val="36"/>
        </w:rPr>
        <w:t xml:space="preserve"> Assessment</w:t>
      </w:r>
    </w:p>
    <w:p w14:paraId="21B015F2" w14:textId="77777777" w:rsidR="007E5164" w:rsidRDefault="00000000">
      <w:pPr>
        <w:jc w:val="center"/>
        <w:rPr>
          <w:rFonts w:ascii="Times New Roman" w:hAnsi="Times New Roman"/>
          <w:sz w:val="36"/>
          <w:szCs w:val="36"/>
        </w:rPr>
      </w:pPr>
      <w:r>
        <w:rPr>
          <w:rFonts w:ascii="Times New Roman" w:hAnsi="Times New Roman" w:hint="eastAsia"/>
          <w:sz w:val="36"/>
          <w:szCs w:val="36"/>
        </w:rPr>
        <w:t xml:space="preserve"> </w:t>
      </w:r>
    </w:p>
    <w:p w14:paraId="7B46AC2B" w14:textId="77777777" w:rsidR="007E5164" w:rsidRDefault="00000000">
      <w:pPr>
        <w:spacing w:line="360" w:lineRule="auto"/>
        <w:rPr>
          <w:rFonts w:ascii="Times New Roman" w:eastAsia="宋体" w:hAnsi="Times New Roman"/>
        </w:rPr>
      </w:pPr>
      <w:r>
        <w:rPr>
          <w:rFonts w:ascii="Times New Roman" w:eastAsia="宋体" w:hAnsi="Times New Roman"/>
        </w:rPr>
        <w:t xml:space="preserve">Heart failure is one of the leading causes of death worldwide, with </w:t>
      </w:r>
      <w:proofErr w:type="spellStart"/>
      <w:r>
        <w:rPr>
          <w:rFonts w:ascii="Times New Roman" w:eastAsia="宋体" w:hAnsi="Times New Roman"/>
        </w:rPr>
        <w:t>millons</w:t>
      </w:r>
      <w:proofErr w:type="spellEnd"/>
      <w:r>
        <w:rPr>
          <w:rFonts w:ascii="Times New Roman" w:eastAsia="宋体" w:hAnsi="Times New Roman"/>
        </w:rPr>
        <w:t xml:space="preserve"> of deaths each year, according to data from the World Health Organization (WHO) and other public health agencies. While significant progress has been made in the field of heart failure, leading to improved survival rates and </w:t>
      </w:r>
      <w:r>
        <w:rPr>
          <w:rFonts w:ascii="Times New Roman" w:eastAsia="宋体" w:hAnsi="Times New Roman" w:hint="eastAsia"/>
        </w:rPr>
        <w:t>improvement of</w:t>
      </w:r>
      <w:r>
        <w:rPr>
          <w:rFonts w:ascii="Times New Roman" w:eastAsia="宋体" w:hAnsi="Times New Roman"/>
        </w:rPr>
        <w:t xml:space="preserve"> ejection fraction, there remain</w:t>
      </w:r>
      <w:r>
        <w:rPr>
          <w:rFonts w:ascii="Times New Roman" w:eastAsia="宋体" w:hAnsi="Times New Roman" w:hint="eastAsia"/>
        </w:rPr>
        <w:t>s</w:t>
      </w:r>
      <w:r>
        <w:rPr>
          <w:rFonts w:ascii="Times New Roman" w:eastAsia="宋体" w:hAnsi="Times New Roman"/>
        </w:rPr>
        <w:t xml:space="preserve"> substantial unmet needs</w:t>
      </w:r>
      <w:r>
        <w:rPr>
          <w:rFonts w:ascii="Times New Roman" w:eastAsia="宋体" w:hAnsi="Times New Roman" w:hint="eastAsia"/>
        </w:rPr>
        <w:t>, due to the complexity and multifactorial characteristics</w:t>
      </w:r>
      <w:r>
        <w:rPr>
          <w:rFonts w:ascii="Times New Roman" w:eastAsia="宋体" w:hAnsi="Times New Roman"/>
        </w:rPr>
        <w:t xml:space="preserve">. </w:t>
      </w:r>
      <w:r>
        <w:rPr>
          <w:rFonts w:ascii="Times New Roman" w:eastAsia="宋体" w:hAnsi="Times New Roman" w:hint="eastAsia"/>
        </w:rPr>
        <w:t>Therefore</w:t>
      </w:r>
      <w:r>
        <w:rPr>
          <w:rFonts w:ascii="Times New Roman" w:eastAsia="宋体" w:hAnsi="Times New Roman"/>
        </w:rPr>
        <w:t xml:space="preserve">, we propose a </w:t>
      </w:r>
      <w:r>
        <w:rPr>
          <w:rFonts w:ascii="Times New Roman" w:eastAsia="宋体" w:hAnsi="Times New Roman" w:hint="eastAsia"/>
        </w:rPr>
        <w:t>c</w:t>
      </w:r>
      <w:r>
        <w:rPr>
          <w:rFonts w:ascii="Times New Roman" w:eastAsia="宋体" w:hAnsi="Times New Roman"/>
        </w:rPr>
        <w:t xml:space="preserve">omposable strategy framework for diagnosis and treatment optimization in heart failure. This framework simulates the doctor-patient consultation process and leverages multi-modal algorithms to analyze a range of data, including video, physical examination results, </w:t>
      </w:r>
      <w:r>
        <w:rPr>
          <w:rFonts w:ascii="Times New Roman" w:eastAsia="宋体" w:hAnsi="Times New Roman" w:hint="eastAsia"/>
        </w:rPr>
        <w:t xml:space="preserve">text results as well as </w:t>
      </w:r>
      <w:r>
        <w:rPr>
          <w:rFonts w:ascii="Times New Roman" w:eastAsia="宋体" w:hAnsi="Times New Roman"/>
        </w:rPr>
        <w:t xml:space="preserve">medical history. By integrating these various data sources, our framework offers a more holistic evaluation and optimized treatment plan for patients. Our results demonstrate that this multi-modal approach outperforms single-modal artificial intelligence (AI) algorithms in terms of accuracy in heart failure </w:t>
      </w:r>
      <w:r>
        <w:rPr>
          <w:rFonts w:ascii="Times New Roman" w:eastAsia="宋体" w:hAnsi="Times New Roman" w:hint="eastAsia"/>
        </w:rPr>
        <w:t xml:space="preserve">(HF) </w:t>
      </w:r>
      <w:r>
        <w:rPr>
          <w:rFonts w:ascii="Times New Roman" w:eastAsia="宋体" w:hAnsi="Times New Roman"/>
        </w:rPr>
        <w:t>classification and prognosis prediction.</w:t>
      </w:r>
    </w:p>
    <w:p w14:paraId="6147E3DB" w14:textId="77777777" w:rsidR="007E5164" w:rsidRDefault="00000000">
      <w:pPr>
        <w:rPr>
          <w:rFonts w:hint="eastAsia"/>
        </w:rPr>
      </w:pPr>
      <w:r>
        <w:rPr>
          <w:rFonts w:hint="eastAsia"/>
        </w:rPr>
        <w:t xml:space="preserve"> </w:t>
      </w:r>
    </w:p>
    <w:p w14:paraId="1DFD3AAD" w14:textId="77777777" w:rsidR="007E5164" w:rsidRDefault="00000000">
      <w:pPr>
        <w:rPr>
          <w:rFonts w:hint="eastAsia"/>
        </w:rPr>
      </w:pPr>
      <w:r>
        <w:rPr>
          <w:rFonts w:hint="eastAsia"/>
        </w:rPr>
        <w:t xml:space="preserve"> </w:t>
      </w:r>
    </w:p>
    <w:p w14:paraId="16C0CAD4" w14:textId="77777777" w:rsidR="007E5164" w:rsidRDefault="00000000">
      <w:pPr>
        <w:widowControl/>
        <w:spacing w:line="360" w:lineRule="auto"/>
        <w:ind w:firstLineChars="200" w:firstLine="480"/>
        <w:jc w:val="left"/>
        <w:rPr>
          <w:rFonts w:ascii="Times New Roman" w:eastAsia="宋体" w:hAnsi="Times New Roman"/>
          <w:kern w:val="0"/>
          <w:sz w:val="24"/>
          <w:szCs w:val="24"/>
        </w:rPr>
      </w:pPr>
      <w:r>
        <w:rPr>
          <w:rFonts w:ascii="Times New Roman" w:eastAsia="宋体" w:hAnsi="Times New Roman" w:hint="eastAsia"/>
          <w:kern w:val="0"/>
          <w:sz w:val="24"/>
          <w:szCs w:val="24"/>
        </w:rPr>
        <w:t>Heart failure (HF) is a complex and multifactorial disease, and its clinical manifestations, treatment and prevention are widely challenging.</w:t>
      </w:r>
      <w:r>
        <w:rPr>
          <w:rFonts w:ascii="Times New Roman" w:eastAsia="宋体" w:hAnsi="Times New Roman"/>
          <w:kern w:val="0"/>
          <w:sz w:val="24"/>
          <w:szCs w:val="24"/>
        </w:rPr>
        <w:t xml:space="preserve"> With the aging of the population and the increase in cardiovascular disease, the incidence rate of heart failure continues to rise, resulting in a huge consumption of medical resources worldwide. In the treatment of heart failure, </w:t>
      </w:r>
      <w:r>
        <w:rPr>
          <w:rFonts w:ascii="Times New Roman" w:eastAsia="宋体" w:hAnsi="Times New Roman" w:hint="eastAsia"/>
          <w:kern w:val="0"/>
          <w:sz w:val="24"/>
          <w:szCs w:val="24"/>
        </w:rPr>
        <w:t xml:space="preserve">lifestyle intervention, </w:t>
      </w:r>
      <w:r>
        <w:rPr>
          <w:rFonts w:ascii="Times New Roman" w:eastAsia="宋体" w:hAnsi="Times New Roman"/>
          <w:kern w:val="0"/>
          <w:sz w:val="24"/>
          <w:szCs w:val="24"/>
        </w:rPr>
        <w:t xml:space="preserve">pharmacological management, the device-based management, </w:t>
      </w:r>
      <w:r>
        <w:rPr>
          <w:rFonts w:ascii="Times New Roman" w:eastAsia="宋体" w:hAnsi="Times New Roman" w:hint="eastAsia"/>
          <w:kern w:val="0"/>
          <w:sz w:val="24"/>
          <w:szCs w:val="24"/>
        </w:rPr>
        <w:t xml:space="preserve">and </w:t>
      </w:r>
      <w:r>
        <w:rPr>
          <w:rFonts w:ascii="Times New Roman" w:eastAsia="宋体" w:hAnsi="Times New Roman"/>
          <w:kern w:val="0"/>
          <w:sz w:val="24"/>
          <w:szCs w:val="24"/>
        </w:rPr>
        <w:t>heart transplantation</w:t>
      </w:r>
      <w:r>
        <w:rPr>
          <w:rFonts w:ascii="Times New Roman" w:eastAsia="宋体" w:hAnsi="Times New Roman" w:hint="eastAsia"/>
          <w:kern w:val="0"/>
          <w:sz w:val="24"/>
          <w:szCs w:val="24"/>
        </w:rPr>
        <w:t xml:space="preserve"> </w:t>
      </w:r>
      <w:r>
        <w:rPr>
          <w:rFonts w:ascii="Times New Roman" w:eastAsia="宋体" w:hAnsi="Times New Roman"/>
          <w:kern w:val="0"/>
          <w:sz w:val="24"/>
          <w:szCs w:val="24"/>
        </w:rPr>
        <w:t xml:space="preserve">are the main treatment methods. The addition of a neprilysin inhibitor to renin–angiotensin system inhibition (ARNI), and the advent of SGLT2 inhibition are the main </w:t>
      </w:r>
      <w:r>
        <w:rPr>
          <w:rFonts w:ascii="Times New Roman" w:eastAsia="宋体" w:hAnsi="Times New Roman" w:hint="eastAsia"/>
          <w:kern w:val="0"/>
          <w:sz w:val="24"/>
          <w:szCs w:val="24"/>
        </w:rPr>
        <w:t xml:space="preserve">supplemental </w:t>
      </w:r>
      <w:r>
        <w:rPr>
          <w:rFonts w:ascii="Times New Roman" w:eastAsia="宋体" w:hAnsi="Times New Roman"/>
          <w:kern w:val="0"/>
          <w:sz w:val="24"/>
          <w:szCs w:val="24"/>
        </w:rPr>
        <w:t>solutions of pharmacological management</w:t>
      </w:r>
      <w:r>
        <w:rPr>
          <w:rFonts w:ascii="Times New Roman" w:eastAsia="宋体" w:hAnsi="Times New Roman" w:hint="eastAsia"/>
          <w:kern w:val="0"/>
          <w:sz w:val="24"/>
          <w:szCs w:val="24"/>
        </w:rPr>
        <w:t xml:space="preserve"> [1]</w:t>
      </w:r>
      <w:r>
        <w:rPr>
          <w:rFonts w:ascii="Times New Roman" w:eastAsia="宋体" w:hAnsi="Times New Roman"/>
          <w:kern w:val="0"/>
          <w:sz w:val="24"/>
          <w:szCs w:val="24"/>
        </w:rPr>
        <w:t xml:space="preserve">. The incidence rate of newly diagnosed heart failure has reportedly stabilized or may even be declining in the general population. People with heart failure also live longer. However, the long-term trend of </w:t>
      </w:r>
      <w:r>
        <w:rPr>
          <w:rFonts w:ascii="Times New Roman" w:eastAsia="宋体" w:hAnsi="Times New Roman"/>
          <w:kern w:val="0"/>
          <w:sz w:val="24"/>
          <w:szCs w:val="24"/>
        </w:rPr>
        <w:lastRenderedPageBreak/>
        <w:t>increasing numbers of individuals at risk for heart failure and increasing survival rates for individuals with heart failure has led to an overall increase in the prevalence of heart failure patients.</w:t>
      </w:r>
    </w:p>
    <w:p w14:paraId="7D31E188" w14:textId="77777777" w:rsidR="007E5164"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On the other hand, the vigorous development of deep learning has brought new paradigms to scientific research in various fields, and it has also been widely used in clinical studies</w:t>
      </w:r>
      <w:r>
        <w:rPr>
          <w:rFonts w:ascii="Times New Roman" w:hAnsi="Times New Roman" w:hint="eastAsia"/>
          <w:sz w:val="24"/>
          <w:szCs w:val="24"/>
        </w:rPr>
        <w:t xml:space="preserve"> [2]</w:t>
      </w:r>
      <w:r>
        <w:rPr>
          <w:rFonts w:ascii="Times New Roman" w:hAnsi="Times New Roman"/>
          <w:sz w:val="24"/>
          <w:szCs w:val="24"/>
        </w:rPr>
        <w:t>. Deep learning can discover patterns, predict diseases, assist in diagnosis, and optimize treatment plans by analyzing large amounts of medical data, significantly improving medical efficiency. It has played a significant role in medical image analysis</w:t>
      </w:r>
      <w:r>
        <w:rPr>
          <w:rFonts w:ascii="Times New Roman" w:hAnsi="Times New Roman" w:hint="eastAsia"/>
          <w:sz w:val="24"/>
          <w:szCs w:val="24"/>
        </w:rPr>
        <w:t xml:space="preserve"> [3]</w:t>
      </w:r>
      <w:r>
        <w:rPr>
          <w:rFonts w:ascii="Times New Roman" w:hAnsi="Times New Roman"/>
          <w:sz w:val="24"/>
          <w:szCs w:val="24"/>
        </w:rPr>
        <w:t>, clinical decision support</w:t>
      </w:r>
      <w:r>
        <w:rPr>
          <w:rFonts w:ascii="Times New Roman" w:hAnsi="Times New Roman" w:hint="eastAsia"/>
          <w:sz w:val="24"/>
          <w:szCs w:val="24"/>
        </w:rPr>
        <w:t xml:space="preserve"> [4]</w:t>
      </w:r>
      <w:r>
        <w:rPr>
          <w:rFonts w:ascii="Times New Roman" w:hAnsi="Times New Roman"/>
          <w:sz w:val="24"/>
          <w:szCs w:val="24"/>
        </w:rPr>
        <w:t>, clinical data analysis</w:t>
      </w:r>
      <w:r>
        <w:rPr>
          <w:rFonts w:ascii="Times New Roman" w:hAnsi="Times New Roman" w:hint="eastAsia"/>
          <w:sz w:val="24"/>
          <w:szCs w:val="24"/>
        </w:rPr>
        <w:t xml:space="preserve"> [5, 6]</w:t>
      </w:r>
      <w:r>
        <w:rPr>
          <w:rFonts w:ascii="Times New Roman" w:hAnsi="Times New Roman"/>
          <w:sz w:val="24"/>
          <w:szCs w:val="24"/>
        </w:rPr>
        <w:t>, and other fields.</w:t>
      </w:r>
    </w:p>
    <w:p w14:paraId="7DA61949" w14:textId="77777777" w:rsidR="007E5164"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Recent years, scientists employ the machine learning to mine the mapping relationship connected with HF between various important factors such as subclinical hypothyroidism [7], clonal hematopoiesis of indeterminate potential (CHIP), extended somatic variants (</w:t>
      </w:r>
      <w:proofErr w:type="spellStart"/>
      <w:r>
        <w:rPr>
          <w:rFonts w:ascii="Times New Roman" w:hAnsi="Times New Roman" w:hint="eastAsia"/>
          <w:sz w:val="24"/>
          <w:szCs w:val="24"/>
        </w:rPr>
        <w:t>ExSV</w:t>
      </w:r>
      <w:proofErr w:type="spellEnd"/>
      <w:r>
        <w:rPr>
          <w:rFonts w:ascii="Times New Roman" w:hAnsi="Times New Roman" w:hint="eastAsia"/>
          <w:sz w:val="24"/>
          <w:szCs w:val="24"/>
        </w:rPr>
        <w:t>) [8]. This method was also used to predict the composite outcome of HF hospitalization and cardiovascular (CV) death [9, 10]. The machine learning has achieved very good results in the study of heart failure. However, most of these works focus on the influence of single factor on HF, which may lead to inaccurate and partial judgment.</w:t>
      </w:r>
    </w:p>
    <w:p w14:paraId="68250186" w14:textId="77777777" w:rsidR="007E5164"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Fortunately, m</w:t>
      </w:r>
      <w:r>
        <w:rPr>
          <w:rFonts w:ascii="Times New Roman" w:hAnsi="Times New Roman"/>
          <w:sz w:val="24"/>
          <w:szCs w:val="24"/>
        </w:rPr>
        <w:t>ultimodal artificial intelligence (AI) refers to AI systems that can simultaneously process and understand data from multiple different modalities (such as text, images, audio, video, etc.)</w:t>
      </w:r>
      <w:r>
        <w:rPr>
          <w:rFonts w:ascii="Times New Roman" w:hAnsi="Times New Roman" w:hint="eastAsia"/>
          <w:sz w:val="24"/>
          <w:szCs w:val="24"/>
        </w:rPr>
        <w:t xml:space="preserve"> [11</w:t>
      </w:r>
      <w:r>
        <w:rPr>
          <w:rFonts w:ascii="Times New Roman" w:hAnsi="Times New Roman"/>
          <w:sz w:val="24"/>
          <w:szCs w:val="24"/>
        </w:rPr>
        <w:t>-</w:t>
      </w:r>
      <w:r>
        <w:rPr>
          <w:rFonts w:ascii="Times New Roman" w:hAnsi="Times New Roman" w:hint="eastAsia"/>
          <w:sz w:val="24"/>
          <w:szCs w:val="24"/>
        </w:rPr>
        <w:t>21]</w:t>
      </w:r>
      <w:r>
        <w:rPr>
          <w:rFonts w:ascii="Times New Roman" w:hAnsi="Times New Roman"/>
          <w:sz w:val="24"/>
          <w:szCs w:val="24"/>
        </w:rPr>
        <w:t>. Compared with traditional single-modal AI systems, multi-modal AI can better simulate human perception and integrate different types of information to provide more comprehensive, rich, and accurate understanding. This technology was quickly applied to the clinical studies, such as Alzheimer’s disease dementia assessment</w:t>
      </w:r>
      <w:r>
        <w:rPr>
          <w:rFonts w:ascii="Times New Roman" w:hAnsi="Times New Roman" w:hint="eastAsia"/>
          <w:sz w:val="24"/>
          <w:szCs w:val="24"/>
        </w:rPr>
        <w:t xml:space="preserve"> [12, 15]</w:t>
      </w:r>
      <w:r>
        <w:rPr>
          <w:rFonts w:ascii="Times New Roman" w:hAnsi="Times New Roman"/>
          <w:sz w:val="24"/>
          <w:szCs w:val="24"/>
        </w:rPr>
        <w:t xml:space="preserve">, </w:t>
      </w:r>
      <w:proofErr w:type="spellStart"/>
      <w:r>
        <w:rPr>
          <w:rFonts w:ascii="Times New Roman" w:hAnsi="Times New Roman"/>
          <w:sz w:val="24"/>
          <w:szCs w:val="24"/>
        </w:rPr>
        <w:t>neuroprognosis</w:t>
      </w:r>
      <w:proofErr w:type="spellEnd"/>
      <w:r>
        <w:rPr>
          <w:rFonts w:ascii="Times New Roman" w:hAnsi="Times New Roman"/>
          <w:sz w:val="24"/>
          <w:szCs w:val="24"/>
        </w:rPr>
        <w:t xml:space="preserve"> performance in clinically unresponsive critical-care patients with brain injury</w:t>
      </w:r>
      <w:r>
        <w:rPr>
          <w:rFonts w:ascii="Times New Roman" w:hAnsi="Times New Roman" w:hint="eastAsia"/>
          <w:sz w:val="24"/>
          <w:szCs w:val="24"/>
        </w:rPr>
        <w:t xml:space="preserve"> [13]</w:t>
      </w:r>
      <w:r>
        <w:rPr>
          <w:rFonts w:ascii="Times New Roman" w:hAnsi="Times New Roman"/>
          <w:sz w:val="24"/>
          <w:szCs w:val="24"/>
        </w:rPr>
        <w:t>, identification of clinical disease trajectories in neurodegenerative disorders</w:t>
      </w:r>
      <w:r>
        <w:rPr>
          <w:rFonts w:ascii="Times New Roman" w:hAnsi="Times New Roman" w:hint="eastAsia"/>
          <w:sz w:val="24"/>
          <w:szCs w:val="24"/>
        </w:rPr>
        <w:t xml:space="preserve"> [6]</w:t>
      </w:r>
      <w:r>
        <w:rPr>
          <w:rFonts w:ascii="Times New Roman" w:hAnsi="Times New Roman"/>
          <w:sz w:val="24"/>
          <w:szCs w:val="24"/>
        </w:rPr>
        <w:t>, etc.</w:t>
      </w:r>
    </w:p>
    <w:p w14:paraId="6EB86332" w14:textId="77777777" w:rsidR="007E5164"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 xml:space="preserve">In our work, we propose the Multimodal Post-Recovery Tracking Model (M-PRTM), a framework that integrates cinematic, numerical, and textual data to improve heart failure prognosis prediction and myocardial fibrosis detection. M-PRTM </w:t>
      </w:r>
      <w:r>
        <w:rPr>
          <w:rFonts w:ascii="Times New Roman" w:hAnsi="Times New Roman"/>
          <w:sz w:val="24"/>
          <w:szCs w:val="24"/>
        </w:rPr>
        <w:lastRenderedPageBreak/>
        <w:t xml:space="preserve">combines clinical data such as patient demographics, clinical metrics, and medication history with </w:t>
      </w:r>
      <w:r>
        <w:rPr>
          <w:rFonts w:ascii="Times New Roman" w:hAnsi="Times New Roman" w:hint="eastAsia"/>
          <w:sz w:val="24"/>
          <w:szCs w:val="24"/>
        </w:rPr>
        <w:t>C</w:t>
      </w:r>
      <w:r>
        <w:rPr>
          <w:rFonts w:ascii="Times New Roman" w:hAnsi="Times New Roman"/>
          <w:sz w:val="24"/>
          <w:szCs w:val="24"/>
        </w:rPr>
        <w:t xml:space="preserve">ardiac </w:t>
      </w:r>
      <w:r>
        <w:rPr>
          <w:rFonts w:ascii="Times New Roman" w:hAnsi="Times New Roman" w:hint="eastAsia"/>
          <w:sz w:val="24"/>
          <w:szCs w:val="24"/>
        </w:rPr>
        <w:t>M</w:t>
      </w:r>
      <w:r>
        <w:rPr>
          <w:rFonts w:ascii="Times New Roman" w:hAnsi="Times New Roman"/>
          <w:sz w:val="24"/>
          <w:szCs w:val="24"/>
        </w:rPr>
        <w:t xml:space="preserve">agnetic </w:t>
      </w:r>
      <w:r>
        <w:rPr>
          <w:rFonts w:ascii="Times New Roman" w:hAnsi="Times New Roman" w:hint="eastAsia"/>
          <w:sz w:val="24"/>
          <w:szCs w:val="24"/>
        </w:rPr>
        <w:t>R</w:t>
      </w:r>
      <w:r>
        <w:rPr>
          <w:rFonts w:ascii="Times New Roman" w:hAnsi="Times New Roman"/>
          <w:sz w:val="24"/>
          <w:szCs w:val="24"/>
        </w:rPr>
        <w:t>esonance (CMR) images to create a comprehensive model for predicting patient outcomes. Our</w:t>
      </w:r>
      <w:r>
        <w:rPr>
          <w:rFonts w:ascii="Times New Roman" w:hAnsi="Times New Roman" w:hint="eastAsia"/>
          <w:sz w:val="24"/>
          <w:szCs w:val="24"/>
        </w:rPr>
        <w:t xml:space="preserve"> framework employs specialized models for each data modality, including the DAE-Former for cinematic data, a fully connected network for numerical data, and a BERT-based model for textual data. </w:t>
      </w:r>
      <w:r>
        <w:rPr>
          <w:rFonts w:ascii="Times New Roman" w:hAnsi="Times New Roman"/>
          <w:sz w:val="24"/>
          <w:szCs w:val="24"/>
        </w:rPr>
        <w:t xml:space="preserve">These features are then fused using an attention mechanism, which dynamically prioritizes the most important information for predictions, such as drug prescriptions and vital signs. </w:t>
      </w:r>
      <w:r>
        <w:rPr>
          <w:rFonts w:ascii="Times New Roman" w:hAnsi="Times New Roman" w:hint="eastAsia"/>
          <w:sz w:val="24"/>
          <w:szCs w:val="24"/>
        </w:rPr>
        <w:t>Our results show that M-PRTM achieves 96.5% accuracy in predicting clinical outcomes, outperforming traditional single-modal approaches, and demonstrating its ability to handle complex, multimodal data for more reliable patient predictions.</w:t>
      </w:r>
      <w:r>
        <w:rPr>
          <w:rFonts w:ascii="Times New Roman" w:hAnsi="Times New Roman"/>
          <w:sz w:val="24"/>
          <w:szCs w:val="24"/>
        </w:rPr>
        <w:t xml:space="preserve"> The model's ability to dynamically adjust the importance of each modality enables more accurate predictions, while its multimodal nature supports personalized treatment strategies and early intervention. Through rigorous testing with data from 136 and 688 patients, M-PRTM demonstrates its effectiveness in both heart failure management and fibrosis detection, offering a scalable solution for optimizing patient care and improving outcomes.</w:t>
      </w:r>
    </w:p>
    <w:p w14:paraId="32C2561F" w14:textId="77777777" w:rsidR="007E5164" w:rsidRDefault="00000000">
      <w:pPr>
        <w:rPr>
          <w:rFonts w:ascii="Times New Roman" w:eastAsia="宋体" w:hAnsi="Times New Roman"/>
          <w:sz w:val="28"/>
          <w:szCs w:val="32"/>
        </w:rPr>
      </w:pPr>
      <w:r>
        <w:rPr>
          <w:noProof/>
          <w14:ligatures w14:val="standardContextual"/>
        </w:rPr>
        <w:drawing>
          <wp:inline distT="0" distB="0" distL="0" distR="0" wp14:anchorId="6C77B2A9" wp14:editId="470DE745">
            <wp:extent cx="5274310" cy="3894455"/>
            <wp:effectExtent l="0" t="0" r="2540" b="10795"/>
            <wp:docPr id="13437395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39516" name="图片 1"/>
                    <pic:cNvPicPr>
                      <a:picLocks noChangeAspect="1"/>
                    </pic:cNvPicPr>
                  </pic:nvPicPr>
                  <pic:blipFill>
                    <a:blip r:embed="rId4"/>
                    <a:stretch>
                      <a:fillRect/>
                    </a:stretch>
                  </pic:blipFill>
                  <pic:spPr>
                    <a:xfrm>
                      <a:off x="0" y="0"/>
                      <a:ext cx="5274310" cy="3894455"/>
                    </a:xfrm>
                    <a:prstGeom prst="rect">
                      <a:avLst/>
                    </a:prstGeom>
                  </pic:spPr>
                </pic:pic>
              </a:graphicData>
            </a:graphic>
          </wp:inline>
        </w:drawing>
      </w:r>
    </w:p>
    <w:p w14:paraId="646EBEE6" w14:textId="77777777" w:rsidR="007E5164" w:rsidRDefault="00000000">
      <w:pPr>
        <w:rPr>
          <w:rFonts w:ascii="Times New Roman" w:eastAsia="宋体" w:hAnsi="Times New Roman"/>
        </w:rPr>
      </w:pPr>
      <w:r>
        <w:rPr>
          <w:rFonts w:ascii="Times New Roman" w:hAnsi="Times New Roman"/>
        </w:rPr>
        <w:lastRenderedPageBreak/>
        <w:t xml:space="preserve">Fig. </w:t>
      </w:r>
      <w:r>
        <w:rPr>
          <w:rFonts w:ascii="Times New Roman" w:hAnsi="Times New Roman" w:hint="eastAsia"/>
        </w:rPr>
        <w:t>1</w:t>
      </w:r>
      <w:r>
        <w:rPr>
          <w:rFonts w:ascii="Times New Roman" w:hAnsi="Times New Roman"/>
        </w:rPr>
        <w:t>.</w:t>
      </w:r>
      <w:r>
        <w:rPr>
          <w:rFonts w:ascii="Times New Roman" w:eastAsia="宋体" w:hAnsi="Times New Roman"/>
        </w:rPr>
        <w:t xml:space="preserve"> Overview of data, model development, and model validation.</w:t>
      </w:r>
    </w:p>
    <w:p w14:paraId="079E5D04" w14:textId="77777777" w:rsidR="007E5164" w:rsidRDefault="007E5164">
      <w:pPr>
        <w:rPr>
          <w:rFonts w:ascii="Times New Roman" w:eastAsia="宋体" w:hAnsi="Times New Roman"/>
        </w:rPr>
      </w:pPr>
    </w:p>
    <w:p w14:paraId="616325A9" w14:textId="77777777" w:rsidR="007E5164" w:rsidRDefault="00000000">
      <w:pPr>
        <w:spacing w:line="360" w:lineRule="auto"/>
        <w:rPr>
          <w:rFonts w:ascii="Times New Roman" w:hAnsi="Times New Roman"/>
          <w:b/>
          <w:bCs/>
          <w:sz w:val="32"/>
          <w:szCs w:val="36"/>
        </w:rPr>
      </w:pPr>
      <w:r>
        <w:rPr>
          <w:rFonts w:ascii="Times New Roman" w:hAnsi="Times New Roman"/>
          <w:b/>
          <w:bCs/>
          <w:sz w:val="32"/>
          <w:szCs w:val="36"/>
        </w:rPr>
        <w:t>Results</w:t>
      </w:r>
    </w:p>
    <w:p w14:paraId="33A8C1FA" w14:textId="77777777" w:rsidR="007E5164" w:rsidRDefault="00000000">
      <w:pPr>
        <w:spacing w:line="360" w:lineRule="auto"/>
        <w:rPr>
          <w:rFonts w:ascii="Times New Roman" w:eastAsia="宋体" w:hAnsi="Times New Roman"/>
          <w:b/>
          <w:bCs/>
          <w:sz w:val="28"/>
          <w:szCs w:val="28"/>
        </w:rPr>
      </w:pPr>
      <w:r>
        <w:rPr>
          <w:rFonts w:ascii="Times New Roman" w:eastAsia="宋体" w:hAnsi="Times New Roman"/>
          <w:b/>
          <w:bCs/>
          <w:sz w:val="28"/>
          <w:szCs w:val="28"/>
        </w:rPr>
        <w:t>Multimodal Post-Recovery Tracking Model overview</w:t>
      </w:r>
    </w:p>
    <w:p w14:paraId="6C2657C7" w14:textId="77777777" w:rsidR="007E5164" w:rsidRDefault="00000000">
      <w:pPr>
        <w:spacing w:line="360" w:lineRule="auto"/>
        <w:ind w:firstLineChars="200" w:firstLine="480"/>
        <w:rPr>
          <w:rFonts w:ascii="Times New Roman" w:eastAsia="宋体" w:hAnsi="Times New Roman"/>
          <w:sz w:val="24"/>
          <w:szCs w:val="24"/>
        </w:rPr>
      </w:pPr>
      <w:r>
        <w:rPr>
          <w:rFonts w:ascii="Times New Roman" w:eastAsia="宋体" w:hAnsi="Times New Roman"/>
          <w:sz w:val="24"/>
          <w:szCs w:val="24"/>
        </w:rPr>
        <w:t>The comprehensive workflow for model development and validation is presented in Fig. 1</w:t>
      </w:r>
      <w:r>
        <w:rPr>
          <w:rFonts w:ascii="Times New Roman" w:eastAsia="宋体" w:hAnsi="Times New Roman" w:hint="eastAsia"/>
          <w:sz w:val="24"/>
          <w:szCs w:val="24"/>
        </w:rPr>
        <w:t>.</w:t>
      </w:r>
      <w:r>
        <w:rPr>
          <w:rFonts w:ascii="Times New Roman" w:eastAsia="宋体" w:hAnsi="Times New Roman"/>
          <w:sz w:val="24"/>
          <w:szCs w:val="24"/>
        </w:rPr>
        <w:t xml:space="preserve"> </w:t>
      </w:r>
      <w:r>
        <w:rPr>
          <w:rFonts w:ascii="Times New Roman" w:eastAsia="宋体" w:hAnsi="Times New Roman" w:hint="eastAsia"/>
          <w:sz w:val="24"/>
          <w:szCs w:val="24"/>
        </w:rPr>
        <w:t>Additionally, w</w:t>
      </w:r>
      <w:r>
        <w:rPr>
          <w:rFonts w:ascii="Times New Roman" w:eastAsia="宋体" w:hAnsi="Times New Roman"/>
          <w:sz w:val="24"/>
          <w:szCs w:val="24"/>
        </w:rPr>
        <w:t xml:space="preserve">e </w:t>
      </w:r>
      <w:r>
        <w:rPr>
          <w:rFonts w:ascii="Times New Roman" w:eastAsia="宋体" w:hAnsi="Times New Roman" w:hint="eastAsia"/>
          <w:sz w:val="24"/>
          <w:szCs w:val="24"/>
        </w:rPr>
        <w:t xml:space="preserve">have </w:t>
      </w:r>
      <w:r>
        <w:rPr>
          <w:rFonts w:ascii="Times New Roman" w:eastAsia="宋体" w:hAnsi="Times New Roman"/>
          <w:sz w:val="24"/>
          <w:szCs w:val="24"/>
        </w:rPr>
        <w:t>describe</w:t>
      </w:r>
      <w:r>
        <w:rPr>
          <w:rFonts w:ascii="Times New Roman" w:eastAsia="宋体" w:hAnsi="Times New Roman" w:hint="eastAsia"/>
          <w:sz w:val="24"/>
          <w:szCs w:val="24"/>
        </w:rPr>
        <w:t>d</w:t>
      </w:r>
      <w:r>
        <w:rPr>
          <w:rFonts w:ascii="Times New Roman" w:eastAsia="宋体" w:hAnsi="Times New Roman"/>
          <w:sz w:val="24"/>
          <w:szCs w:val="24"/>
        </w:rPr>
        <w:t xml:space="preserve"> the underlying structure that supports the data modalities</w:t>
      </w:r>
      <w:r>
        <w:rPr>
          <w:rFonts w:ascii="Times New Roman" w:eastAsia="宋体" w:hAnsi="Times New Roman" w:hint="eastAsia"/>
          <w:sz w:val="24"/>
          <w:szCs w:val="24"/>
        </w:rPr>
        <w:t xml:space="preserve"> as well</w:t>
      </w:r>
      <w:r>
        <w:rPr>
          <w:rFonts w:ascii="Times New Roman" w:eastAsia="宋体" w:hAnsi="Times New Roman"/>
          <w:sz w:val="24"/>
          <w:szCs w:val="24"/>
        </w:rPr>
        <w:t>.</w:t>
      </w:r>
      <w:r>
        <w:rPr>
          <w:rFonts w:ascii="Times New Roman" w:eastAsia="宋体" w:hAnsi="Times New Roman" w:hint="eastAsia"/>
          <w:sz w:val="24"/>
          <w:szCs w:val="24"/>
        </w:rPr>
        <w:t xml:space="preserve"> </w:t>
      </w:r>
      <w:r>
        <w:rPr>
          <w:rFonts w:ascii="Times New Roman" w:eastAsia="宋体" w:hAnsi="Times New Roman"/>
          <w:sz w:val="24"/>
          <w:szCs w:val="24"/>
        </w:rPr>
        <w:t xml:space="preserve">In the Data column, patient data are categorized into three main types: numerical indicators, textual prescriptions, and </w:t>
      </w:r>
      <w:r>
        <w:rPr>
          <w:rFonts w:ascii="Times New Roman" w:eastAsia="宋体" w:hAnsi="Times New Roman" w:hint="eastAsia"/>
          <w:sz w:val="24"/>
          <w:szCs w:val="24"/>
        </w:rPr>
        <w:t>CMR</w:t>
      </w:r>
      <w:r>
        <w:rPr>
          <w:rFonts w:ascii="Times New Roman" w:eastAsia="宋体" w:hAnsi="Times New Roman"/>
          <w:sz w:val="24"/>
          <w:szCs w:val="24"/>
        </w:rPr>
        <w:t xml:space="preserve"> </w:t>
      </w:r>
      <w:r>
        <w:rPr>
          <w:rFonts w:ascii="Times New Roman" w:eastAsia="宋体" w:hAnsi="Times New Roman" w:hint="eastAsia"/>
          <w:sz w:val="24"/>
          <w:szCs w:val="24"/>
        </w:rPr>
        <w:t>cinematic</w:t>
      </w:r>
      <w:r>
        <w:rPr>
          <w:rFonts w:ascii="Times New Roman" w:eastAsia="宋体" w:hAnsi="Times New Roman"/>
          <w:sz w:val="24"/>
          <w:szCs w:val="24"/>
        </w:rPr>
        <w:t xml:space="preserve"> data. Numerical indicators include demographic information (e.g., gender and age) and key clinical metrics (e.g., blood pressure and BMI). Textual records primarily consist of prescription information, such as drug type, dosage, and treatment stage. Meanwhile, CMR imaging data capture anatomical and functional features of the myocardium, including regions of fibrosis. We extract vector features from numerical, textual, and CMR </w:t>
      </w:r>
      <w:r>
        <w:rPr>
          <w:rFonts w:ascii="Times New Roman" w:eastAsia="宋体" w:hAnsi="Times New Roman" w:hint="eastAsia"/>
          <w:sz w:val="24"/>
          <w:szCs w:val="24"/>
        </w:rPr>
        <w:t>cinematic</w:t>
      </w:r>
      <w:r>
        <w:rPr>
          <w:rFonts w:ascii="Times New Roman" w:eastAsia="宋体" w:hAnsi="Times New Roman"/>
          <w:sz w:val="24"/>
          <w:szCs w:val="24"/>
        </w:rPr>
        <w:t xml:space="preserve"> data for multimodal fusion-based predictions. Specifically, we provide an example in the Medical Prescription section. Considering that drug types and dosages often vary across time or treatment stages during clinical practice, our data processing accounts for these dynamic changes to enhance the model's adaptability to patient medication patterns.</w:t>
      </w:r>
    </w:p>
    <w:p w14:paraId="160263D5" w14:textId="77777777" w:rsidR="007E5164" w:rsidRDefault="00000000">
      <w:pPr>
        <w:spacing w:line="360" w:lineRule="auto"/>
        <w:ind w:firstLineChars="200" w:firstLine="480"/>
        <w:rPr>
          <w:rFonts w:ascii="Times New Roman" w:eastAsia="宋体" w:hAnsi="Times New Roman"/>
          <w:sz w:val="24"/>
          <w:szCs w:val="24"/>
        </w:rPr>
      </w:pPr>
      <w:r>
        <w:rPr>
          <w:rFonts w:ascii="Times New Roman" w:eastAsia="宋体" w:hAnsi="Times New Roman"/>
          <w:sz w:val="24"/>
          <w:szCs w:val="24"/>
        </w:rPr>
        <w:t>The Model Development column outlines three modules designed to process imaging, numerical, and textual tasks. For imaging data, we employ the Dual Attention-guided Efficient Transformer model (DAE-former) []</w:t>
      </w:r>
      <w:r>
        <w:rPr>
          <w:rFonts w:ascii="Times New Roman" w:eastAsia="宋体" w:hAnsi="Times New Roman" w:hint="eastAsia"/>
          <w:sz w:val="24"/>
          <w:szCs w:val="24"/>
        </w:rPr>
        <w:t>.</w:t>
      </w:r>
      <w:r>
        <w:rPr>
          <w:sz w:val="24"/>
          <w:szCs w:val="24"/>
        </w:rPr>
        <w:t xml:space="preserve"> </w:t>
      </w:r>
      <w:r>
        <w:rPr>
          <w:rFonts w:ascii="Times New Roman" w:eastAsia="宋体" w:hAnsi="Times New Roman" w:hint="eastAsia"/>
          <w:sz w:val="24"/>
          <w:szCs w:val="24"/>
        </w:rPr>
        <w:t>The model integrates a skip-connected CMR encoder and masked decoder, which enable precise predictions of myocardial fibrosis regions and can significantly improve segmentation accuracy.</w:t>
      </w:r>
      <w:r>
        <w:rPr>
          <w:rFonts w:ascii="Times New Roman" w:eastAsia="宋体" w:hAnsi="Times New Roman"/>
          <w:sz w:val="24"/>
          <w:szCs w:val="24"/>
        </w:rPr>
        <w:t xml:space="preserve"> For the numerical type data, we </w:t>
      </w:r>
      <w:r>
        <w:rPr>
          <w:rFonts w:ascii="Times New Roman" w:eastAsia="宋体" w:hAnsi="Times New Roman" w:hint="eastAsia"/>
          <w:sz w:val="24"/>
          <w:szCs w:val="24"/>
        </w:rPr>
        <w:t>construct</w:t>
      </w:r>
      <w:r>
        <w:rPr>
          <w:rFonts w:ascii="Times New Roman" w:eastAsia="宋体" w:hAnsi="Times New Roman"/>
          <w:sz w:val="24"/>
          <w:szCs w:val="24"/>
        </w:rPr>
        <w:t xml:space="preserve"> a feature extraction model to map the numerical inputs into classification and regression features. Those features are further refined using an Attention Model, which calculates the "Query-Key-Value" weights to highlight critical attributes impacting prediction outcomes. For the textual type data, we apply a pre-trained Bidirectional Encoder Representations from Transformers</w:t>
      </w:r>
      <w:r>
        <w:rPr>
          <w:rFonts w:ascii="Times New Roman" w:eastAsia="宋体" w:hAnsi="Times New Roman" w:hint="eastAsia"/>
          <w:sz w:val="24"/>
          <w:szCs w:val="24"/>
        </w:rPr>
        <w:t xml:space="preserve"> (</w:t>
      </w:r>
      <w:r>
        <w:rPr>
          <w:rFonts w:ascii="Times New Roman" w:eastAsia="宋体" w:hAnsi="Times New Roman"/>
          <w:sz w:val="24"/>
          <w:szCs w:val="24"/>
        </w:rPr>
        <w:t>BERT</w:t>
      </w:r>
      <w:r>
        <w:rPr>
          <w:rFonts w:ascii="Times New Roman" w:eastAsia="宋体" w:hAnsi="Times New Roman" w:hint="eastAsia"/>
          <w:sz w:val="24"/>
          <w:szCs w:val="24"/>
        </w:rPr>
        <w:t>)</w:t>
      </w:r>
      <w:r>
        <w:rPr>
          <w:rFonts w:ascii="Times New Roman" w:eastAsia="宋体" w:hAnsi="Times New Roman"/>
          <w:sz w:val="24"/>
          <w:szCs w:val="24"/>
        </w:rPr>
        <w:t xml:space="preserve"> model [] to embed textual information. It is complemented by an Attention Model to dynamically adjust the importance of textual features, effectively capturing the impact of phased drug adjustments on prediction outcomes.</w:t>
      </w:r>
    </w:p>
    <w:p w14:paraId="74BCA3A3" w14:textId="77777777" w:rsidR="007E5164" w:rsidRDefault="00000000">
      <w:pPr>
        <w:spacing w:line="360" w:lineRule="auto"/>
        <w:ind w:firstLineChars="200" w:firstLine="480"/>
        <w:rPr>
          <w:rFonts w:ascii="Times New Roman" w:eastAsia="宋体" w:hAnsi="Times New Roman"/>
          <w:sz w:val="24"/>
          <w:szCs w:val="24"/>
        </w:rPr>
      </w:pPr>
      <w:r>
        <w:rPr>
          <w:rFonts w:ascii="Times New Roman" w:eastAsia="宋体" w:hAnsi="Times New Roman"/>
          <w:sz w:val="24"/>
          <w:szCs w:val="24"/>
        </w:rPr>
        <w:lastRenderedPageBreak/>
        <w:t xml:space="preserve">In the Model Validation step, the Fibrosis Validation module evaluates the predicted fibrosis regions, showing high consistency between the model's predictions and theoretical annotations. This demonstrates the accuracy and efficacy of the model in fibrosis segmentation. Additionally, the Network Performance &amp; Result curves illustrate the model's accuracy across multiple prediction tasks, including fibrosis segmentation, event prediction, risk prediction, and integrated prediction, achieving 87.2%, 97.6%, 93.8%, and 96.5%, respectively. Finally, feature importance analysis reveals that therapeutic agents and CMR cinematic data contribute the most to model predictions, with importance scores of 0.376 and 0.327, respectively. Other feature categories, such as numerical indicators and </w:t>
      </w:r>
      <w:r>
        <w:rPr>
          <w:rFonts w:ascii="Times New Roman" w:eastAsia="宋体" w:hAnsi="Times New Roman" w:hint="eastAsia"/>
          <w:sz w:val="24"/>
          <w:szCs w:val="24"/>
        </w:rPr>
        <w:t>medical indicator</w:t>
      </w:r>
      <w:r>
        <w:rPr>
          <w:rFonts w:ascii="Times New Roman" w:eastAsia="宋体" w:hAnsi="Times New Roman"/>
          <w:sz w:val="24"/>
          <w:szCs w:val="24"/>
        </w:rPr>
        <w:t>, also make contributions but with lower importance scores.</w:t>
      </w:r>
    </w:p>
    <w:p w14:paraId="03DEAC70" w14:textId="77777777" w:rsidR="007E5164" w:rsidRDefault="00000000">
      <w:pPr>
        <w:spacing w:line="360" w:lineRule="auto"/>
        <w:ind w:firstLineChars="200" w:firstLine="480"/>
        <w:rPr>
          <w:rFonts w:ascii="Times New Roman" w:eastAsia="宋体" w:hAnsi="Times New Roman"/>
          <w:sz w:val="24"/>
          <w:szCs w:val="24"/>
        </w:rPr>
      </w:pPr>
      <w:r>
        <w:rPr>
          <w:rFonts w:ascii="Times New Roman" w:eastAsia="宋体" w:hAnsi="Times New Roman"/>
          <w:sz w:val="24"/>
          <w:szCs w:val="24"/>
        </w:rPr>
        <w:t>Overall, the validation results can confirm that our multimodal framework effectively integrates CMR, numerical type, and textual type data, enabling highly accurate and reliable predictions of clinical outcomes. This highlights the potential of the model to support personalized medicine and optimize patient management strategies.</w:t>
      </w:r>
    </w:p>
    <w:p w14:paraId="108A00DC" w14:textId="77777777" w:rsidR="007E5164" w:rsidRDefault="00000000">
      <w:pPr>
        <w:pStyle w:val="1"/>
        <w:ind w:firstLineChars="0" w:firstLine="0"/>
        <w:rPr>
          <w:rFonts w:ascii="Times New Roman" w:hAnsi="Times New Roman"/>
          <w:b/>
          <w:bCs/>
          <w:sz w:val="28"/>
          <w:szCs w:val="28"/>
        </w:rPr>
      </w:pPr>
      <w:r>
        <w:rPr>
          <w:rFonts w:ascii="Times New Roman" w:hAnsi="Times New Roman"/>
          <w:b/>
          <w:bCs/>
          <w:sz w:val="28"/>
          <w:szCs w:val="28"/>
        </w:rPr>
        <w:t>Model Performance and Results</w:t>
      </w:r>
    </w:p>
    <w:p w14:paraId="194FA5EE" w14:textId="77777777" w:rsidR="007E5164" w:rsidRDefault="00000000">
      <w:pPr>
        <w:jc w:val="center"/>
        <w:rPr>
          <w:rFonts w:ascii="Times New Roman" w:hAnsi="Times New Roman"/>
          <w:sz w:val="28"/>
          <w:szCs w:val="32"/>
        </w:rPr>
      </w:pPr>
      <w:r>
        <w:rPr>
          <w:noProof/>
          <w14:ligatures w14:val="standardContextual"/>
        </w:rPr>
        <w:lastRenderedPageBreak/>
        <w:drawing>
          <wp:inline distT="0" distB="0" distL="0" distR="0" wp14:anchorId="7B6E0EDD" wp14:editId="483D3B75">
            <wp:extent cx="5274310" cy="5058410"/>
            <wp:effectExtent l="0" t="0" r="2540" b="8890"/>
            <wp:docPr id="858791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91948" name="图片 1"/>
                    <pic:cNvPicPr>
                      <a:picLocks noChangeAspect="1"/>
                    </pic:cNvPicPr>
                  </pic:nvPicPr>
                  <pic:blipFill>
                    <a:blip r:embed="rId5"/>
                    <a:stretch>
                      <a:fillRect/>
                    </a:stretch>
                  </pic:blipFill>
                  <pic:spPr>
                    <a:xfrm>
                      <a:off x="0" y="0"/>
                      <a:ext cx="5274310" cy="5058410"/>
                    </a:xfrm>
                    <a:prstGeom prst="rect">
                      <a:avLst/>
                    </a:prstGeom>
                  </pic:spPr>
                </pic:pic>
              </a:graphicData>
            </a:graphic>
          </wp:inline>
        </w:drawing>
      </w:r>
    </w:p>
    <w:p w14:paraId="1F9D632B" w14:textId="77777777" w:rsidR="007E5164" w:rsidRDefault="00000000">
      <w:pPr>
        <w:rPr>
          <w:rFonts w:ascii="Times New Roman" w:eastAsia="宋体" w:hAnsi="Times New Roman"/>
        </w:rPr>
      </w:pPr>
      <w:r>
        <w:rPr>
          <w:rFonts w:ascii="Times New Roman" w:eastAsia="宋体" w:hAnsi="Times New Roman" w:hint="eastAsia"/>
        </w:rPr>
        <w:t xml:space="preserve">Fig. </w:t>
      </w:r>
      <w:r>
        <w:rPr>
          <w:rFonts w:ascii="Times New Roman" w:eastAsia="宋体" w:hAnsi="Times New Roman"/>
        </w:rPr>
        <w:t>2</w:t>
      </w:r>
      <w:r>
        <w:rPr>
          <w:rFonts w:ascii="Times New Roman" w:eastAsia="宋体" w:hAnsi="Times New Roman" w:hint="eastAsia"/>
        </w:rPr>
        <w:t>.</w:t>
      </w:r>
      <w:r>
        <w:rPr>
          <w:rFonts w:ascii="Times New Roman" w:eastAsia="宋体" w:hAnsi="Times New Roman"/>
        </w:rPr>
        <w:t xml:space="preserve"> Model Performance and Prediction Results. (a) Training curves of the DAE-former model showing the DSC and HD across 500 epochs. (b) Example of Myocardial Fibrosis prediction results. The original CMR image, ground truth label, and predicted fibrosis region show strong alignment with an accuracy of approximately 87%. (c) Training curves of the proposed M-PRTM model showing the test loss and acc across 500 epochs. (d) Prediction examples of clinical outcomes, including death, cause of death, rehospitalization days, and MACCES events. (e) Timeline of patient risk stratification and recovery prognosis. The model dynamically assesses risks and predicts critical events, such as heart failure recovery and ejection fraction decline.</w:t>
      </w:r>
    </w:p>
    <w:p w14:paraId="73F23BF0" w14:textId="77777777" w:rsidR="007E5164" w:rsidRDefault="007E5164">
      <w:pPr>
        <w:ind w:firstLine="420"/>
        <w:rPr>
          <w:rFonts w:ascii="Times New Roman" w:eastAsia="宋体" w:hAnsi="Times New Roman"/>
        </w:rPr>
      </w:pPr>
    </w:p>
    <w:p w14:paraId="2EF265CB" w14:textId="77777777" w:rsidR="007E5164" w:rsidRDefault="00000000">
      <w:pPr>
        <w:spacing w:line="360" w:lineRule="auto"/>
        <w:ind w:firstLineChars="200" w:firstLine="480"/>
        <w:rPr>
          <w:rFonts w:ascii="Times New Roman" w:eastAsia="宋体" w:hAnsi="Times New Roman"/>
          <w:sz w:val="24"/>
          <w:szCs w:val="24"/>
        </w:rPr>
      </w:pPr>
      <w:r>
        <w:rPr>
          <w:rFonts w:ascii="Times New Roman" w:eastAsia="宋体" w:hAnsi="Times New Roman"/>
          <w:sz w:val="24"/>
          <w:szCs w:val="24"/>
        </w:rPr>
        <w:t xml:space="preserve">In this section, we present key performance metrics of the proposed network alongside its prediction results. By visualizing the training and testing processes, we provide an intuitive demonstration of the model’s efficiency and accuracy. The training process of the DAE-former is shown in Fig. 2(a), where the Dice Similarity Coefficient (DSC) and </w:t>
      </w:r>
      <w:proofErr w:type="spellStart"/>
      <w:r>
        <w:rPr>
          <w:rFonts w:ascii="Times New Roman" w:eastAsia="宋体" w:hAnsi="Times New Roman"/>
          <w:sz w:val="24"/>
          <w:szCs w:val="24"/>
        </w:rPr>
        <w:t>Hausdorff</w:t>
      </w:r>
      <w:proofErr w:type="spellEnd"/>
      <w:r>
        <w:rPr>
          <w:rFonts w:ascii="Times New Roman" w:eastAsia="宋体" w:hAnsi="Times New Roman"/>
          <w:sz w:val="24"/>
          <w:szCs w:val="24"/>
        </w:rPr>
        <w:t xml:space="preserve"> Distance (HD) are plotted against the number of epochs. Additionally, we present examples of predicted Myocardial Fibrosis regions alongside </w:t>
      </w:r>
      <w:r>
        <w:rPr>
          <w:rFonts w:ascii="Times New Roman" w:eastAsia="宋体" w:hAnsi="Times New Roman"/>
          <w:sz w:val="24"/>
          <w:szCs w:val="24"/>
        </w:rPr>
        <w:lastRenderedPageBreak/>
        <w:t>their corresponding ground truth labels, as shown in Fig. 2(b). The results indicate that the fibrosis regions predicted by DAE-former closely align with manual annotations, achieving an accuracy of approximately 87%, demonstrating the model’s effectiveness in processing imaging data.</w:t>
      </w:r>
      <w:r>
        <w:rPr>
          <w:sz w:val="24"/>
          <w:szCs w:val="24"/>
        </w:rPr>
        <w:t xml:space="preserve"> </w:t>
      </w:r>
      <w:r>
        <w:rPr>
          <w:rFonts w:ascii="Times New Roman" w:eastAsia="宋体" w:hAnsi="Times New Roman"/>
          <w:sz w:val="24"/>
          <w:szCs w:val="24"/>
        </w:rPr>
        <w:t xml:space="preserve">A key contribution of our work is the design and implementation of the Multimodal Post-Recovery Tracking Model (M-PRTM). This model is specifically developed to integrate textual, </w:t>
      </w:r>
      <w:r>
        <w:rPr>
          <w:rFonts w:ascii="Times New Roman" w:eastAsia="宋体" w:hAnsi="Times New Roman" w:hint="eastAsia"/>
          <w:sz w:val="24"/>
          <w:szCs w:val="24"/>
        </w:rPr>
        <w:t>numerical</w:t>
      </w:r>
      <w:r>
        <w:rPr>
          <w:rFonts w:ascii="Times New Roman" w:eastAsia="宋体" w:hAnsi="Times New Roman"/>
          <w:sz w:val="24"/>
          <w:szCs w:val="24"/>
        </w:rPr>
        <w:t xml:space="preserve">, and </w:t>
      </w:r>
      <w:r>
        <w:rPr>
          <w:rFonts w:ascii="Times New Roman" w:eastAsia="宋体" w:hAnsi="Times New Roman" w:hint="eastAsia"/>
          <w:sz w:val="24"/>
          <w:szCs w:val="24"/>
        </w:rPr>
        <w:t>cinematic</w:t>
      </w:r>
      <w:r>
        <w:rPr>
          <w:rFonts w:ascii="Times New Roman" w:eastAsia="宋体" w:hAnsi="Times New Roman"/>
          <w:sz w:val="24"/>
          <w:szCs w:val="24"/>
        </w:rPr>
        <w:t xml:space="preserve"> data for joint training. The training process of M-PRTM is illustrated in Fig. 2(c), where the test loss and accuracy curves are plotted against epochs. </w:t>
      </w:r>
      <w:r>
        <w:rPr>
          <w:rFonts w:ascii="Times New Roman" w:eastAsia="宋体" w:hAnsi="Times New Roman" w:hint="eastAsia"/>
          <w:sz w:val="24"/>
          <w:szCs w:val="24"/>
        </w:rPr>
        <w:t>The results show that M-PRTM converges rapidly, with the test loss gradually decreasing and test accuracy steadily increasing, which demonstrates its effectiveness in processing multimodal data.</w:t>
      </w:r>
      <w:r>
        <w:rPr>
          <w:rFonts w:ascii="Times New Roman" w:eastAsia="宋体" w:hAnsi="Times New Roman"/>
          <w:sz w:val="24"/>
          <w:szCs w:val="24"/>
        </w:rPr>
        <w:t xml:space="preserve"> The detailed algorithm flowchart for M-PRTM can be found in Fig. 4.</w:t>
      </w:r>
      <w:r>
        <w:rPr>
          <w:rFonts w:hint="eastAsia"/>
          <w:sz w:val="24"/>
          <w:szCs w:val="24"/>
        </w:rPr>
        <w:t xml:space="preserve"> </w:t>
      </w:r>
      <w:r>
        <w:rPr>
          <w:rFonts w:ascii="Times New Roman" w:eastAsia="宋体" w:hAnsi="Times New Roman" w:hint="eastAsia"/>
          <w:sz w:val="24"/>
          <w:szCs w:val="24"/>
        </w:rPr>
        <w:t xml:space="preserve">To further validate the predictive capabilities of M-PRTM, we present examples of predictions for key clinical outcomes, including mortality, causes of death, days to rehospitalization, and MACCES-related events, as shown in Fig. 2(d). The results </w:t>
      </w:r>
      <w:r>
        <w:rPr>
          <w:rFonts w:ascii="Times New Roman" w:eastAsia="宋体" w:hAnsi="Times New Roman"/>
          <w:sz w:val="24"/>
          <w:szCs w:val="24"/>
        </w:rPr>
        <w:t>reveal</w:t>
      </w:r>
      <w:r>
        <w:rPr>
          <w:rFonts w:ascii="Times New Roman" w:eastAsia="宋体" w:hAnsi="Times New Roman" w:hint="eastAsia"/>
          <w:sz w:val="24"/>
          <w:szCs w:val="24"/>
        </w:rPr>
        <w:t xml:space="preserve"> strong alignment between predicted values and ground truth, highlighting the model</w:t>
      </w:r>
      <w:r>
        <w:rPr>
          <w:rFonts w:ascii="Times New Roman" w:eastAsia="宋体" w:hAnsi="Times New Roman"/>
          <w:sz w:val="24"/>
          <w:szCs w:val="24"/>
        </w:rPr>
        <w:t>’</w:t>
      </w:r>
      <w:r>
        <w:rPr>
          <w:rFonts w:ascii="Times New Roman" w:eastAsia="宋体" w:hAnsi="Times New Roman" w:hint="eastAsia"/>
          <w:sz w:val="24"/>
          <w:szCs w:val="24"/>
        </w:rPr>
        <w:t>s ability to handle incomplete recovery data and accurately predict patient outcomes. Furthermore, M-PRTM provides early recommendations for days to rehospitalization or follow-up visits, helping to prevent unnecessary mortality caused by deteriorating conditions during recovery.</w:t>
      </w:r>
      <w:r>
        <w:rPr>
          <w:sz w:val="24"/>
          <w:szCs w:val="24"/>
        </w:rPr>
        <w:t xml:space="preserve"> </w:t>
      </w:r>
      <w:r>
        <w:rPr>
          <w:rFonts w:ascii="Times New Roman" w:eastAsia="宋体" w:hAnsi="Times New Roman"/>
          <w:sz w:val="24"/>
          <w:szCs w:val="24"/>
        </w:rPr>
        <w:t xml:space="preserve">Fig. 2(e) highlights the unique functionality of M-PRTM in dynamically assessing patient risk and predicting recovery prognosis. By integrating multimodal data, the model evaluates patient risk at different stages and forecasts critical events. For instance, during the treatment phase, the model identifies the recovery time point for heart failure (green low-risk region). As the patient transitions to the follow-up stage post-discharge, potential risks such as declining ejection fraction (blue medium-risk region) begin to emerge. The model further predicts high-risk events, such as heart failure deterioration (orange high-risk region), and intelligently infers risk trends during data-absent follow-up windows based on historical data. This mechanism, depicted in Fig. 2(e), demonstrates the capability of M-PRTM to support personalized follow-up strategies. It provides tailored recommendations for re-evaluation and follow-up visits, reducing unnecessary medical burdens for low-risk patients while optimizing resources </w:t>
      </w:r>
      <w:r>
        <w:rPr>
          <w:rFonts w:ascii="Times New Roman" w:eastAsia="宋体" w:hAnsi="Times New Roman"/>
          <w:sz w:val="24"/>
          <w:szCs w:val="24"/>
        </w:rPr>
        <w:lastRenderedPageBreak/>
        <w:t>and offering scientific guidance for precise interventions.</w:t>
      </w:r>
    </w:p>
    <w:p w14:paraId="2437DD1D" w14:textId="77777777" w:rsidR="007E5164" w:rsidRDefault="00000000">
      <w:pPr>
        <w:pStyle w:val="1"/>
        <w:ind w:firstLineChars="0" w:firstLine="0"/>
        <w:rPr>
          <w:rFonts w:ascii="Times New Roman" w:hAnsi="Times New Roman"/>
          <w:b/>
          <w:bCs/>
          <w:sz w:val="28"/>
          <w:szCs w:val="28"/>
        </w:rPr>
      </w:pPr>
      <w:r>
        <w:rPr>
          <w:rFonts w:ascii="Times New Roman" w:hAnsi="Times New Roman"/>
          <w:b/>
          <w:bCs/>
          <w:sz w:val="28"/>
          <w:szCs w:val="28"/>
        </w:rPr>
        <w:t>Model evaluation and analysis</w:t>
      </w:r>
    </w:p>
    <w:p w14:paraId="0E2A5623" w14:textId="77777777" w:rsidR="007E5164" w:rsidRDefault="00000000">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In this section, we evaluate the performance of the proposed model under different modality combinations and analyze the impact of attention allocation strategies.</w:t>
      </w:r>
      <w:r>
        <w:rPr>
          <w:rFonts w:ascii="Times New Roman" w:eastAsia="宋体" w:hAnsi="Times New Roman"/>
          <w:sz w:val="24"/>
          <w:szCs w:val="24"/>
        </w:rPr>
        <w:t xml:space="preserve"> When integrating textual, cinematic, and numerical modalities, the model achieves a maximum accuracy of 96.5%, indicating that combining multimodal data significantly enhances predictive performance. When using only two modalities, the combination of textual and cinematic modalities achieves an accuracy of 94.0%, outperforming the combinations of textual and numerical modalities (92.5%) and cinematic and numerical modalities (86.5%), as shown in Fig. 3(a). This highlights the critical role of the textual modality, as it contains prescription information from physicians, which is pivotal for subsequent predictions.</w:t>
      </w:r>
    </w:p>
    <w:p w14:paraId="093743D3" w14:textId="77777777" w:rsidR="007E5164" w:rsidRDefault="00000000">
      <w:pPr>
        <w:spacing w:line="360" w:lineRule="auto"/>
        <w:ind w:firstLineChars="200" w:firstLine="480"/>
        <w:rPr>
          <w:rFonts w:ascii="Times New Roman" w:eastAsia="宋体" w:hAnsi="Times New Roman"/>
          <w:sz w:val="24"/>
          <w:szCs w:val="24"/>
        </w:rPr>
      </w:pPr>
      <w:r>
        <w:rPr>
          <w:rFonts w:ascii="Times New Roman" w:eastAsia="宋体" w:hAnsi="Times New Roman"/>
          <w:sz w:val="24"/>
          <w:szCs w:val="24"/>
        </w:rPr>
        <w:t xml:space="preserve">We further investigate the impact of different attention allocation strategies on model performance, as depicted in Fig. 3(b). The Self-Reasoning Attention mechanism delivers the highest accuracy of 96.5%, demonstrating its effectiveness in balancing the contributions of each modality to the predictions. </w:t>
      </w:r>
      <w:r>
        <w:rPr>
          <w:rFonts w:ascii="Times New Roman" w:eastAsia="宋体" w:hAnsi="Times New Roman" w:hint="eastAsia"/>
          <w:sz w:val="24"/>
          <w:szCs w:val="24"/>
        </w:rPr>
        <w:t>Under fixed weight allocation strategies, the model achieves an accuracy of 91.7% when assigning 50% weight to the textual modality, 25% to the cinematic modality, and 25% to the numerical modality.</w:t>
      </w:r>
      <w:r>
        <w:rPr>
          <w:rFonts w:ascii="Times New Roman" w:eastAsia="宋体" w:hAnsi="Times New Roman"/>
          <w:sz w:val="24"/>
          <w:szCs w:val="24"/>
        </w:rPr>
        <w:t xml:space="preserve"> In contrast, assigning 25% weight to the textual modality, 50% to the cinematic modality, and 25% to the numerical modality results in a lower accuracy of 87.7%. Assigning 50% weight to the numerical modality produces the lowest accuracy, at only 84.8%. These results demonstrate that adaptive attention allocation strategies optimize the synergy among modalities and fully leverage the strengths of different data types.</w:t>
      </w:r>
    </w:p>
    <w:p w14:paraId="2831B797" w14:textId="77777777" w:rsidR="007E5164" w:rsidRDefault="00000000">
      <w:pPr>
        <w:jc w:val="center"/>
        <w:rPr>
          <w:rFonts w:ascii="Times New Roman" w:hAnsi="Times New Roman"/>
          <w:b/>
          <w:bCs/>
          <w:caps/>
        </w:rPr>
      </w:pPr>
      <w:r>
        <w:rPr>
          <w:rFonts w:ascii="Times New Roman" w:hAnsi="Times New Roman"/>
          <w:b/>
          <w:bCs/>
          <w:caps/>
        </w:rPr>
        <w:t>Table 1 Performance of Modal Combinations and Attention Allocation Strategies</w:t>
      </w:r>
    </w:p>
    <w:tbl>
      <w:tblPr>
        <w:tblStyle w:val="a3"/>
        <w:tblpPr w:leftFromText="180" w:rightFromText="180" w:vertAnchor="text" w:horzAnchor="margin" w:tblpXSpec="center" w:tblpY="142"/>
        <w:tblW w:w="0" w:type="auto"/>
        <w:tblLook w:val="04A0" w:firstRow="1" w:lastRow="0" w:firstColumn="1" w:lastColumn="0" w:noHBand="0" w:noVBand="1"/>
      </w:tblPr>
      <w:tblGrid>
        <w:gridCol w:w="3039"/>
        <w:gridCol w:w="765"/>
        <w:gridCol w:w="222"/>
        <w:gridCol w:w="3110"/>
        <w:gridCol w:w="765"/>
      </w:tblGrid>
      <w:tr w:rsidR="007E5164" w14:paraId="66E13A47" w14:textId="77777777">
        <w:tc>
          <w:tcPr>
            <w:tcW w:w="0" w:type="auto"/>
          </w:tcPr>
          <w:p w14:paraId="165CEFB4" w14:textId="77777777" w:rsidR="007E5164" w:rsidRDefault="00000000">
            <w:pPr>
              <w:tabs>
                <w:tab w:val="left" w:pos="720"/>
              </w:tabs>
              <w:rPr>
                <w:rFonts w:ascii="Times New Roman" w:hAnsi="Times New Roman"/>
                <w:b/>
                <w:bCs/>
              </w:rPr>
            </w:pPr>
            <w:r>
              <w:rPr>
                <w:rFonts w:ascii="Times New Roman" w:hAnsi="Times New Roman"/>
                <w:b/>
                <w:bCs/>
              </w:rPr>
              <w:t>Modal combination</w:t>
            </w:r>
          </w:p>
        </w:tc>
        <w:tc>
          <w:tcPr>
            <w:tcW w:w="0" w:type="auto"/>
          </w:tcPr>
          <w:p w14:paraId="066489B0" w14:textId="77777777" w:rsidR="007E5164" w:rsidRDefault="00000000">
            <w:pPr>
              <w:tabs>
                <w:tab w:val="left" w:pos="720"/>
              </w:tabs>
              <w:rPr>
                <w:rFonts w:ascii="Times New Roman" w:hAnsi="Times New Roman"/>
                <w:b/>
                <w:bCs/>
              </w:rPr>
            </w:pPr>
            <w:r>
              <w:rPr>
                <w:rFonts w:ascii="Times New Roman" w:hAnsi="Times New Roman"/>
                <w:b/>
                <w:bCs/>
              </w:rPr>
              <w:t>Acc%</w:t>
            </w:r>
          </w:p>
        </w:tc>
        <w:tc>
          <w:tcPr>
            <w:tcW w:w="0" w:type="auto"/>
          </w:tcPr>
          <w:p w14:paraId="5A02C861" w14:textId="77777777" w:rsidR="007E5164" w:rsidRDefault="007E5164">
            <w:pPr>
              <w:tabs>
                <w:tab w:val="left" w:pos="720"/>
              </w:tabs>
              <w:rPr>
                <w:rFonts w:ascii="Times New Roman" w:hAnsi="Times New Roman"/>
                <w:b/>
                <w:bCs/>
              </w:rPr>
            </w:pPr>
          </w:p>
        </w:tc>
        <w:tc>
          <w:tcPr>
            <w:tcW w:w="0" w:type="auto"/>
          </w:tcPr>
          <w:p w14:paraId="37CE07DB" w14:textId="77777777" w:rsidR="007E5164" w:rsidRDefault="00000000">
            <w:pPr>
              <w:tabs>
                <w:tab w:val="left" w:pos="720"/>
              </w:tabs>
              <w:rPr>
                <w:rFonts w:ascii="Times New Roman" w:hAnsi="Times New Roman"/>
                <w:b/>
                <w:bCs/>
              </w:rPr>
            </w:pPr>
            <w:r>
              <w:rPr>
                <w:rFonts w:ascii="Times New Roman" w:hAnsi="Times New Roman"/>
                <w:b/>
                <w:bCs/>
              </w:rPr>
              <w:t>Attention allocation</w:t>
            </w:r>
          </w:p>
        </w:tc>
        <w:tc>
          <w:tcPr>
            <w:tcW w:w="0" w:type="auto"/>
          </w:tcPr>
          <w:p w14:paraId="7610357F" w14:textId="77777777" w:rsidR="007E5164" w:rsidRDefault="00000000">
            <w:pPr>
              <w:tabs>
                <w:tab w:val="left" w:pos="720"/>
              </w:tabs>
              <w:rPr>
                <w:rFonts w:ascii="Times New Roman" w:hAnsi="Times New Roman"/>
                <w:b/>
                <w:bCs/>
              </w:rPr>
            </w:pPr>
            <w:r>
              <w:rPr>
                <w:rFonts w:ascii="Times New Roman" w:hAnsi="Times New Roman"/>
                <w:b/>
                <w:bCs/>
              </w:rPr>
              <w:t>Acc%</w:t>
            </w:r>
          </w:p>
        </w:tc>
      </w:tr>
      <w:tr w:rsidR="007E5164" w14:paraId="1F1E8883" w14:textId="77777777">
        <w:tc>
          <w:tcPr>
            <w:tcW w:w="0" w:type="auto"/>
          </w:tcPr>
          <w:p w14:paraId="69859A6B" w14:textId="77777777" w:rsidR="007E5164" w:rsidRDefault="00000000">
            <w:pPr>
              <w:tabs>
                <w:tab w:val="left" w:pos="720"/>
              </w:tabs>
              <w:jc w:val="left"/>
              <w:rPr>
                <w:rFonts w:ascii="Times New Roman" w:hAnsi="Times New Roman"/>
              </w:rPr>
            </w:pPr>
            <w:r>
              <w:rPr>
                <w:rFonts w:ascii="Times New Roman" w:hAnsi="Times New Roman"/>
              </w:rPr>
              <w:t>Textual + Cinematic + Numerical</w:t>
            </w:r>
          </w:p>
        </w:tc>
        <w:tc>
          <w:tcPr>
            <w:tcW w:w="0" w:type="auto"/>
          </w:tcPr>
          <w:p w14:paraId="4581F8E7" w14:textId="77777777" w:rsidR="007E5164" w:rsidRDefault="00000000">
            <w:pPr>
              <w:tabs>
                <w:tab w:val="left" w:pos="720"/>
              </w:tabs>
              <w:rPr>
                <w:rFonts w:ascii="Times New Roman" w:hAnsi="Times New Roman"/>
              </w:rPr>
            </w:pPr>
            <w:r>
              <w:rPr>
                <w:rFonts w:ascii="Times New Roman" w:hAnsi="Times New Roman"/>
              </w:rPr>
              <w:t>96.5</w:t>
            </w:r>
          </w:p>
        </w:tc>
        <w:tc>
          <w:tcPr>
            <w:tcW w:w="0" w:type="auto"/>
          </w:tcPr>
          <w:p w14:paraId="26367D54" w14:textId="77777777" w:rsidR="007E5164" w:rsidRDefault="007E5164">
            <w:pPr>
              <w:tabs>
                <w:tab w:val="left" w:pos="720"/>
              </w:tabs>
              <w:rPr>
                <w:rFonts w:ascii="Times New Roman" w:hAnsi="Times New Roman"/>
              </w:rPr>
            </w:pPr>
          </w:p>
        </w:tc>
        <w:tc>
          <w:tcPr>
            <w:tcW w:w="0" w:type="auto"/>
          </w:tcPr>
          <w:p w14:paraId="1372B6F7" w14:textId="77777777" w:rsidR="007E5164" w:rsidRDefault="00000000">
            <w:pPr>
              <w:tabs>
                <w:tab w:val="left" w:pos="720"/>
              </w:tabs>
              <w:rPr>
                <w:rFonts w:ascii="Times New Roman" w:hAnsi="Times New Roman"/>
              </w:rPr>
            </w:pPr>
            <w:proofErr w:type="spellStart"/>
            <w:r>
              <w:rPr>
                <w:rFonts w:ascii="Times New Roman" w:hAnsi="Times New Roman"/>
              </w:rPr>
              <w:t>Self Reasoning</w:t>
            </w:r>
            <w:proofErr w:type="spellEnd"/>
            <w:r>
              <w:rPr>
                <w:rFonts w:ascii="Times New Roman" w:hAnsi="Times New Roman"/>
              </w:rPr>
              <w:t xml:space="preserve"> Attention</w:t>
            </w:r>
          </w:p>
        </w:tc>
        <w:tc>
          <w:tcPr>
            <w:tcW w:w="0" w:type="auto"/>
          </w:tcPr>
          <w:p w14:paraId="32E1E518" w14:textId="77777777" w:rsidR="007E5164" w:rsidRDefault="00000000">
            <w:pPr>
              <w:tabs>
                <w:tab w:val="left" w:pos="720"/>
              </w:tabs>
              <w:rPr>
                <w:rFonts w:ascii="Times New Roman" w:hAnsi="Times New Roman"/>
              </w:rPr>
            </w:pPr>
            <w:r>
              <w:rPr>
                <w:rFonts w:ascii="Times New Roman" w:hAnsi="Times New Roman"/>
              </w:rPr>
              <w:t>96.5</w:t>
            </w:r>
          </w:p>
        </w:tc>
      </w:tr>
      <w:tr w:rsidR="007E5164" w14:paraId="77BD3973" w14:textId="77777777">
        <w:tc>
          <w:tcPr>
            <w:tcW w:w="0" w:type="auto"/>
          </w:tcPr>
          <w:p w14:paraId="7167C54E" w14:textId="77777777" w:rsidR="007E5164" w:rsidRDefault="00000000">
            <w:pPr>
              <w:tabs>
                <w:tab w:val="left" w:pos="720"/>
              </w:tabs>
              <w:jc w:val="left"/>
              <w:rPr>
                <w:rFonts w:ascii="Times New Roman" w:hAnsi="Times New Roman"/>
              </w:rPr>
            </w:pPr>
            <w:r>
              <w:rPr>
                <w:rFonts w:ascii="Times New Roman" w:hAnsi="Times New Roman"/>
              </w:rPr>
              <w:t>Textual + Cinematic</w:t>
            </w:r>
          </w:p>
        </w:tc>
        <w:tc>
          <w:tcPr>
            <w:tcW w:w="0" w:type="auto"/>
          </w:tcPr>
          <w:p w14:paraId="3509389F" w14:textId="77777777" w:rsidR="007E5164" w:rsidRDefault="00000000">
            <w:pPr>
              <w:tabs>
                <w:tab w:val="left" w:pos="720"/>
              </w:tabs>
              <w:rPr>
                <w:rFonts w:ascii="Times New Roman" w:hAnsi="Times New Roman"/>
              </w:rPr>
            </w:pPr>
            <w:r>
              <w:rPr>
                <w:rFonts w:ascii="Times New Roman" w:hAnsi="Times New Roman"/>
              </w:rPr>
              <w:t>94.0</w:t>
            </w:r>
          </w:p>
        </w:tc>
        <w:tc>
          <w:tcPr>
            <w:tcW w:w="0" w:type="auto"/>
          </w:tcPr>
          <w:p w14:paraId="3DCE0C32" w14:textId="77777777" w:rsidR="007E5164" w:rsidRDefault="007E5164">
            <w:pPr>
              <w:tabs>
                <w:tab w:val="left" w:pos="720"/>
              </w:tabs>
              <w:rPr>
                <w:rFonts w:ascii="Times New Roman" w:hAnsi="Times New Roman"/>
              </w:rPr>
            </w:pPr>
          </w:p>
        </w:tc>
        <w:tc>
          <w:tcPr>
            <w:tcW w:w="0" w:type="auto"/>
          </w:tcPr>
          <w:p w14:paraId="24B6AB3D" w14:textId="77777777" w:rsidR="007E5164" w:rsidRDefault="00000000">
            <w:pPr>
              <w:tabs>
                <w:tab w:val="left" w:pos="720"/>
              </w:tabs>
              <w:rPr>
                <w:rFonts w:ascii="Times New Roman" w:hAnsi="Times New Roman"/>
              </w:rPr>
            </w:pPr>
            <w:r>
              <w:rPr>
                <w:rFonts w:ascii="Times New Roman" w:hAnsi="Times New Roman"/>
              </w:rPr>
              <w:t>Text 50% + Cine 25% +Num 25%</w:t>
            </w:r>
          </w:p>
        </w:tc>
        <w:tc>
          <w:tcPr>
            <w:tcW w:w="0" w:type="auto"/>
          </w:tcPr>
          <w:p w14:paraId="0ED40B2B" w14:textId="77777777" w:rsidR="007E5164" w:rsidRDefault="00000000">
            <w:pPr>
              <w:tabs>
                <w:tab w:val="left" w:pos="720"/>
              </w:tabs>
              <w:rPr>
                <w:rFonts w:ascii="Times New Roman" w:hAnsi="Times New Roman"/>
              </w:rPr>
            </w:pPr>
            <w:r>
              <w:rPr>
                <w:rFonts w:ascii="Times New Roman" w:hAnsi="Times New Roman"/>
              </w:rPr>
              <w:t>91.7</w:t>
            </w:r>
          </w:p>
        </w:tc>
      </w:tr>
      <w:tr w:rsidR="007E5164" w14:paraId="4457A214" w14:textId="77777777">
        <w:tc>
          <w:tcPr>
            <w:tcW w:w="0" w:type="auto"/>
          </w:tcPr>
          <w:p w14:paraId="3151DFE6" w14:textId="77777777" w:rsidR="007E5164" w:rsidRDefault="00000000">
            <w:pPr>
              <w:tabs>
                <w:tab w:val="left" w:pos="720"/>
              </w:tabs>
              <w:jc w:val="left"/>
              <w:rPr>
                <w:rFonts w:ascii="Times New Roman" w:hAnsi="Times New Roman"/>
              </w:rPr>
            </w:pPr>
            <w:r>
              <w:rPr>
                <w:rFonts w:ascii="Times New Roman" w:hAnsi="Times New Roman"/>
              </w:rPr>
              <w:t>Textual + Numerical</w:t>
            </w:r>
          </w:p>
        </w:tc>
        <w:tc>
          <w:tcPr>
            <w:tcW w:w="0" w:type="auto"/>
          </w:tcPr>
          <w:p w14:paraId="2D073C6B" w14:textId="77777777" w:rsidR="007E5164" w:rsidRDefault="00000000">
            <w:pPr>
              <w:tabs>
                <w:tab w:val="left" w:pos="720"/>
              </w:tabs>
              <w:rPr>
                <w:rFonts w:ascii="Times New Roman" w:hAnsi="Times New Roman"/>
              </w:rPr>
            </w:pPr>
            <w:r>
              <w:rPr>
                <w:rFonts w:ascii="Times New Roman" w:hAnsi="Times New Roman"/>
              </w:rPr>
              <w:t>92.5</w:t>
            </w:r>
          </w:p>
        </w:tc>
        <w:tc>
          <w:tcPr>
            <w:tcW w:w="0" w:type="auto"/>
          </w:tcPr>
          <w:p w14:paraId="09A5A1C0" w14:textId="77777777" w:rsidR="007E5164" w:rsidRDefault="007E5164">
            <w:pPr>
              <w:tabs>
                <w:tab w:val="left" w:pos="720"/>
              </w:tabs>
              <w:rPr>
                <w:rFonts w:ascii="Times New Roman" w:hAnsi="Times New Roman"/>
              </w:rPr>
            </w:pPr>
          </w:p>
        </w:tc>
        <w:tc>
          <w:tcPr>
            <w:tcW w:w="0" w:type="auto"/>
          </w:tcPr>
          <w:p w14:paraId="323B042A" w14:textId="77777777" w:rsidR="007E5164" w:rsidRDefault="00000000">
            <w:pPr>
              <w:tabs>
                <w:tab w:val="left" w:pos="720"/>
              </w:tabs>
              <w:rPr>
                <w:rFonts w:ascii="Times New Roman" w:hAnsi="Times New Roman"/>
              </w:rPr>
            </w:pPr>
            <w:r>
              <w:rPr>
                <w:rFonts w:ascii="Times New Roman" w:hAnsi="Times New Roman"/>
              </w:rPr>
              <w:t>Text 25% + Cine 50% +Num 25%</w:t>
            </w:r>
          </w:p>
        </w:tc>
        <w:tc>
          <w:tcPr>
            <w:tcW w:w="0" w:type="auto"/>
          </w:tcPr>
          <w:p w14:paraId="1D1B88B1" w14:textId="77777777" w:rsidR="007E5164" w:rsidRDefault="00000000">
            <w:pPr>
              <w:tabs>
                <w:tab w:val="left" w:pos="720"/>
              </w:tabs>
              <w:rPr>
                <w:rFonts w:ascii="Times New Roman" w:hAnsi="Times New Roman"/>
              </w:rPr>
            </w:pPr>
            <w:r>
              <w:rPr>
                <w:rFonts w:ascii="Times New Roman" w:hAnsi="Times New Roman"/>
              </w:rPr>
              <w:t>87.7</w:t>
            </w:r>
          </w:p>
        </w:tc>
      </w:tr>
      <w:tr w:rsidR="007E5164" w14:paraId="1D8DA1B7" w14:textId="77777777">
        <w:tc>
          <w:tcPr>
            <w:tcW w:w="0" w:type="auto"/>
          </w:tcPr>
          <w:p w14:paraId="70F1A072" w14:textId="77777777" w:rsidR="007E5164" w:rsidRDefault="00000000">
            <w:pPr>
              <w:tabs>
                <w:tab w:val="left" w:pos="720"/>
              </w:tabs>
              <w:jc w:val="left"/>
              <w:rPr>
                <w:rFonts w:ascii="Times New Roman" w:hAnsi="Times New Roman"/>
              </w:rPr>
            </w:pPr>
            <w:r>
              <w:rPr>
                <w:rFonts w:ascii="Times New Roman" w:hAnsi="Times New Roman"/>
              </w:rPr>
              <w:t>Cinematic + Numerical</w:t>
            </w:r>
          </w:p>
        </w:tc>
        <w:tc>
          <w:tcPr>
            <w:tcW w:w="0" w:type="auto"/>
          </w:tcPr>
          <w:p w14:paraId="00A524B0" w14:textId="77777777" w:rsidR="007E5164" w:rsidRDefault="00000000">
            <w:pPr>
              <w:tabs>
                <w:tab w:val="left" w:pos="720"/>
              </w:tabs>
              <w:rPr>
                <w:rFonts w:ascii="Times New Roman" w:hAnsi="Times New Roman"/>
              </w:rPr>
            </w:pPr>
            <w:r>
              <w:rPr>
                <w:rFonts w:ascii="Times New Roman" w:hAnsi="Times New Roman"/>
              </w:rPr>
              <w:t>86.5</w:t>
            </w:r>
          </w:p>
        </w:tc>
        <w:tc>
          <w:tcPr>
            <w:tcW w:w="0" w:type="auto"/>
          </w:tcPr>
          <w:p w14:paraId="5A7D1D5F" w14:textId="77777777" w:rsidR="007E5164" w:rsidRDefault="007E5164">
            <w:pPr>
              <w:tabs>
                <w:tab w:val="left" w:pos="720"/>
              </w:tabs>
              <w:rPr>
                <w:rFonts w:ascii="Times New Roman" w:hAnsi="Times New Roman"/>
              </w:rPr>
            </w:pPr>
          </w:p>
        </w:tc>
        <w:tc>
          <w:tcPr>
            <w:tcW w:w="0" w:type="auto"/>
          </w:tcPr>
          <w:p w14:paraId="0CDCB084" w14:textId="77777777" w:rsidR="007E5164" w:rsidRDefault="00000000">
            <w:pPr>
              <w:tabs>
                <w:tab w:val="left" w:pos="720"/>
              </w:tabs>
              <w:rPr>
                <w:rFonts w:ascii="Times New Roman" w:hAnsi="Times New Roman"/>
              </w:rPr>
            </w:pPr>
            <w:r>
              <w:rPr>
                <w:rFonts w:ascii="Times New Roman" w:hAnsi="Times New Roman"/>
              </w:rPr>
              <w:t>Text 25% + Cine 25% +Num 50%</w:t>
            </w:r>
          </w:p>
        </w:tc>
        <w:tc>
          <w:tcPr>
            <w:tcW w:w="0" w:type="auto"/>
          </w:tcPr>
          <w:p w14:paraId="096C5F38" w14:textId="77777777" w:rsidR="007E5164" w:rsidRDefault="00000000">
            <w:pPr>
              <w:tabs>
                <w:tab w:val="left" w:pos="720"/>
              </w:tabs>
              <w:rPr>
                <w:rFonts w:ascii="Times New Roman" w:hAnsi="Times New Roman"/>
              </w:rPr>
            </w:pPr>
            <w:r>
              <w:rPr>
                <w:rFonts w:ascii="Times New Roman" w:hAnsi="Times New Roman"/>
              </w:rPr>
              <w:t>84.8</w:t>
            </w:r>
          </w:p>
        </w:tc>
      </w:tr>
    </w:tbl>
    <w:p w14:paraId="5D81B010" w14:textId="77777777" w:rsidR="007E5164" w:rsidRDefault="00000000">
      <w:pPr>
        <w:rPr>
          <w:rFonts w:ascii="Times New Roman" w:hAnsi="Times New Roman"/>
        </w:rPr>
      </w:pPr>
      <w:r>
        <w:rPr>
          <w:rFonts w:ascii="Times New Roman" w:hAnsi="Times New Roman"/>
          <w:noProof/>
        </w:rPr>
        <w:lastRenderedPageBreak/>
        <w:drawing>
          <wp:inline distT="0" distB="0" distL="0" distR="0" wp14:anchorId="701EC50D" wp14:editId="677A83D9">
            <wp:extent cx="2600325" cy="2316480"/>
            <wp:effectExtent l="0" t="0" r="9525" b="7620"/>
            <wp:docPr id="3118643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64395" name="图片 3"/>
                    <pic:cNvPicPr>
                      <a:picLocks noChangeAspect="1" noChangeArrowheads="1"/>
                    </pic:cNvPicPr>
                  </pic:nvPicPr>
                  <pic:blipFill>
                    <a:blip r:embed="rId6">
                      <a:extLst>
                        <a:ext uri="{28A0092B-C50C-407E-A947-70E740481C1C}">
                          <a14:useLocalDpi xmlns:a14="http://schemas.microsoft.com/office/drawing/2010/main" val="0"/>
                        </a:ext>
                      </a:extLst>
                    </a:blip>
                    <a:srcRect r="3264"/>
                    <a:stretch>
                      <a:fillRect/>
                    </a:stretch>
                  </pic:blipFill>
                  <pic:spPr>
                    <a:xfrm>
                      <a:off x="0" y="0"/>
                      <a:ext cx="2623569" cy="2336911"/>
                    </a:xfrm>
                    <a:prstGeom prst="rect">
                      <a:avLst/>
                    </a:prstGeom>
                    <a:noFill/>
                    <a:ln>
                      <a:noFill/>
                    </a:ln>
                  </pic:spPr>
                </pic:pic>
              </a:graphicData>
            </a:graphic>
          </wp:inline>
        </w:drawing>
      </w:r>
      <w:r>
        <w:rPr>
          <w:rFonts w:ascii="Times New Roman" w:hAnsi="Times New Roman"/>
          <w:noProof/>
        </w:rPr>
        <w:drawing>
          <wp:inline distT="0" distB="0" distL="0" distR="0" wp14:anchorId="62210D0C" wp14:editId="28FE70CF">
            <wp:extent cx="2600325" cy="2322195"/>
            <wp:effectExtent l="0" t="0" r="9525" b="1905"/>
            <wp:docPr id="14290365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36534" name="图片 4"/>
                    <pic:cNvPicPr>
                      <a:picLocks noChangeAspect="1" noChangeArrowheads="1"/>
                    </pic:cNvPicPr>
                  </pic:nvPicPr>
                  <pic:blipFill>
                    <a:blip r:embed="rId7">
                      <a:extLst>
                        <a:ext uri="{28A0092B-C50C-407E-A947-70E740481C1C}">
                          <a14:useLocalDpi xmlns:a14="http://schemas.microsoft.com/office/drawing/2010/main" val="0"/>
                        </a:ext>
                      </a:extLst>
                    </a:blip>
                    <a:srcRect r="3663"/>
                    <a:stretch>
                      <a:fillRect/>
                    </a:stretch>
                  </pic:blipFill>
                  <pic:spPr>
                    <a:xfrm>
                      <a:off x="0" y="0"/>
                      <a:ext cx="2645735" cy="2362468"/>
                    </a:xfrm>
                    <a:prstGeom prst="rect">
                      <a:avLst/>
                    </a:prstGeom>
                    <a:noFill/>
                    <a:ln>
                      <a:noFill/>
                    </a:ln>
                  </pic:spPr>
                </pic:pic>
              </a:graphicData>
            </a:graphic>
          </wp:inline>
        </w:drawing>
      </w:r>
    </w:p>
    <w:p w14:paraId="534C33B2" w14:textId="77777777" w:rsidR="007E5164" w:rsidRDefault="00000000">
      <w:pPr>
        <w:rPr>
          <w:rFonts w:ascii="Times New Roman" w:hAnsi="Times New Roman"/>
        </w:rPr>
      </w:pPr>
      <w:r>
        <w:rPr>
          <w:rFonts w:ascii="Times New Roman" w:hAnsi="Times New Roman"/>
        </w:rPr>
        <w:t>Fig. 3. Model Performance with Attention Allocation and Modal Combinations</w:t>
      </w:r>
      <w:r>
        <w:rPr>
          <w:rFonts w:ascii="Times New Roman" w:hAnsi="Times New Roman"/>
          <w:b/>
          <w:bCs/>
        </w:rPr>
        <w:t>.</w:t>
      </w:r>
      <w:r>
        <w:rPr>
          <w:rFonts w:ascii="Times New Roman" w:hAnsi="Times New Roman"/>
        </w:rPr>
        <w:t xml:space="preserve"> (a) Accuracy comparison for different modal combinations. The combination of textual, cinematic, and numerical data achieves the highest accuracy, followed by textual and cinematic data. (b) Accuracy comparison under different attention allocation strategies. </w:t>
      </w:r>
      <w:proofErr w:type="spellStart"/>
      <w:r>
        <w:rPr>
          <w:rFonts w:ascii="Times New Roman" w:hAnsi="Times New Roman"/>
        </w:rPr>
        <w:t>Self Reasoning</w:t>
      </w:r>
      <w:proofErr w:type="spellEnd"/>
      <w:r>
        <w:rPr>
          <w:rFonts w:ascii="Times New Roman" w:hAnsi="Times New Roman"/>
        </w:rPr>
        <w:t xml:space="preserve"> Attention achieves the best performance, outperforming fixed weight allocations.</w:t>
      </w:r>
    </w:p>
    <w:p w14:paraId="2D68245C" w14:textId="77777777" w:rsidR="007E5164" w:rsidRDefault="007E5164">
      <w:pPr>
        <w:rPr>
          <w:rFonts w:ascii="Times New Roman" w:hAnsi="Times New Roman"/>
          <w:sz w:val="24"/>
          <w:szCs w:val="24"/>
        </w:rPr>
      </w:pPr>
    </w:p>
    <w:p w14:paraId="0F479818" w14:textId="77777777" w:rsidR="007E5164" w:rsidRDefault="00000000">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The analysis indicates that the textual data plays a dominant role in predictions, as it contains critical information such as phased prescription adjustments. In contrast, numerical data such as personal and basic metrics tends to diminish the importance of features like medical history. Consequently, its contribution to the model's attention allocation is relatively lower. Ultimately, our Self-Reasoning Attention mechanism allocates approximately 55% to textual data, 30% to cinematic data, and 15% to numerical data. These findings further highlight the significant variation in contributions among modalities, underscoring the necessity of dynamic allocation strategies to optimize balance and maximize model performance.</w:t>
      </w:r>
    </w:p>
    <w:p w14:paraId="48A28CD0" w14:textId="77777777" w:rsidR="007E5164" w:rsidRDefault="00000000">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Our research establishes a multimodal feature extraction and fusion framework. The proposed method integrates the characteristics of cinematic, textual, and numerical data, introducing targeted data processing workflows and model structures, as illustrated in Fig. 4</w:t>
      </w:r>
      <w:r>
        <w:rPr>
          <w:rFonts w:ascii="Times New Roman" w:eastAsia="宋体" w:hAnsi="Times New Roman" w:hint="eastAsia"/>
          <w:b/>
          <w:bCs/>
          <w:sz w:val="24"/>
          <w:szCs w:val="24"/>
        </w:rPr>
        <w:t>.</w:t>
      </w:r>
      <w:r>
        <w:rPr>
          <w:rFonts w:ascii="Times New Roman" w:eastAsia="宋体" w:hAnsi="Times New Roman" w:hint="eastAsia"/>
          <w:sz w:val="24"/>
          <w:szCs w:val="24"/>
        </w:rPr>
        <w:t xml:space="preserve"> The methodology includes three main stages: data collection, single-modal feature extraction (cinematic features, numerical features, and textual features), and multimodal feature fusion.</w:t>
      </w:r>
    </w:p>
    <w:p w14:paraId="1F00D4F7" w14:textId="77777777" w:rsidR="007E5164" w:rsidRDefault="00000000">
      <w:pPr>
        <w:rPr>
          <w:rFonts w:ascii="Times New Roman" w:hAnsi="Times New Roman"/>
          <w:b/>
          <w:bCs/>
          <w:sz w:val="32"/>
          <w:szCs w:val="36"/>
        </w:rPr>
      </w:pPr>
      <w:r>
        <w:rPr>
          <w:noProof/>
          <w14:ligatures w14:val="standardContextual"/>
        </w:rPr>
        <w:lastRenderedPageBreak/>
        <w:drawing>
          <wp:inline distT="0" distB="0" distL="0" distR="0" wp14:anchorId="443A7ACF" wp14:editId="1286273A">
            <wp:extent cx="5274310" cy="4529455"/>
            <wp:effectExtent l="0" t="0" r="2540" b="4445"/>
            <wp:docPr id="716046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46781" name="图片 1"/>
                    <pic:cNvPicPr>
                      <a:picLocks noChangeAspect="1"/>
                    </pic:cNvPicPr>
                  </pic:nvPicPr>
                  <pic:blipFill>
                    <a:blip r:embed="rId8"/>
                    <a:stretch>
                      <a:fillRect/>
                    </a:stretch>
                  </pic:blipFill>
                  <pic:spPr>
                    <a:xfrm>
                      <a:off x="0" y="0"/>
                      <a:ext cx="5274310" cy="4529455"/>
                    </a:xfrm>
                    <a:prstGeom prst="rect">
                      <a:avLst/>
                    </a:prstGeom>
                  </pic:spPr>
                </pic:pic>
              </a:graphicData>
            </a:graphic>
          </wp:inline>
        </w:drawing>
      </w:r>
    </w:p>
    <w:p w14:paraId="7DF6D38E" w14:textId="77777777" w:rsidR="007E5164" w:rsidRDefault="00000000">
      <w:pPr>
        <w:rPr>
          <w:rFonts w:ascii="Times New Roman" w:hAnsi="Times New Roman"/>
        </w:rPr>
      </w:pPr>
      <w:r>
        <w:rPr>
          <w:rFonts w:ascii="Times New Roman" w:hAnsi="Times New Roman"/>
        </w:rPr>
        <w:t>Fig. 4</w:t>
      </w:r>
      <w:r>
        <w:rPr>
          <w:rFonts w:ascii="Times New Roman" w:hAnsi="Times New Roman" w:hint="eastAsia"/>
        </w:rPr>
        <w:t>.</w:t>
      </w:r>
      <w:r>
        <w:rPr>
          <w:rFonts w:ascii="Times New Roman" w:hAnsi="Times New Roman"/>
        </w:rPr>
        <w:t xml:space="preserve"> Framework of Multimodal Feature Extraction and Fusion. The diagram illustrates the feature extraction process for cinematic, numerical, and textual data, followed by multimodal feature fusion. Cinematic features are extracted using the DAE-Former with dual attention and skip connections, numerical features are processed through fully connected layers, and textual features are encoded using BERT. The extracted features are fused through a fusion layer and residual blocks to predict prognosis outcomes such as events, risks, and follow-up days. </w:t>
      </w:r>
    </w:p>
    <w:p w14:paraId="011EE7E6" w14:textId="77777777" w:rsidR="007E5164" w:rsidRDefault="007E5164">
      <w:pPr>
        <w:rPr>
          <w:rFonts w:ascii="Times New Roman" w:hAnsi="Times New Roman"/>
          <w:sz w:val="24"/>
          <w:szCs w:val="24"/>
        </w:rPr>
      </w:pPr>
    </w:p>
    <w:p w14:paraId="19B31908" w14:textId="77777777" w:rsidR="007E5164" w:rsidRDefault="00000000">
      <w:pPr>
        <w:rPr>
          <w:rFonts w:ascii="Times New Roman" w:hAnsi="Times New Roman"/>
          <w:b/>
          <w:bCs/>
          <w:sz w:val="28"/>
          <w:szCs w:val="28"/>
        </w:rPr>
      </w:pPr>
      <w:r>
        <w:rPr>
          <w:rFonts w:ascii="Times New Roman" w:hAnsi="Times New Roman"/>
          <w:b/>
          <w:bCs/>
          <w:sz w:val="28"/>
          <w:szCs w:val="28"/>
        </w:rPr>
        <w:t>Data Collection and Preprocessing</w:t>
      </w:r>
    </w:p>
    <w:p w14:paraId="06D3FD69" w14:textId="77777777" w:rsidR="007E5164" w:rsidRDefault="00000000">
      <w:pPr>
        <w:spacing w:line="360" w:lineRule="auto"/>
        <w:ind w:firstLineChars="200" w:firstLine="480"/>
        <w:rPr>
          <w:rFonts w:ascii="Times New Roman" w:eastAsia="宋体" w:hAnsi="Times New Roman"/>
          <w:sz w:val="24"/>
          <w:szCs w:val="24"/>
        </w:rPr>
      </w:pPr>
      <w:r>
        <w:rPr>
          <w:rFonts w:ascii="Times New Roman" w:eastAsia="宋体" w:hAnsi="Times New Roman"/>
          <w:sz w:val="24"/>
          <w:szCs w:val="24"/>
        </w:rPr>
        <w:t xml:space="preserve">Our research focuses on heart failure prognosis prediction and myocardial fibrosis detection. It utilizes data from 136 and 688 patients, comprising CMR cinematic data and clinical information respectively. </w:t>
      </w:r>
      <w:r>
        <w:rPr>
          <w:rFonts w:ascii="Times New Roman" w:eastAsia="宋体" w:hAnsi="Times New Roman" w:hint="eastAsia"/>
          <w:sz w:val="24"/>
          <w:szCs w:val="24"/>
        </w:rPr>
        <w:t xml:space="preserve">The clinical data encompass demographic details and key clinical indicators, with baseline characteristics detailed in Table 2. We have also </w:t>
      </w:r>
      <w:r>
        <w:rPr>
          <w:rFonts w:ascii="Times New Roman" w:eastAsia="宋体" w:hAnsi="Times New Roman"/>
          <w:sz w:val="24"/>
          <w:szCs w:val="24"/>
        </w:rPr>
        <w:t xml:space="preserve">outlined </w:t>
      </w:r>
      <w:r>
        <w:rPr>
          <w:rFonts w:ascii="Times New Roman" w:eastAsia="宋体" w:hAnsi="Times New Roman" w:hint="eastAsia"/>
          <w:sz w:val="24"/>
          <w:szCs w:val="24"/>
        </w:rPr>
        <w:t>t</w:t>
      </w:r>
      <w:r>
        <w:rPr>
          <w:rFonts w:ascii="Times New Roman" w:eastAsia="宋体" w:hAnsi="Times New Roman"/>
          <w:sz w:val="24"/>
          <w:szCs w:val="24"/>
        </w:rPr>
        <w:t>he preprocessing methods for cinematic, textual, and numerical data</w:t>
      </w:r>
      <w:r>
        <w:rPr>
          <w:rFonts w:ascii="Times New Roman" w:eastAsia="宋体" w:hAnsi="Times New Roman" w:hint="eastAsia"/>
          <w:sz w:val="24"/>
          <w:szCs w:val="24"/>
        </w:rPr>
        <w:t>.</w:t>
      </w:r>
    </w:p>
    <w:p w14:paraId="0DAD5849" w14:textId="77777777" w:rsidR="007E5164" w:rsidRDefault="007E5164">
      <w:pPr>
        <w:rPr>
          <w:rFonts w:ascii="Times New Roman" w:eastAsia="宋体" w:hAnsi="Times New Roman"/>
          <w:sz w:val="24"/>
          <w:szCs w:val="24"/>
        </w:rPr>
      </w:pPr>
    </w:p>
    <w:p w14:paraId="4E20AE04" w14:textId="77777777" w:rsidR="007E5164" w:rsidRDefault="00000000">
      <w:pPr>
        <w:jc w:val="center"/>
        <w:rPr>
          <w:rFonts w:ascii="Times New Roman" w:hAnsi="Times New Roman"/>
          <w:b/>
          <w:bCs/>
          <w:caps/>
        </w:rPr>
      </w:pPr>
      <w:r>
        <w:rPr>
          <w:rFonts w:ascii="Times New Roman" w:hAnsi="Times New Roman" w:hint="eastAsia"/>
          <w:b/>
          <w:bCs/>
          <w:caps/>
        </w:rPr>
        <w:t>TABLE2 Baseline Characteristics and Key Clinical Indicators</w:t>
      </w:r>
    </w:p>
    <w:tbl>
      <w:tblPr>
        <w:tblStyle w:val="11"/>
        <w:tblW w:w="8409" w:type="dxa"/>
        <w:tblLayout w:type="fixed"/>
        <w:tblLook w:val="04A0" w:firstRow="1" w:lastRow="0" w:firstColumn="1" w:lastColumn="0" w:noHBand="0" w:noVBand="1"/>
        <w:tblCaption w:val="numeric"/>
      </w:tblPr>
      <w:tblGrid>
        <w:gridCol w:w="2451"/>
        <w:gridCol w:w="1489"/>
        <w:gridCol w:w="1490"/>
        <w:gridCol w:w="1489"/>
        <w:gridCol w:w="1490"/>
      </w:tblGrid>
      <w:tr w:rsidR="007E5164" w14:paraId="2F8B64FB" w14:textId="77777777" w:rsidTr="007E51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shd w:val="clear" w:color="auto" w:fill="A5A5A5"/>
            <w:vAlign w:val="center"/>
          </w:tcPr>
          <w:p w14:paraId="56C0A834" w14:textId="77777777" w:rsidR="007E5164" w:rsidRDefault="00000000">
            <w:pPr>
              <w:jc w:val="center"/>
              <w:rPr>
                <w:rFonts w:ascii="Times New Roman" w:hAnsi="Times New Roman"/>
              </w:rPr>
            </w:pPr>
            <w:r>
              <w:rPr>
                <w:rFonts w:ascii="Times New Roman" w:hAnsi="Times New Roman"/>
                <w:color w:val="000000"/>
              </w:rPr>
              <w:t>Column Name</w:t>
            </w:r>
          </w:p>
        </w:tc>
        <w:tc>
          <w:tcPr>
            <w:tcW w:w="1489" w:type="dxa"/>
            <w:shd w:val="clear" w:color="auto" w:fill="A5A5A5"/>
            <w:vAlign w:val="center"/>
          </w:tcPr>
          <w:p w14:paraId="3801C5D5" w14:textId="77777777" w:rsidR="007E5164"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000000"/>
              </w:rPr>
              <w:t>Mode Type</w:t>
            </w:r>
          </w:p>
        </w:tc>
        <w:tc>
          <w:tcPr>
            <w:tcW w:w="1490" w:type="dxa"/>
            <w:shd w:val="clear" w:color="auto" w:fill="A5A5A5"/>
            <w:vAlign w:val="center"/>
          </w:tcPr>
          <w:p w14:paraId="370F4848" w14:textId="77777777" w:rsidR="007E5164"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000000"/>
              </w:rPr>
              <w:t>Mean</w:t>
            </w:r>
          </w:p>
        </w:tc>
        <w:tc>
          <w:tcPr>
            <w:tcW w:w="1489" w:type="dxa"/>
            <w:shd w:val="clear" w:color="auto" w:fill="A5A5A5"/>
            <w:vAlign w:val="center"/>
          </w:tcPr>
          <w:p w14:paraId="6054CC12" w14:textId="77777777" w:rsidR="007E5164"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000000"/>
              </w:rPr>
              <w:t>Standard Deviation</w:t>
            </w:r>
          </w:p>
        </w:tc>
        <w:tc>
          <w:tcPr>
            <w:tcW w:w="1490" w:type="dxa"/>
            <w:shd w:val="clear" w:color="auto" w:fill="A5A5A5"/>
            <w:vAlign w:val="center"/>
          </w:tcPr>
          <w:p w14:paraId="3025A72E" w14:textId="77777777" w:rsidR="007E5164"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color w:val="000000"/>
              </w:rPr>
              <w:t>Range</w:t>
            </w:r>
          </w:p>
        </w:tc>
      </w:tr>
      <w:tr w:rsidR="007E5164" w14:paraId="74822BFA" w14:textId="77777777" w:rsidTr="007E5164">
        <w:tc>
          <w:tcPr>
            <w:cnfStyle w:val="001000000000" w:firstRow="0" w:lastRow="0" w:firstColumn="1" w:lastColumn="0" w:oddVBand="0" w:evenVBand="0" w:oddHBand="0" w:evenHBand="0" w:firstRowFirstColumn="0" w:firstRowLastColumn="0" w:lastRowFirstColumn="0" w:lastRowLastColumn="0"/>
            <w:tcW w:w="2451" w:type="dxa"/>
            <w:shd w:val="clear" w:color="auto" w:fill="F2F2F2" w:themeFill="background1" w:themeFillShade="F2"/>
            <w:vAlign w:val="center"/>
          </w:tcPr>
          <w:p w14:paraId="11ADBFC9" w14:textId="77777777" w:rsidR="007E5164" w:rsidRDefault="00000000">
            <w:pPr>
              <w:jc w:val="center"/>
              <w:rPr>
                <w:rFonts w:ascii="Times New Roman" w:hAnsi="Times New Roman"/>
                <w:i/>
                <w:iCs/>
                <w:color w:val="000000"/>
              </w:rPr>
            </w:pPr>
            <w:r>
              <w:rPr>
                <w:rFonts w:ascii="Times New Roman" w:hAnsi="Times New Roman" w:hint="eastAsia"/>
                <w:i/>
                <w:iCs/>
                <w:color w:val="000000"/>
              </w:rPr>
              <w:t>Gender</w:t>
            </w:r>
          </w:p>
        </w:tc>
        <w:tc>
          <w:tcPr>
            <w:tcW w:w="1489" w:type="dxa"/>
            <w:shd w:val="clear" w:color="auto" w:fill="F2F2F2" w:themeFill="background1" w:themeFillShade="F2"/>
            <w:vAlign w:val="center"/>
          </w:tcPr>
          <w:p w14:paraId="51A34A40"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Numerical</w:t>
            </w:r>
          </w:p>
        </w:tc>
        <w:tc>
          <w:tcPr>
            <w:tcW w:w="1490" w:type="dxa"/>
            <w:shd w:val="clear" w:color="auto" w:fill="F2F2F2" w:themeFill="background1" w:themeFillShade="F2"/>
            <w:vAlign w:val="center"/>
          </w:tcPr>
          <w:p w14:paraId="006456FD"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0.801471</w:t>
            </w:r>
          </w:p>
        </w:tc>
        <w:tc>
          <w:tcPr>
            <w:tcW w:w="1489" w:type="dxa"/>
            <w:shd w:val="clear" w:color="auto" w:fill="F2F2F2" w:themeFill="background1" w:themeFillShade="F2"/>
            <w:vAlign w:val="center"/>
          </w:tcPr>
          <w:p w14:paraId="2469E44E"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0.400367</w:t>
            </w:r>
          </w:p>
        </w:tc>
        <w:tc>
          <w:tcPr>
            <w:tcW w:w="1490" w:type="dxa"/>
            <w:shd w:val="clear" w:color="auto" w:fill="F2F2F2" w:themeFill="background1" w:themeFillShade="F2"/>
            <w:vAlign w:val="center"/>
          </w:tcPr>
          <w:p w14:paraId="0D684740"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(0,1)</w:t>
            </w:r>
          </w:p>
        </w:tc>
      </w:tr>
      <w:tr w:rsidR="007E5164" w14:paraId="11840CA8" w14:textId="77777777" w:rsidTr="007E5164">
        <w:tc>
          <w:tcPr>
            <w:cnfStyle w:val="001000000000" w:firstRow="0" w:lastRow="0" w:firstColumn="1" w:lastColumn="0" w:oddVBand="0" w:evenVBand="0" w:oddHBand="0" w:evenHBand="0" w:firstRowFirstColumn="0" w:firstRowLastColumn="0" w:lastRowFirstColumn="0" w:lastRowLastColumn="0"/>
            <w:tcW w:w="2451" w:type="dxa"/>
            <w:vAlign w:val="center"/>
          </w:tcPr>
          <w:p w14:paraId="40DE0BD5" w14:textId="77777777" w:rsidR="007E5164" w:rsidRDefault="00000000">
            <w:pPr>
              <w:jc w:val="center"/>
              <w:rPr>
                <w:rFonts w:ascii="Times New Roman" w:hAnsi="Times New Roman"/>
                <w:i/>
                <w:iCs/>
                <w:color w:val="000000"/>
              </w:rPr>
            </w:pPr>
            <w:r>
              <w:rPr>
                <w:rFonts w:ascii="Times New Roman" w:hAnsi="Times New Roman" w:hint="eastAsia"/>
                <w:i/>
                <w:iCs/>
                <w:color w:val="000000"/>
              </w:rPr>
              <w:lastRenderedPageBreak/>
              <w:t>Age</w:t>
            </w:r>
          </w:p>
        </w:tc>
        <w:tc>
          <w:tcPr>
            <w:tcW w:w="1489" w:type="dxa"/>
            <w:vAlign w:val="center"/>
          </w:tcPr>
          <w:p w14:paraId="2178C784"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Numerical</w:t>
            </w:r>
          </w:p>
        </w:tc>
        <w:tc>
          <w:tcPr>
            <w:tcW w:w="1490" w:type="dxa"/>
            <w:vAlign w:val="center"/>
          </w:tcPr>
          <w:p w14:paraId="318AE454"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52.36765</w:t>
            </w:r>
          </w:p>
        </w:tc>
        <w:tc>
          <w:tcPr>
            <w:tcW w:w="1489" w:type="dxa"/>
            <w:vAlign w:val="center"/>
          </w:tcPr>
          <w:p w14:paraId="38662808"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14.39126</w:t>
            </w:r>
          </w:p>
        </w:tc>
        <w:tc>
          <w:tcPr>
            <w:tcW w:w="1490" w:type="dxa"/>
            <w:vAlign w:val="center"/>
          </w:tcPr>
          <w:p w14:paraId="421A999E"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(18,79)</w:t>
            </w:r>
          </w:p>
        </w:tc>
      </w:tr>
      <w:tr w:rsidR="007E5164" w14:paraId="7F803A12" w14:textId="77777777" w:rsidTr="007E5164">
        <w:tc>
          <w:tcPr>
            <w:cnfStyle w:val="001000000000" w:firstRow="0" w:lastRow="0" w:firstColumn="1" w:lastColumn="0" w:oddVBand="0" w:evenVBand="0" w:oddHBand="0" w:evenHBand="0" w:firstRowFirstColumn="0" w:firstRowLastColumn="0" w:lastRowFirstColumn="0" w:lastRowLastColumn="0"/>
            <w:tcW w:w="2451" w:type="dxa"/>
            <w:shd w:val="clear" w:color="auto" w:fill="F2F2F2" w:themeFill="background1" w:themeFillShade="F2"/>
            <w:vAlign w:val="center"/>
          </w:tcPr>
          <w:p w14:paraId="11E63CBC" w14:textId="77777777" w:rsidR="007E5164" w:rsidRDefault="00000000">
            <w:pPr>
              <w:jc w:val="center"/>
              <w:rPr>
                <w:rFonts w:ascii="Times New Roman" w:hAnsi="Times New Roman"/>
                <w:i/>
                <w:iCs/>
                <w:color w:val="000000"/>
              </w:rPr>
            </w:pPr>
            <w:r>
              <w:rPr>
                <w:rFonts w:ascii="Times New Roman" w:hAnsi="Times New Roman" w:hint="eastAsia"/>
                <w:i/>
                <w:iCs/>
                <w:color w:val="000000"/>
              </w:rPr>
              <w:t>Weight</w:t>
            </w:r>
          </w:p>
        </w:tc>
        <w:tc>
          <w:tcPr>
            <w:tcW w:w="1489" w:type="dxa"/>
            <w:shd w:val="clear" w:color="auto" w:fill="F2F2F2" w:themeFill="background1" w:themeFillShade="F2"/>
            <w:vAlign w:val="center"/>
          </w:tcPr>
          <w:p w14:paraId="48B4B883"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Numerical</w:t>
            </w:r>
          </w:p>
        </w:tc>
        <w:tc>
          <w:tcPr>
            <w:tcW w:w="1490" w:type="dxa"/>
            <w:shd w:val="clear" w:color="auto" w:fill="F2F2F2" w:themeFill="background1" w:themeFillShade="F2"/>
            <w:vAlign w:val="center"/>
          </w:tcPr>
          <w:p w14:paraId="5817469D"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73.00625</w:t>
            </w:r>
          </w:p>
        </w:tc>
        <w:tc>
          <w:tcPr>
            <w:tcW w:w="1489" w:type="dxa"/>
            <w:shd w:val="clear" w:color="auto" w:fill="F2F2F2" w:themeFill="background1" w:themeFillShade="F2"/>
            <w:vAlign w:val="center"/>
          </w:tcPr>
          <w:p w14:paraId="0FFCEAC0"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16.87795</w:t>
            </w:r>
          </w:p>
        </w:tc>
        <w:tc>
          <w:tcPr>
            <w:tcW w:w="1490" w:type="dxa"/>
            <w:shd w:val="clear" w:color="auto" w:fill="F2F2F2" w:themeFill="background1" w:themeFillShade="F2"/>
            <w:vAlign w:val="center"/>
          </w:tcPr>
          <w:p w14:paraId="74C688EF"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(42.0,121.2)</w:t>
            </w:r>
          </w:p>
        </w:tc>
      </w:tr>
      <w:tr w:rsidR="007E5164" w14:paraId="0FC73693" w14:textId="77777777" w:rsidTr="007E5164">
        <w:tc>
          <w:tcPr>
            <w:cnfStyle w:val="001000000000" w:firstRow="0" w:lastRow="0" w:firstColumn="1" w:lastColumn="0" w:oddVBand="0" w:evenVBand="0" w:oddHBand="0" w:evenHBand="0" w:firstRowFirstColumn="0" w:firstRowLastColumn="0" w:lastRowFirstColumn="0" w:lastRowLastColumn="0"/>
            <w:tcW w:w="2451" w:type="dxa"/>
            <w:vAlign w:val="center"/>
          </w:tcPr>
          <w:p w14:paraId="7540D17A" w14:textId="77777777" w:rsidR="007E5164" w:rsidRDefault="00000000">
            <w:pPr>
              <w:jc w:val="center"/>
              <w:rPr>
                <w:rFonts w:ascii="Times New Roman" w:hAnsi="Times New Roman"/>
                <w:i/>
                <w:iCs/>
                <w:color w:val="000000"/>
              </w:rPr>
            </w:pPr>
            <w:r>
              <w:rPr>
                <w:rFonts w:ascii="Times New Roman" w:hAnsi="Times New Roman" w:hint="eastAsia"/>
                <w:i/>
                <w:iCs/>
                <w:color w:val="000000"/>
              </w:rPr>
              <w:t>Heart Rate (bpm)</w:t>
            </w:r>
          </w:p>
        </w:tc>
        <w:tc>
          <w:tcPr>
            <w:tcW w:w="1489" w:type="dxa"/>
            <w:vAlign w:val="center"/>
          </w:tcPr>
          <w:p w14:paraId="52B128C9"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Numerical</w:t>
            </w:r>
          </w:p>
        </w:tc>
        <w:tc>
          <w:tcPr>
            <w:tcW w:w="1490" w:type="dxa"/>
            <w:vAlign w:val="center"/>
          </w:tcPr>
          <w:p w14:paraId="71767D69"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85.60294</w:t>
            </w:r>
          </w:p>
        </w:tc>
        <w:tc>
          <w:tcPr>
            <w:tcW w:w="1489" w:type="dxa"/>
            <w:vAlign w:val="center"/>
          </w:tcPr>
          <w:p w14:paraId="69B60F8A"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19.33152</w:t>
            </w:r>
          </w:p>
        </w:tc>
        <w:tc>
          <w:tcPr>
            <w:tcW w:w="1490" w:type="dxa"/>
            <w:vAlign w:val="center"/>
          </w:tcPr>
          <w:p w14:paraId="087F1EA4"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(43,153)</w:t>
            </w:r>
          </w:p>
        </w:tc>
      </w:tr>
      <w:tr w:rsidR="007E5164" w14:paraId="2A73223B" w14:textId="77777777" w:rsidTr="007E5164">
        <w:tc>
          <w:tcPr>
            <w:cnfStyle w:val="001000000000" w:firstRow="0" w:lastRow="0" w:firstColumn="1" w:lastColumn="0" w:oddVBand="0" w:evenVBand="0" w:oddHBand="0" w:evenHBand="0" w:firstRowFirstColumn="0" w:firstRowLastColumn="0" w:lastRowFirstColumn="0" w:lastRowLastColumn="0"/>
            <w:tcW w:w="2451" w:type="dxa"/>
            <w:shd w:val="clear" w:color="auto" w:fill="F2F2F2" w:themeFill="background1" w:themeFillShade="F2"/>
            <w:vAlign w:val="center"/>
          </w:tcPr>
          <w:p w14:paraId="68855355" w14:textId="77777777" w:rsidR="007E5164" w:rsidRDefault="00000000">
            <w:pPr>
              <w:jc w:val="center"/>
              <w:rPr>
                <w:rFonts w:ascii="Times New Roman" w:hAnsi="Times New Roman"/>
                <w:i/>
                <w:iCs/>
                <w:color w:val="000000"/>
              </w:rPr>
            </w:pPr>
            <w:r>
              <w:rPr>
                <w:rFonts w:ascii="Times New Roman" w:hAnsi="Times New Roman"/>
                <w:i/>
                <w:iCs/>
                <w:color w:val="000000"/>
              </w:rPr>
              <w:t>…</w:t>
            </w:r>
          </w:p>
        </w:tc>
        <w:tc>
          <w:tcPr>
            <w:tcW w:w="1489" w:type="dxa"/>
            <w:shd w:val="clear" w:color="auto" w:fill="F2F2F2" w:themeFill="background1" w:themeFillShade="F2"/>
            <w:vAlign w:val="center"/>
          </w:tcPr>
          <w:p w14:paraId="5DDACAFB"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w:t>
            </w:r>
          </w:p>
        </w:tc>
        <w:tc>
          <w:tcPr>
            <w:tcW w:w="1490" w:type="dxa"/>
            <w:shd w:val="clear" w:color="auto" w:fill="F2F2F2" w:themeFill="background1" w:themeFillShade="F2"/>
            <w:vAlign w:val="center"/>
          </w:tcPr>
          <w:p w14:paraId="2DA9D6A0"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w:t>
            </w:r>
          </w:p>
        </w:tc>
        <w:tc>
          <w:tcPr>
            <w:tcW w:w="1489" w:type="dxa"/>
            <w:shd w:val="clear" w:color="auto" w:fill="F2F2F2" w:themeFill="background1" w:themeFillShade="F2"/>
            <w:vAlign w:val="center"/>
          </w:tcPr>
          <w:p w14:paraId="679B90FD"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w:t>
            </w:r>
          </w:p>
        </w:tc>
        <w:tc>
          <w:tcPr>
            <w:tcW w:w="1490" w:type="dxa"/>
            <w:shd w:val="clear" w:color="auto" w:fill="F2F2F2" w:themeFill="background1" w:themeFillShade="F2"/>
            <w:vAlign w:val="center"/>
          </w:tcPr>
          <w:p w14:paraId="56162415"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w:t>
            </w:r>
          </w:p>
        </w:tc>
      </w:tr>
      <w:tr w:rsidR="007E5164" w14:paraId="45314D64" w14:textId="77777777" w:rsidTr="007E5164">
        <w:tc>
          <w:tcPr>
            <w:cnfStyle w:val="001000000000" w:firstRow="0" w:lastRow="0" w:firstColumn="1" w:lastColumn="0" w:oddVBand="0" w:evenVBand="0" w:oddHBand="0" w:evenHBand="0" w:firstRowFirstColumn="0" w:firstRowLastColumn="0" w:lastRowFirstColumn="0" w:lastRowLastColumn="0"/>
            <w:tcW w:w="2451" w:type="dxa"/>
            <w:vAlign w:val="center"/>
          </w:tcPr>
          <w:p w14:paraId="1DF4FACA" w14:textId="77777777" w:rsidR="007E5164" w:rsidRDefault="00000000">
            <w:pPr>
              <w:jc w:val="center"/>
              <w:rPr>
                <w:rFonts w:ascii="Times New Roman" w:hAnsi="Times New Roman"/>
                <w:i/>
                <w:iCs/>
                <w:color w:val="000000"/>
              </w:rPr>
            </w:pPr>
            <w:r>
              <w:rPr>
                <w:rFonts w:ascii="Times New Roman" w:hAnsi="Times New Roman" w:hint="eastAsia"/>
                <w:i/>
                <w:iCs/>
                <w:color w:val="000000"/>
              </w:rPr>
              <w:t>Diastolic BP</w:t>
            </w:r>
          </w:p>
        </w:tc>
        <w:tc>
          <w:tcPr>
            <w:tcW w:w="1489" w:type="dxa"/>
            <w:vAlign w:val="center"/>
          </w:tcPr>
          <w:p w14:paraId="5A45EA8D"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Numerical</w:t>
            </w:r>
          </w:p>
        </w:tc>
        <w:tc>
          <w:tcPr>
            <w:tcW w:w="1490" w:type="dxa"/>
            <w:vAlign w:val="center"/>
          </w:tcPr>
          <w:p w14:paraId="474414E4"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85.24265</w:t>
            </w:r>
          </w:p>
        </w:tc>
        <w:tc>
          <w:tcPr>
            <w:tcW w:w="1489" w:type="dxa"/>
            <w:vAlign w:val="center"/>
          </w:tcPr>
          <w:p w14:paraId="19E2375D"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18.89013</w:t>
            </w:r>
          </w:p>
        </w:tc>
        <w:tc>
          <w:tcPr>
            <w:tcW w:w="1490" w:type="dxa"/>
            <w:vAlign w:val="center"/>
          </w:tcPr>
          <w:p w14:paraId="167297AC"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(39,144)</w:t>
            </w:r>
          </w:p>
        </w:tc>
      </w:tr>
      <w:tr w:rsidR="007E5164" w14:paraId="1F50246A" w14:textId="77777777" w:rsidTr="007E5164">
        <w:tc>
          <w:tcPr>
            <w:cnfStyle w:val="001000000000" w:firstRow="0" w:lastRow="0" w:firstColumn="1" w:lastColumn="0" w:oddVBand="0" w:evenVBand="0" w:oddHBand="0" w:evenHBand="0" w:firstRowFirstColumn="0" w:firstRowLastColumn="0" w:lastRowFirstColumn="0" w:lastRowLastColumn="0"/>
            <w:tcW w:w="2451" w:type="dxa"/>
            <w:shd w:val="clear" w:color="auto" w:fill="F2F2F2" w:themeFill="background1" w:themeFillShade="F2"/>
            <w:vAlign w:val="center"/>
          </w:tcPr>
          <w:p w14:paraId="0F72E01B" w14:textId="77777777" w:rsidR="007E5164" w:rsidRDefault="00000000">
            <w:pPr>
              <w:jc w:val="center"/>
              <w:rPr>
                <w:rFonts w:ascii="Times New Roman" w:hAnsi="Times New Roman"/>
                <w:i/>
                <w:iCs/>
                <w:color w:val="000000"/>
              </w:rPr>
            </w:pPr>
            <w:r>
              <w:rPr>
                <w:rFonts w:ascii="Times New Roman" w:hAnsi="Times New Roman" w:hint="eastAsia"/>
                <w:i/>
                <w:iCs/>
                <w:color w:val="000000"/>
              </w:rPr>
              <w:t>Myocardial Infarction</w:t>
            </w:r>
          </w:p>
        </w:tc>
        <w:tc>
          <w:tcPr>
            <w:tcW w:w="1489" w:type="dxa"/>
            <w:shd w:val="clear" w:color="auto" w:fill="F2F2F2" w:themeFill="background1" w:themeFillShade="F2"/>
            <w:vAlign w:val="center"/>
          </w:tcPr>
          <w:p w14:paraId="450C1911"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Numerical</w:t>
            </w:r>
          </w:p>
        </w:tc>
        <w:tc>
          <w:tcPr>
            <w:tcW w:w="1490" w:type="dxa"/>
            <w:shd w:val="clear" w:color="auto" w:fill="F2F2F2" w:themeFill="background1" w:themeFillShade="F2"/>
            <w:vAlign w:val="center"/>
          </w:tcPr>
          <w:p w14:paraId="7C2A6FEC"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0.117647</w:t>
            </w:r>
          </w:p>
        </w:tc>
        <w:tc>
          <w:tcPr>
            <w:tcW w:w="1489" w:type="dxa"/>
            <w:shd w:val="clear" w:color="auto" w:fill="F2F2F2" w:themeFill="background1" w:themeFillShade="F2"/>
            <w:vAlign w:val="center"/>
          </w:tcPr>
          <w:p w14:paraId="0314AD45"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0.323381</w:t>
            </w:r>
          </w:p>
        </w:tc>
        <w:tc>
          <w:tcPr>
            <w:tcW w:w="1490" w:type="dxa"/>
            <w:shd w:val="clear" w:color="auto" w:fill="F2F2F2" w:themeFill="background1" w:themeFillShade="F2"/>
            <w:vAlign w:val="center"/>
          </w:tcPr>
          <w:p w14:paraId="4B47DF59"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(0,1)</w:t>
            </w:r>
          </w:p>
        </w:tc>
      </w:tr>
      <w:tr w:rsidR="007E5164" w14:paraId="25C22565" w14:textId="77777777" w:rsidTr="007E5164">
        <w:tc>
          <w:tcPr>
            <w:cnfStyle w:val="001000000000" w:firstRow="0" w:lastRow="0" w:firstColumn="1" w:lastColumn="0" w:oddVBand="0" w:evenVBand="0" w:oddHBand="0" w:evenHBand="0" w:firstRowFirstColumn="0" w:firstRowLastColumn="0" w:lastRowFirstColumn="0" w:lastRowLastColumn="0"/>
            <w:tcW w:w="2451" w:type="dxa"/>
            <w:vAlign w:val="center"/>
          </w:tcPr>
          <w:p w14:paraId="6091C122" w14:textId="77777777" w:rsidR="007E5164" w:rsidRDefault="00000000">
            <w:pPr>
              <w:jc w:val="center"/>
              <w:rPr>
                <w:rFonts w:ascii="Times New Roman" w:hAnsi="Times New Roman"/>
                <w:i/>
                <w:iCs/>
                <w:color w:val="000000"/>
              </w:rPr>
            </w:pPr>
            <w:r>
              <w:rPr>
                <w:rFonts w:ascii="Times New Roman" w:hAnsi="Times New Roman" w:hint="eastAsia"/>
                <w:i/>
                <w:iCs/>
                <w:color w:val="000000"/>
              </w:rPr>
              <w:t>Pacemaker</w:t>
            </w:r>
          </w:p>
        </w:tc>
        <w:tc>
          <w:tcPr>
            <w:tcW w:w="1489" w:type="dxa"/>
            <w:vAlign w:val="center"/>
          </w:tcPr>
          <w:p w14:paraId="52AB3242"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Numerical</w:t>
            </w:r>
          </w:p>
        </w:tc>
        <w:tc>
          <w:tcPr>
            <w:tcW w:w="1490" w:type="dxa"/>
            <w:vAlign w:val="center"/>
          </w:tcPr>
          <w:p w14:paraId="0CB3DFF4"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0.044118</w:t>
            </w:r>
          </w:p>
        </w:tc>
        <w:tc>
          <w:tcPr>
            <w:tcW w:w="1489" w:type="dxa"/>
            <w:vAlign w:val="center"/>
          </w:tcPr>
          <w:p w14:paraId="6BA33C2D"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0.206116</w:t>
            </w:r>
          </w:p>
        </w:tc>
        <w:tc>
          <w:tcPr>
            <w:tcW w:w="1490" w:type="dxa"/>
            <w:vAlign w:val="center"/>
          </w:tcPr>
          <w:p w14:paraId="70486E73"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(0,1)</w:t>
            </w:r>
          </w:p>
        </w:tc>
      </w:tr>
      <w:tr w:rsidR="007E5164" w14:paraId="229502B8" w14:textId="77777777" w:rsidTr="007E5164">
        <w:tc>
          <w:tcPr>
            <w:cnfStyle w:val="001000000000" w:firstRow="0" w:lastRow="0" w:firstColumn="1" w:lastColumn="0" w:oddVBand="0" w:evenVBand="0" w:oddHBand="0" w:evenHBand="0" w:firstRowFirstColumn="0" w:firstRowLastColumn="0" w:lastRowFirstColumn="0" w:lastRowLastColumn="0"/>
            <w:tcW w:w="2451" w:type="dxa"/>
            <w:shd w:val="clear" w:color="auto" w:fill="F2F2F2" w:themeFill="background1" w:themeFillShade="F2"/>
            <w:vAlign w:val="center"/>
          </w:tcPr>
          <w:p w14:paraId="242151A9" w14:textId="77777777" w:rsidR="007E5164" w:rsidRDefault="00000000">
            <w:pPr>
              <w:jc w:val="center"/>
              <w:rPr>
                <w:rFonts w:ascii="Times New Roman" w:hAnsi="Times New Roman"/>
                <w:i/>
                <w:iCs/>
                <w:color w:val="000000"/>
              </w:rPr>
            </w:pPr>
            <w:r>
              <w:rPr>
                <w:rFonts w:ascii="Times New Roman" w:hAnsi="Times New Roman" w:hint="eastAsia"/>
                <w:i/>
                <w:iCs/>
                <w:color w:val="000000"/>
              </w:rPr>
              <w:t>Medical Indicator</w:t>
            </w:r>
          </w:p>
        </w:tc>
        <w:tc>
          <w:tcPr>
            <w:tcW w:w="1489" w:type="dxa"/>
            <w:shd w:val="clear" w:color="auto" w:fill="F2F2F2" w:themeFill="background1" w:themeFillShade="F2"/>
            <w:vAlign w:val="center"/>
          </w:tcPr>
          <w:p w14:paraId="2D467C30"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Text</w:t>
            </w:r>
          </w:p>
        </w:tc>
        <w:tc>
          <w:tcPr>
            <w:tcW w:w="1490" w:type="dxa"/>
            <w:shd w:val="clear" w:color="auto" w:fill="F2F2F2" w:themeFill="background1" w:themeFillShade="F2"/>
            <w:vAlign w:val="center"/>
          </w:tcPr>
          <w:p w14:paraId="04171555"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w:t>
            </w:r>
          </w:p>
        </w:tc>
        <w:tc>
          <w:tcPr>
            <w:tcW w:w="1489" w:type="dxa"/>
            <w:shd w:val="clear" w:color="auto" w:fill="F2F2F2" w:themeFill="background1" w:themeFillShade="F2"/>
            <w:vAlign w:val="center"/>
          </w:tcPr>
          <w:p w14:paraId="049A13D5"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w:t>
            </w:r>
          </w:p>
        </w:tc>
        <w:tc>
          <w:tcPr>
            <w:tcW w:w="1490" w:type="dxa"/>
            <w:shd w:val="clear" w:color="auto" w:fill="F2F2F2" w:themeFill="background1" w:themeFillShade="F2"/>
            <w:vAlign w:val="center"/>
          </w:tcPr>
          <w:p w14:paraId="25F77D77"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w:t>
            </w:r>
          </w:p>
        </w:tc>
      </w:tr>
      <w:tr w:rsidR="007E5164" w14:paraId="0331217D" w14:textId="77777777" w:rsidTr="007E5164">
        <w:tc>
          <w:tcPr>
            <w:cnfStyle w:val="001000000000" w:firstRow="0" w:lastRow="0" w:firstColumn="1" w:lastColumn="0" w:oddVBand="0" w:evenVBand="0" w:oddHBand="0" w:evenHBand="0" w:firstRowFirstColumn="0" w:firstRowLastColumn="0" w:lastRowFirstColumn="0" w:lastRowLastColumn="0"/>
            <w:tcW w:w="2451" w:type="dxa"/>
            <w:vAlign w:val="center"/>
          </w:tcPr>
          <w:p w14:paraId="49960112" w14:textId="77777777" w:rsidR="007E5164" w:rsidRDefault="00000000">
            <w:pPr>
              <w:jc w:val="center"/>
              <w:rPr>
                <w:rFonts w:ascii="Times New Roman" w:hAnsi="Times New Roman"/>
                <w:i/>
                <w:iCs/>
                <w:color w:val="000000"/>
              </w:rPr>
            </w:pPr>
            <w:proofErr w:type="spellStart"/>
            <w:r>
              <w:rPr>
                <w:rFonts w:ascii="Times New Roman" w:hAnsi="Times New Roman" w:hint="eastAsia"/>
                <w:i/>
                <w:iCs/>
                <w:color w:val="000000"/>
              </w:rPr>
              <w:t>IVSTd</w:t>
            </w:r>
            <w:proofErr w:type="spellEnd"/>
          </w:p>
        </w:tc>
        <w:tc>
          <w:tcPr>
            <w:tcW w:w="1489" w:type="dxa"/>
            <w:vAlign w:val="center"/>
          </w:tcPr>
          <w:p w14:paraId="1AB3DA2C"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Numerical</w:t>
            </w:r>
          </w:p>
        </w:tc>
        <w:tc>
          <w:tcPr>
            <w:tcW w:w="1490" w:type="dxa"/>
            <w:vAlign w:val="center"/>
          </w:tcPr>
          <w:p w14:paraId="00C57A2B"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0.939134</w:t>
            </w:r>
          </w:p>
        </w:tc>
        <w:tc>
          <w:tcPr>
            <w:tcW w:w="1489" w:type="dxa"/>
            <w:vAlign w:val="center"/>
          </w:tcPr>
          <w:p w14:paraId="32EC6F3B"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0.225375</w:t>
            </w:r>
          </w:p>
        </w:tc>
        <w:tc>
          <w:tcPr>
            <w:tcW w:w="1490" w:type="dxa"/>
            <w:vAlign w:val="center"/>
          </w:tcPr>
          <w:p w14:paraId="3373F956"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(0.5,1.87)</w:t>
            </w:r>
          </w:p>
        </w:tc>
      </w:tr>
      <w:tr w:rsidR="007E5164" w14:paraId="2B4F3824" w14:textId="77777777" w:rsidTr="007E5164">
        <w:tc>
          <w:tcPr>
            <w:cnfStyle w:val="001000000000" w:firstRow="0" w:lastRow="0" w:firstColumn="1" w:lastColumn="0" w:oddVBand="0" w:evenVBand="0" w:oddHBand="0" w:evenHBand="0" w:firstRowFirstColumn="0" w:firstRowLastColumn="0" w:lastRowFirstColumn="0" w:lastRowLastColumn="0"/>
            <w:tcW w:w="2451" w:type="dxa"/>
            <w:shd w:val="clear" w:color="auto" w:fill="F2F2F2" w:themeFill="background1" w:themeFillShade="F2"/>
            <w:vAlign w:val="center"/>
          </w:tcPr>
          <w:p w14:paraId="0EDE6DF3" w14:textId="77777777" w:rsidR="007E5164" w:rsidRDefault="00000000">
            <w:pPr>
              <w:jc w:val="center"/>
              <w:rPr>
                <w:rFonts w:ascii="Times New Roman" w:hAnsi="Times New Roman"/>
                <w:i/>
                <w:iCs/>
                <w:color w:val="000000"/>
              </w:rPr>
            </w:pPr>
            <w:r>
              <w:rPr>
                <w:rFonts w:ascii="Times New Roman" w:hAnsi="Times New Roman" w:hint="eastAsia"/>
                <w:i/>
                <w:iCs/>
                <w:color w:val="000000"/>
              </w:rPr>
              <w:t>ALT</w:t>
            </w:r>
          </w:p>
        </w:tc>
        <w:tc>
          <w:tcPr>
            <w:tcW w:w="1489" w:type="dxa"/>
            <w:shd w:val="clear" w:color="auto" w:fill="F2F2F2" w:themeFill="background1" w:themeFillShade="F2"/>
            <w:vAlign w:val="center"/>
          </w:tcPr>
          <w:p w14:paraId="062CC196"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Numerical</w:t>
            </w:r>
          </w:p>
        </w:tc>
        <w:tc>
          <w:tcPr>
            <w:tcW w:w="1490" w:type="dxa"/>
            <w:shd w:val="clear" w:color="auto" w:fill="F2F2F2" w:themeFill="background1" w:themeFillShade="F2"/>
            <w:vAlign w:val="center"/>
          </w:tcPr>
          <w:p w14:paraId="7E0B5019"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38.26544</w:t>
            </w:r>
          </w:p>
        </w:tc>
        <w:tc>
          <w:tcPr>
            <w:tcW w:w="1489" w:type="dxa"/>
            <w:shd w:val="clear" w:color="auto" w:fill="F2F2F2" w:themeFill="background1" w:themeFillShade="F2"/>
            <w:vAlign w:val="center"/>
          </w:tcPr>
          <w:p w14:paraId="130CC4E9"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42.40809</w:t>
            </w:r>
          </w:p>
        </w:tc>
        <w:tc>
          <w:tcPr>
            <w:tcW w:w="1490" w:type="dxa"/>
            <w:shd w:val="clear" w:color="auto" w:fill="F2F2F2" w:themeFill="background1" w:themeFillShade="F2"/>
            <w:vAlign w:val="center"/>
          </w:tcPr>
          <w:p w14:paraId="6BEAD737"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(5.3,340.8)</w:t>
            </w:r>
          </w:p>
        </w:tc>
      </w:tr>
      <w:tr w:rsidR="007E5164" w14:paraId="32816F89" w14:textId="77777777" w:rsidTr="007E5164">
        <w:tc>
          <w:tcPr>
            <w:cnfStyle w:val="001000000000" w:firstRow="0" w:lastRow="0" w:firstColumn="1" w:lastColumn="0" w:oddVBand="0" w:evenVBand="0" w:oddHBand="0" w:evenHBand="0" w:firstRowFirstColumn="0" w:firstRowLastColumn="0" w:lastRowFirstColumn="0" w:lastRowLastColumn="0"/>
            <w:tcW w:w="2451" w:type="dxa"/>
            <w:vAlign w:val="center"/>
          </w:tcPr>
          <w:p w14:paraId="19298AEE" w14:textId="77777777" w:rsidR="007E5164" w:rsidRDefault="00000000">
            <w:pPr>
              <w:jc w:val="center"/>
              <w:rPr>
                <w:rFonts w:ascii="Times New Roman" w:hAnsi="Times New Roman"/>
                <w:i/>
                <w:iCs/>
                <w:color w:val="000000"/>
              </w:rPr>
            </w:pPr>
            <w:r>
              <w:rPr>
                <w:rFonts w:ascii="Times New Roman" w:hAnsi="Times New Roman" w:hint="eastAsia"/>
                <w:i/>
                <w:iCs/>
                <w:color w:val="000000"/>
              </w:rPr>
              <w:t>AST</w:t>
            </w:r>
          </w:p>
        </w:tc>
        <w:tc>
          <w:tcPr>
            <w:tcW w:w="1489" w:type="dxa"/>
            <w:vAlign w:val="center"/>
          </w:tcPr>
          <w:p w14:paraId="69C39BBC"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Numerical</w:t>
            </w:r>
          </w:p>
        </w:tc>
        <w:tc>
          <w:tcPr>
            <w:tcW w:w="1490" w:type="dxa"/>
            <w:vAlign w:val="center"/>
          </w:tcPr>
          <w:p w14:paraId="103A5BE2"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30.63382</w:t>
            </w:r>
          </w:p>
        </w:tc>
        <w:tc>
          <w:tcPr>
            <w:tcW w:w="1489" w:type="dxa"/>
            <w:vAlign w:val="center"/>
          </w:tcPr>
          <w:p w14:paraId="29E3A5C0"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26.28811</w:t>
            </w:r>
          </w:p>
        </w:tc>
        <w:tc>
          <w:tcPr>
            <w:tcW w:w="1490" w:type="dxa"/>
            <w:vAlign w:val="center"/>
          </w:tcPr>
          <w:p w14:paraId="1D5A7684"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(10.8,235.0)</w:t>
            </w:r>
          </w:p>
        </w:tc>
      </w:tr>
      <w:tr w:rsidR="007E5164" w14:paraId="1473FB72" w14:textId="77777777" w:rsidTr="007E5164">
        <w:tc>
          <w:tcPr>
            <w:cnfStyle w:val="001000000000" w:firstRow="0" w:lastRow="0" w:firstColumn="1" w:lastColumn="0" w:oddVBand="0" w:evenVBand="0" w:oddHBand="0" w:evenHBand="0" w:firstRowFirstColumn="0" w:firstRowLastColumn="0" w:lastRowFirstColumn="0" w:lastRowLastColumn="0"/>
            <w:tcW w:w="2451" w:type="dxa"/>
            <w:shd w:val="clear" w:color="auto" w:fill="F2F2F2" w:themeFill="background1" w:themeFillShade="F2"/>
            <w:vAlign w:val="center"/>
          </w:tcPr>
          <w:p w14:paraId="2AA09C7C" w14:textId="77777777" w:rsidR="007E5164" w:rsidRDefault="00000000">
            <w:pPr>
              <w:jc w:val="center"/>
              <w:rPr>
                <w:rFonts w:ascii="Times New Roman" w:hAnsi="Times New Roman"/>
                <w:i/>
                <w:iCs/>
                <w:color w:val="000000"/>
              </w:rPr>
            </w:pPr>
            <w:r>
              <w:rPr>
                <w:rFonts w:ascii="Times New Roman" w:hAnsi="Times New Roman" w:hint="eastAsia"/>
                <w:i/>
                <w:iCs/>
                <w:color w:val="000000"/>
              </w:rPr>
              <w:t>Albumin/Globulin Ratio</w:t>
            </w:r>
          </w:p>
        </w:tc>
        <w:tc>
          <w:tcPr>
            <w:tcW w:w="1489" w:type="dxa"/>
            <w:shd w:val="clear" w:color="auto" w:fill="F2F2F2" w:themeFill="background1" w:themeFillShade="F2"/>
            <w:vAlign w:val="center"/>
          </w:tcPr>
          <w:p w14:paraId="6E9FFFFC"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Numerical</w:t>
            </w:r>
          </w:p>
        </w:tc>
        <w:tc>
          <w:tcPr>
            <w:tcW w:w="1490" w:type="dxa"/>
            <w:shd w:val="clear" w:color="auto" w:fill="F2F2F2" w:themeFill="background1" w:themeFillShade="F2"/>
            <w:vAlign w:val="center"/>
          </w:tcPr>
          <w:p w14:paraId="0B2C5691"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1.628088</w:t>
            </w:r>
          </w:p>
        </w:tc>
        <w:tc>
          <w:tcPr>
            <w:tcW w:w="1489" w:type="dxa"/>
            <w:shd w:val="clear" w:color="auto" w:fill="F2F2F2" w:themeFill="background1" w:themeFillShade="F2"/>
            <w:vAlign w:val="center"/>
          </w:tcPr>
          <w:p w14:paraId="3F01C16E"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0.291198</w:t>
            </w:r>
          </w:p>
        </w:tc>
        <w:tc>
          <w:tcPr>
            <w:tcW w:w="1490" w:type="dxa"/>
            <w:shd w:val="clear" w:color="auto" w:fill="F2F2F2" w:themeFill="background1" w:themeFillShade="F2"/>
            <w:vAlign w:val="center"/>
          </w:tcPr>
          <w:p w14:paraId="4166811D"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(0.76,2.32)</w:t>
            </w:r>
          </w:p>
        </w:tc>
      </w:tr>
      <w:tr w:rsidR="007E5164" w14:paraId="10F6DF8A" w14:textId="77777777" w:rsidTr="007E5164">
        <w:tc>
          <w:tcPr>
            <w:cnfStyle w:val="001000000000" w:firstRow="0" w:lastRow="0" w:firstColumn="1" w:lastColumn="0" w:oddVBand="0" w:evenVBand="0" w:oddHBand="0" w:evenHBand="0" w:firstRowFirstColumn="0" w:firstRowLastColumn="0" w:lastRowFirstColumn="0" w:lastRowLastColumn="0"/>
            <w:tcW w:w="2451" w:type="dxa"/>
            <w:vAlign w:val="center"/>
          </w:tcPr>
          <w:p w14:paraId="408209F3" w14:textId="77777777" w:rsidR="007E5164" w:rsidRDefault="00000000">
            <w:pPr>
              <w:jc w:val="center"/>
              <w:rPr>
                <w:rFonts w:ascii="Times New Roman" w:hAnsi="Times New Roman"/>
                <w:i/>
                <w:iCs/>
                <w:color w:val="000000"/>
              </w:rPr>
            </w:pPr>
            <w:r>
              <w:rPr>
                <w:rFonts w:ascii="Times New Roman" w:hAnsi="Times New Roman"/>
                <w:i/>
                <w:iCs/>
                <w:color w:val="000000"/>
              </w:rPr>
              <w:t>…</w:t>
            </w:r>
          </w:p>
        </w:tc>
        <w:tc>
          <w:tcPr>
            <w:tcW w:w="1489" w:type="dxa"/>
            <w:vAlign w:val="center"/>
          </w:tcPr>
          <w:p w14:paraId="57C47855"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w:t>
            </w:r>
          </w:p>
        </w:tc>
        <w:tc>
          <w:tcPr>
            <w:tcW w:w="1490" w:type="dxa"/>
            <w:vAlign w:val="center"/>
          </w:tcPr>
          <w:p w14:paraId="2749328B"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w:t>
            </w:r>
          </w:p>
        </w:tc>
        <w:tc>
          <w:tcPr>
            <w:tcW w:w="1489" w:type="dxa"/>
            <w:vAlign w:val="center"/>
          </w:tcPr>
          <w:p w14:paraId="3E24B3EC"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w:t>
            </w:r>
          </w:p>
        </w:tc>
        <w:tc>
          <w:tcPr>
            <w:tcW w:w="1490" w:type="dxa"/>
            <w:vAlign w:val="center"/>
          </w:tcPr>
          <w:p w14:paraId="21172BC5"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color w:val="000000"/>
              </w:rPr>
              <w:t>…</w:t>
            </w:r>
          </w:p>
        </w:tc>
      </w:tr>
      <w:tr w:rsidR="007E5164" w14:paraId="794920EA" w14:textId="77777777" w:rsidTr="007E5164">
        <w:tc>
          <w:tcPr>
            <w:cnfStyle w:val="001000000000" w:firstRow="0" w:lastRow="0" w:firstColumn="1" w:lastColumn="0" w:oddVBand="0" w:evenVBand="0" w:oddHBand="0" w:evenHBand="0" w:firstRowFirstColumn="0" w:firstRowLastColumn="0" w:lastRowFirstColumn="0" w:lastRowLastColumn="0"/>
            <w:tcW w:w="2451" w:type="dxa"/>
            <w:shd w:val="clear" w:color="auto" w:fill="F2F2F2" w:themeFill="background1" w:themeFillShade="F2"/>
            <w:vAlign w:val="center"/>
          </w:tcPr>
          <w:p w14:paraId="69EA62BC" w14:textId="77777777" w:rsidR="007E5164" w:rsidRDefault="00000000">
            <w:pPr>
              <w:jc w:val="center"/>
              <w:rPr>
                <w:rFonts w:ascii="Times New Roman" w:hAnsi="Times New Roman"/>
                <w:i/>
                <w:iCs/>
                <w:color w:val="000000"/>
              </w:rPr>
            </w:pPr>
            <w:r>
              <w:rPr>
                <w:rFonts w:ascii="Times New Roman" w:hAnsi="Times New Roman" w:hint="eastAsia"/>
                <w:i/>
                <w:iCs/>
                <w:color w:val="000000"/>
              </w:rPr>
              <w:t>LDL-C</w:t>
            </w:r>
          </w:p>
        </w:tc>
        <w:tc>
          <w:tcPr>
            <w:tcW w:w="1489" w:type="dxa"/>
            <w:shd w:val="clear" w:color="auto" w:fill="F2F2F2" w:themeFill="background1" w:themeFillShade="F2"/>
            <w:vAlign w:val="center"/>
          </w:tcPr>
          <w:p w14:paraId="5FDAA993"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Numerical</w:t>
            </w:r>
          </w:p>
        </w:tc>
        <w:tc>
          <w:tcPr>
            <w:tcW w:w="1490" w:type="dxa"/>
            <w:shd w:val="clear" w:color="auto" w:fill="F2F2F2" w:themeFill="background1" w:themeFillShade="F2"/>
            <w:vAlign w:val="center"/>
          </w:tcPr>
          <w:p w14:paraId="62A86017"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2.507852</w:t>
            </w:r>
          </w:p>
        </w:tc>
        <w:tc>
          <w:tcPr>
            <w:tcW w:w="1489" w:type="dxa"/>
            <w:shd w:val="clear" w:color="auto" w:fill="F2F2F2" w:themeFill="background1" w:themeFillShade="F2"/>
            <w:vAlign w:val="center"/>
          </w:tcPr>
          <w:p w14:paraId="707B3D93"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0.910413</w:t>
            </w:r>
          </w:p>
        </w:tc>
        <w:tc>
          <w:tcPr>
            <w:tcW w:w="1490" w:type="dxa"/>
            <w:shd w:val="clear" w:color="auto" w:fill="F2F2F2" w:themeFill="background1" w:themeFillShade="F2"/>
            <w:vAlign w:val="center"/>
          </w:tcPr>
          <w:p w14:paraId="42F62DD5"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(0.46,5.07)</w:t>
            </w:r>
          </w:p>
        </w:tc>
      </w:tr>
      <w:tr w:rsidR="007E5164" w14:paraId="1BC93004" w14:textId="77777777" w:rsidTr="007E5164">
        <w:tc>
          <w:tcPr>
            <w:cnfStyle w:val="001000000000" w:firstRow="0" w:lastRow="0" w:firstColumn="1" w:lastColumn="0" w:oddVBand="0" w:evenVBand="0" w:oddHBand="0" w:evenHBand="0" w:firstRowFirstColumn="0" w:firstRowLastColumn="0" w:lastRowFirstColumn="0" w:lastRowLastColumn="0"/>
            <w:tcW w:w="2451" w:type="dxa"/>
            <w:vAlign w:val="center"/>
          </w:tcPr>
          <w:p w14:paraId="0580975D" w14:textId="77777777" w:rsidR="007E5164" w:rsidRDefault="00000000">
            <w:pPr>
              <w:jc w:val="center"/>
              <w:rPr>
                <w:rFonts w:ascii="Times New Roman" w:hAnsi="Times New Roman"/>
                <w:i/>
                <w:iCs/>
                <w:color w:val="000000"/>
              </w:rPr>
            </w:pPr>
            <w:r>
              <w:rPr>
                <w:rFonts w:ascii="Times New Roman" w:hAnsi="Times New Roman" w:hint="eastAsia"/>
                <w:i/>
                <w:iCs/>
                <w:color w:val="000000"/>
              </w:rPr>
              <w:t>Apo-A1</w:t>
            </w:r>
          </w:p>
        </w:tc>
        <w:tc>
          <w:tcPr>
            <w:tcW w:w="1489" w:type="dxa"/>
            <w:vAlign w:val="center"/>
          </w:tcPr>
          <w:p w14:paraId="313B830F"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Numerical</w:t>
            </w:r>
          </w:p>
        </w:tc>
        <w:tc>
          <w:tcPr>
            <w:tcW w:w="1490" w:type="dxa"/>
            <w:vAlign w:val="center"/>
          </w:tcPr>
          <w:p w14:paraId="531F99BC"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0.906593</w:t>
            </w:r>
          </w:p>
        </w:tc>
        <w:tc>
          <w:tcPr>
            <w:tcW w:w="1489" w:type="dxa"/>
            <w:vAlign w:val="center"/>
          </w:tcPr>
          <w:p w14:paraId="7E599F7A"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0.204342</w:t>
            </w:r>
          </w:p>
        </w:tc>
        <w:tc>
          <w:tcPr>
            <w:tcW w:w="1490" w:type="dxa"/>
            <w:vAlign w:val="center"/>
          </w:tcPr>
          <w:p w14:paraId="4F4817E3"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(0.46,1.63)</w:t>
            </w:r>
          </w:p>
        </w:tc>
      </w:tr>
      <w:tr w:rsidR="007E5164" w14:paraId="3081EDB6" w14:textId="77777777" w:rsidTr="007E5164">
        <w:tc>
          <w:tcPr>
            <w:cnfStyle w:val="001000000000" w:firstRow="0" w:lastRow="0" w:firstColumn="1" w:lastColumn="0" w:oddVBand="0" w:evenVBand="0" w:oddHBand="0" w:evenHBand="0" w:firstRowFirstColumn="0" w:firstRowLastColumn="0" w:lastRowFirstColumn="0" w:lastRowLastColumn="0"/>
            <w:tcW w:w="2451" w:type="dxa"/>
            <w:shd w:val="clear" w:color="auto" w:fill="F2F2F2" w:themeFill="background1" w:themeFillShade="F2"/>
            <w:vAlign w:val="center"/>
          </w:tcPr>
          <w:p w14:paraId="1043C70C" w14:textId="77777777" w:rsidR="007E5164" w:rsidRDefault="00000000">
            <w:pPr>
              <w:jc w:val="center"/>
              <w:rPr>
                <w:rFonts w:ascii="Times New Roman" w:hAnsi="Times New Roman"/>
                <w:i/>
                <w:iCs/>
                <w:color w:val="000000"/>
              </w:rPr>
            </w:pPr>
            <w:r>
              <w:rPr>
                <w:rFonts w:ascii="Times New Roman" w:hAnsi="Times New Roman" w:hint="eastAsia"/>
                <w:i/>
                <w:iCs/>
                <w:color w:val="000000"/>
              </w:rPr>
              <w:t>HbA1c%</w:t>
            </w:r>
          </w:p>
        </w:tc>
        <w:tc>
          <w:tcPr>
            <w:tcW w:w="1489" w:type="dxa"/>
            <w:shd w:val="clear" w:color="auto" w:fill="F2F2F2" w:themeFill="background1" w:themeFillShade="F2"/>
            <w:vAlign w:val="center"/>
          </w:tcPr>
          <w:p w14:paraId="1337D6AD"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Numerical</w:t>
            </w:r>
          </w:p>
        </w:tc>
        <w:tc>
          <w:tcPr>
            <w:tcW w:w="1490" w:type="dxa"/>
            <w:shd w:val="clear" w:color="auto" w:fill="F2F2F2" w:themeFill="background1" w:themeFillShade="F2"/>
            <w:vAlign w:val="center"/>
          </w:tcPr>
          <w:p w14:paraId="603370FB"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6.245528</w:t>
            </w:r>
          </w:p>
        </w:tc>
        <w:tc>
          <w:tcPr>
            <w:tcW w:w="1489" w:type="dxa"/>
            <w:shd w:val="clear" w:color="auto" w:fill="F2F2F2" w:themeFill="background1" w:themeFillShade="F2"/>
            <w:vAlign w:val="center"/>
          </w:tcPr>
          <w:p w14:paraId="308227A0"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1.163675</w:t>
            </w:r>
          </w:p>
        </w:tc>
        <w:tc>
          <w:tcPr>
            <w:tcW w:w="1490" w:type="dxa"/>
            <w:shd w:val="clear" w:color="auto" w:fill="F2F2F2" w:themeFill="background1" w:themeFillShade="F2"/>
            <w:vAlign w:val="center"/>
          </w:tcPr>
          <w:p w14:paraId="0C36E1D2" w14:textId="77777777" w:rsidR="007E5164"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Pr>
                <w:rFonts w:ascii="Times New Roman" w:hAnsi="Times New Roman" w:hint="eastAsia"/>
                <w:color w:val="000000"/>
              </w:rPr>
              <w:t>(4.3,11.3)</w:t>
            </w:r>
          </w:p>
        </w:tc>
      </w:tr>
    </w:tbl>
    <w:p w14:paraId="03893058" w14:textId="77777777" w:rsidR="007E5164" w:rsidRDefault="007E5164">
      <w:pPr>
        <w:rPr>
          <w:rFonts w:ascii="Times New Roman" w:eastAsia="宋体" w:hAnsi="Times New Roman"/>
          <w:sz w:val="24"/>
          <w:szCs w:val="24"/>
        </w:rPr>
      </w:pPr>
    </w:p>
    <w:p w14:paraId="41104F8C" w14:textId="77777777" w:rsidR="007E5164" w:rsidRDefault="00000000">
      <w:pPr>
        <w:spacing w:line="360" w:lineRule="auto"/>
        <w:ind w:firstLineChars="200" w:firstLine="482"/>
        <w:rPr>
          <w:rFonts w:ascii="Times New Roman" w:eastAsia="宋体" w:hAnsi="Times New Roman"/>
          <w:sz w:val="24"/>
          <w:szCs w:val="24"/>
        </w:rPr>
      </w:pPr>
      <w:r>
        <w:rPr>
          <w:rFonts w:ascii="Times New Roman" w:eastAsia="宋体" w:hAnsi="Times New Roman"/>
          <w:b/>
          <w:bCs/>
          <w:i/>
          <w:iCs/>
          <w:sz w:val="24"/>
          <w:szCs w:val="24"/>
        </w:rPr>
        <w:t>Cinematic Data</w:t>
      </w:r>
      <w:r>
        <w:rPr>
          <w:rFonts w:ascii="Times New Roman" w:eastAsia="宋体" w:hAnsi="Times New Roman"/>
          <w:b/>
          <w:bCs/>
          <w:i/>
          <w:iCs/>
          <w:sz w:val="24"/>
          <w:szCs w:val="24"/>
        </w:rPr>
        <w:t>：</w:t>
      </w:r>
      <w:r>
        <w:rPr>
          <w:rFonts w:ascii="Times New Roman" w:eastAsia="宋体" w:hAnsi="Times New Roman"/>
          <w:sz w:val="24"/>
          <w:szCs w:val="24"/>
        </w:rPr>
        <w:t>All CMR cinematic data are standardized in spatial resolution and uniformly scaled to a size of 512×512×16 pixels. To mitigate intensity variations, the intensity values are normalized</w:t>
      </w:r>
      <w:r>
        <w:rPr>
          <w:rFonts w:ascii="Times New Roman" w:eastAsia="宋体" w:hAnsi="Times New Roman" w:hint="eastAsia"/>
          <w:sz w:val="24"/>
          <w:szCs w:val="24"/>
        </w:rPr>
        <w:t xml:space="preserve"> to</w:t>
      </w:r>
      <w:r>
        <w:rPr>
          <w:rFonts w:ascii="Times New Roman" w:eastAsia="宋体" w:hAnsi="Times New Roman"/>
          <w:sz w:val="24"/>
          <w:szCs w:val="24"/>
        </w:rPr>
        <w:t xml:space="preserve"> ensuring consistent preprocessing standards across all samples.</w:t>
      </w:r>
    </w:p>
    <w:p w14:paraId="29C894D0" w14:textId="77777777" w:rsidR="007E5164" w:rsidRDefault="00000000">
      <w:pPr>
        <w:spacing w:line="360" w:lineRule="auto"/>
        <w:ind w:firstLineChars="200" w:firstLine="482"/>
        <w:rPr>
          <w:rFonts w:ascii="Times New Roman" w:eastAsia="宋体" w:hAnsi="Times New Roman"/>
          <w:sz w:val="24"/>
          <w:szCs w:val="24"/>
        </w:rPr>
      </w:pPr>
      <w:r>
        <w:rPr>
          <w:rFonts w:ascii="Times New Roman" w:eastAsia="宋体" w:hAnsi="Times New Roman"/>
          <w:b/>
          <w:bCs/>
          <w:i/>
          <w:iCs/>
          <w:sz w:val="24"/>
          <w:szCs w:val="24"/>
        </w:rPr>
        <w:t>Textual Data</w:t>
      </w:r>
      <w:r>
        <w:rPr>
          <w:rFonts w:ascii="Times New Roman" w:eastAsia="宋体" w:hAnsi="Times New Roman"/>
          <w:b/>
          <w:bCs/>
          <w:i/>
          <w:iCs/>
          <w:sz w:val="24"/>
          <w:szCs w:val="24"/>
        </w:rPr>
        <w:t>：</w:t>
      </w:r>
      <w:r>
        <w:rPr>
          <w:rFonts w:ascii="Times New Roman" w:eastAsia="宋体" w:hAnsi="Times New Roman" w:hint="eastAsia"/>
          <w:sz w:val="24"/>
          <w:szCs w:val="24"/>
        </w:rPr>
        <w:t>A Transformer-based tokenizer is used for encoding. The BERT tokenizer tokenizes textual data, truncating or padding all text to a fixed length of 512 tokens for consistency. Additionally, an attention mask is generated to handle texts of varying lengths. The encoded textual features are then converted into tensors for model input.</w:t>
      </w:r>
    </w:p>
    <w:p w14:paraId="0F01B912" w14:textId="77777777" w:rsidR="007E5164" w:rsidRDefault="00000000">
      <w:pPr>
        <w:spacing w:line="360" w:lineRule="auto"/>
        <w:ind w:firstLineChars="200" w:firstLine="482"/>
        <w:rPr>
          <w:rFonts w:ascii="Times New Roman" w:eastAsia="宋体" w:hAnsi="Times New Roman"/>
          <w:sz w:val="24"/>
          <w:szCs w:val="24"/>
        </w:rPr>
      </w:pPr>
      <w:r>
        <w:rPr>
          <w:rFonts w:ascii="Times New Roman" w:eastAsia="宋体" w:hAnsi="Times New Roman"/>
          <w:b/>
          <w:bCs/>
          <w:i/>
          <w:iCs/>
          <w:sz w:val="24"/>
          <w:szCs w:val="24"/>
        </w:rPr>
        <w:t>Numerical Data</w:t>
      </w:r>
      <w:r>
        <w:rPr>
          <w:rFonts w:ascii="Times New Roman" w:eastAsia="宋体" w:hAnsi="Times New Roman"/>
          <w:b/>
          <w:bCs/>
          <w:i/>
          <w:iCs/>
          <w:sz w:val="24"/>
          <w:szCs w:val="24"/>
        </w:rPr>
        <w:t>：</w:t>
      </w:r>
      <w:r>
        <w:rPr>
          <w:rFonts w:ascii="Times New Roman" w:eastAsia="宋体" w:hAnsi="Times New Roman" w:hint="eastAsia"/>
          <w:sz w:val="24"/>
          <w:szCs w:val="24"/>
        </w:rPr>
        <w:t>The median is used to impute missing values, minimizing the influence of extreme values.</w:t>
      </w:r>
      <w:r>
        <w:rPr>
          <w:rFonts w:ascii="Times New Roman" w:eastAsia="宋体" w:hAnsi="Times New Roman"/>
          <w:sz w:val="24"/>
          <w:szCs w:val="24"/>
        </w:rPr>
        <w:t xml:space="preserve"> Subsequently, all numerical features are scaled to the [0, 1] range using Min-Max normalization, ensuring equal weighting of different features during training. To address class imbalance in minority case data, an </w:t>
      </w:r>
      <w:proofErr w:type="spellStart"/>
      <w:r>
        <w:rPr>
          <w:rFonts w:ascii="Times New Roman" w:eastAsia="宋体" w:hAnsi="Times New Roman"/>
          <w:sz w:val="24"/>
          <w:szCs w:val="24"/>
        </w:rPr>
        <w:t>undersampling</w:t>
      </w:r>
      <w:proofErr w:type="spellEnd"/>
      <w:r>
        <w:rPr>
          <w:rFonts w:ascii="Times New Roman" w:eastAsia="宋体" w:hAnsi="Times New Roman"/>
          <w:sz w:val="24"/>
          <w:szCs w:val="24"/>
        </w:rPr>
        <w:t xml:space="preserve"> strategy is applied. This approach enhances the model’s focus on minority class samples, resulting in a more balanced data distribution and improved predictive performance for minority categories while maintaining overall stability.</w:t>
      </w:r>
    </w:p>
    <w:p w14:paraId="5025A248" w14:textId="77777777" w:rsidR="007E5164" w:rsidRDefault="00000000">
      <w:pPr>
        <w:rPr>
          <w:rFonts w:ascii="Times New Roman" w:hAnsi="Times New Roman"/>
          <w:b/>
          <w:bCs/>
          <w:sz w:val="28"/>
          <w:szCs w:val="28"/>
        </w:rPr>
      </w:pPr>
      <w:r>
        <w:rPr>
          <w:rFonts w:ascii="Times New Roman" w:hAnsi="Times New Roman" w:hint="eastAsia"/>
          <w:b/>
          <w:bCs/>
          <w:sz w:val="28"/>
          <w:szCs w:val="28"/>
        </w:rPr>
        <w:t xml:space="preserve">Cinematic </w:t>
      </w:r>
      <w:r>
        <w:rPr>
          <w:rFonts w:ascii="Times New Roman" w:hAnsi="Times New Roman"/>
          <w:b/>
          <w:bCs/>
          <w:sz w:val="28"/>
          <w:szCs w:val="28"/>
        </w:rPr>
        <w:t>Feature Extraction</w:t>
      </w:r>
      <w:r>
        <w:rPr>
          <w:rFonts w:ascii="Times New Roman" w:hAnsi="Times New Roman" w:hint="eastAsia"/>
          <w:b/>
          <w:bCs/>
          <w:sz w:val="28"/>
          <w:szCs w:val="28"/>
        </w:rPr>
        <w:t xml:space="preserve"> Module</w:t>
      </w:r>
    </w:p>
    <w:p w14:paraId="4ECF8D94" w14:textId="77777777" w:rsidR="007E5164"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 xml:space="preserve">In </w:t>
      </w:r>
      <w:r>
        <w:rPr>
          <w:rFonts w:ascii="Times New Roman" w:eastAsia="宋体" w:hAnsi="Times New Roman"/>
          <w:sz w:val="24"/>
          <w:szCs w:val="24"/>
        </w:rPr>
        <w:t>myocardial fibrosis detection</w:t>
      </w:r>
      <w:r>
        <w:rPr>
          <w:rFonts w:ascii="Times New Roman" w:hAnsi="Times New Roman"/>
          <w:sz w:val="24"/>
          <w:szCs w:val="24"/>
        </w:rPr>
        <w:t xml:space="preserve"> tasks, we employ the DAE-Former model []. DAE </w:t>
      </w:r>
      <w:r>
        <w:rPr>
          <w:rFonts w:ascii="Times New Roman" w:hAnsi="Times New Roman"/>
          <w:sz w:val="24"/>
          <w:szCs w:val="24"/>
        </w:rPr>
        <w:lastRenderedPageBreak/>
        <w:t>is a pure Transformer architecture designed specifically for medical image segmentation. It addresses the limitations of traditional convolutional neural networks (CNNs) in capturing long-range dependencies and global contextual information while overcoming the high computational complexity of standard Transformers.</w:t>
      </w:r>
    </w:p>
    <w:p w14:paraId="0B77566A" w14:textId="77777777" w:rsidR="007E5164"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 xml:space="preserve">As illustrated in the imaging processing workflow in Fig. 4, DAE-Former consists of an input encoder, output encoder, Efficient Dual Attention (Efficient Attention </w:t>
      </w:r>
      <w:r>
        <w:rPr>
          <w:rFonts w:ascii="Times New Roman" w:hAnsi="Times New Roman" w:hint="eastAsia"/>
          <w:sz w:val="24"/>
          <w:szCs w:val="24"/>
        </w:rPr>
        <w:t>and</w:t>
      </w:r>
      <w:r>
        <w:rPr>
          <w:rFonts w:ascii="Times New Roman" w:hAnsi="Times New Roman"/>
          <w:sz w:val="24"/>
          <w:szCs w:val="24"/>
        </w:rPr>
        <w:t xml:space="preserve"> Transpose Attention), Skip Connection Cross Attention (SCCA), and an output layer. The core components of the model are Efficient Dual Attention and Skip Connection Cross Attention (SCCA), with their structural diagrams detailed in Appendix </w:t>
      </w:r>
      <w:r>
        <w:rPr>
          <w:rFonts w:ascii="Times New Roman" w:hAnsi="Times New Roman" w:hint="eastAsia"/>
          <w:sz w:val="24"/>
          <w:szCs w:val="24"/>
        </w:rPr>
        <w:t>A</w:t>
      </w:r>
      <w:r>
        <w:rPr>
          <w:rFonts w:ascii="Times New Roman" w:hAnsi="Times New Roman"/>
          <w:sz w:val="24"/>
          <w:szCs w:val="24"/>
        </w:rPr>
        <w:t>.</w:t>
      </w:r>
    </w:p>
    <w:p w14:paraId="7C3AC658" w14:textId="77777777" w:rsidR="007E5164" w:rsidRDefault="00000000">
      <w:pPr>
        <w:rPr>
          <w:rFonts w:ascii="Times New Roman" w:hAnsi="Times New Roman"/>
          <w:b/>
          <w:bCs/>
          <w:sz w:val="28"/>
          <w:szCs w:val="28"/>
        </w:rPr>
      </w:pPr>
      <w:r>
        <w:rPr>
          <w:rFonts w:ascii="Times New Roman" w:hAnsi="Times New Roman"/>
          <w:b/>
          <w:bCs/>
          <w:sz w:val="28"/>
          <w:szCs w:val="28"/>
        </w:rPr>
        <w:t>Efficient Dual Attention</w:t>
      </w:r>
    </w:p>
    <w:p w14:paraId="75D813C1" w14:textId="77777777" w:rsidR="007E5164"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Efficient Dual Attention combines Efficient Attention (to capture spatial information) and Transpose Attention (to capture channel information), enhancing the model’s ability to comprehend contextual features. These two mechanisms are applied sequentially, with normalization and residual connections incorporated to improve stability.</w:t>
      </w:r>
    </w:p>
    <w:p w14:paraId="7D7AC1A1" w14:textId="77777777" w:rsidR="007E5164" w:rsidRDefault="00000000">
      <w:pPr>
        <w:rPr>
          <w:rFonts w:ascii="Times New Roman" w:hAnsi="Times New Roman"/>
          <w:b/>
          <w:bCs/>
          <w:sz w:val="28"/>
          <w:szCs w:val="28"/>
        </w:rPr>
      </w:pPr>
      <w:r>
        <w:rPr>
          <w:rFonts w:ascii="Times New Roman" w:hAnsi="Times New Roman"/>
          <w:b/>
          <w:bCs/>
          <w:sz w:val="28"/>
          <w:szCs w:val="28"/>
        </w:rPr>
        <w:t>Skip Connection Cross Attention (SCCA)</w:t>
      </w:r>
    </w:p>
    <w:p w14:paraId="69633AB1" w14:textId="77777777" w:rsidR="007E5164"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SCCA introduces a cross-attention mechanism into the traditional U-Net architecture. It adaptively fuses encoder features with decoder low-level features, enabling seamless integration of encoder and decoder representations. This process involves linear projection and efficient attention fusion methods, which enhance the recovery of segmentation boundaries and fine details.</w:t>
      </w:r>
    </w:p>
    <w:p w14:paraId="1ECF8639" w14:textId="77777777" w:rsidR="007E5164"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 xml:space="preserve">For myocardial fibrosis feature extraction from CMR cinematic images, the raw coronal CMR images are first analyzed frame by frame. Myocardial regions, fibrosis shadow regions, and other areas are segmented into different masks. The CMR images, matched with their corresponding masks, are then fed into the DAE-Former network. </w:t>
      </w:r>
      <w:r>
        <w:rPr>
          <w:rFonts w:ascii="Times New Roman" w:hAnsi="Times New Roman" w:hint="eastAsia"/>
          <w:sz w:val="24"/>
          <w:szCs w:val="24"/>
        </w:rPr>
        <w:t>The model identifies potential lesion areas within individual frames and tracks their consistency across multiple slices, leveraging the attention mechanisms inherent in Transformers.</w:t>
      </w:r>
      <w:r>
        <w:rPr>
          <w:rFonts w:ascii="Times New Roman" w:hAnsi="Times New Roman"/>
          <w:sz w:val="24"/>
          <w:szCs w:val="24"/>
        </w:rPr>
        <w:t xml:space="preserve"> </w:t>
      </w:r>
      <w:r>
        <w:rPr>
          <w:rFonts w:ascii="Times New Roman" w:hAnsi="Times New Roman" w:hint="eastAsia"/>
          <w:sz w:val="24"/>
          <w:szCs w:val="24"/>
        </w:rPr>
        <w:t xml:space="preserve">Consequently, our model can generate stable and accurate predictions of lesion regions, with the ability to capture changes in lesion positions across consecutive </w:t>
      </w:r>
      <w:r>
        <w:rPr>
          <w:rFonts w:ascii="Times New Roman" w:hAnsi="Times New Roman" w:hint="eastAsia"/>
          <w:sz w:val="24"/>
          <w:szCs w:val="24"/>
        </w:rPr>
        <w:lastRenderedPageBreak/>
        <w:t>frames.</w:t>
      </w:r>
    </w:p>
    <w:p w14:paraId="1A5CFE18" w14:textId="77777777" w:rsidR="007E5164" w:rsidRDefault="00000000">
      <w:pPr>
        <w:rPr>
          <w:rFonts w:ascii="Times New Roman" w:hAnsi="Times New Roman"/>
          <w:b/>
          <w:bCs/>
          <w:sz w:val="28"/>
          <w:szCs w:val="28"/>
        </w:rPr>
      </w:pPr>
      <w:r>
        <w:rPr>
          <w:rFonts w:ascii="Times New Roman" w:hAnsi="Times New Roman" w:hint="eastAsia"/>
          <w:b/>
          <w:bCs/>
          <w:sz w:val="28"/>
          <w:szCs w:val="28"/>
        </w:rPr>
        <w:t xml:space="preserve">Numerical </w:t>
      </w:r>
      <w:r>
        <w:rPr>
          <w:rFonts w:ascii="Times New Roman" w:hAnsi="Times New Roman"/>
          <w:b/>
          <w:bCs/>
          <w:sz w:val="28"/>
          <w:szCs w:val="28"/>
        </w:rPr>
        <w:t>Feature Extraction</w:t>
      </w:r>
      <w:r>
        <w:rPr>
          <w:rFonts w:ascii="Times New Roman" w:hAnsi="Times New Roman" w:hint="eastAsia"/>
          <w:b/>
          <w:bCs/>
          <w:sz w:val="28"/>
          <w:szCs w:val="28"/>
        </w:rPr>
        <w:t xml:space="preserve"> Module</w:t>
      </w:r>
    </w:p>
    <w:p w14:paraId="7C8C99D5" w14:textId="77777777" w:rsidR="007E5164"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In the numerical tasks, a fully connected layer is designed to process patients' clinical numerical indicators</w:t>
      </w:r>
      <w:r>
        <w:rPr>
          <w:rFonts w:ascii="Times New Roman" w:hAnsi="Times New Roman" w:hint="eastAsia"/>
          <w:sz w:val="24"/>
          <w:szCs w:val="24"/>
        </w:rPr>
        <w:t>, a</w:t>
      </w:r>
      <w:r>
        <w:rPr>
          <w:rFonts w:ascii="Times New Roman" w:hAnsi="Times New Roman"/>
          <w:sz w:val="24"/>
          <w:szCs w:val="24"/>
        </w:rPr>
        <w:t xml:space="preserve">s illustrated in Fig. 4. the preprocessed numerical features are input into a fully connected network for deep feature extraction. The first layer maps the normalized input data into a 512-dimensional intermediate feature space, incorporating a </w:t>
      </w:r>
      <w:proofErr w:type="spellStart"/>
      <w:r>
        <w:rPr>
          <w:rFonts w:ascii="Times New Roman" w:hAnsi="Times New Roman"/>
          <w:sz w:val="24"/>
          <w:szCs w:val="24"/>
        </w:rPr>
        <w:t>ReLU</w:t>
      </w:r>
      <w:proofErr w:type="spellEnd"/>
      <w:r>
        <w:rPr>
          <w:rFonts w:ascii="Times New Roman" w:hAnsi="Times New Roman"/>
          <w:sz w:val="24"/>
          <w:szCs w:val="24"/>
        </w:rPr>
        <w:t xml:space="preserve"> activation function to introduce non-linearity. To prevent overfitting, a Dropout layer with a dropout rate of 0.2 is added after the first layer. The second layer further reduces the intermediate features to 256 dimensions to standardize the feature size, facilitating convenient input for subsequent multimodal feature fusion. The final output is a feature tensor with a size of </w:t>
      </w:r>
      <w:proofErr w:type="spellStart"/>
      <w:r>
        <w:rPr>
          <w:rFonts w:ascii="Times New Roman" w:hAnsi="Times New Roman"/>
          <w:sz w:val="24"/>
          <w:szCs w:val="24"/>
        </w:rPr>
        <w:t>Batchsize</w:t>
      </w:r>
      <w:proofErr w:type="spellEnd"/>
      <w:r>
        <w:rPr>
          <w:rFonts w:ascii="Times New Roman" w:hAnsi="Times New Roman"/>
          <w:sz w:val="24"/>
          <w:szCs w:val="24"/>
        </w:rPr>
        <w:t xml:space="preserve"> × 256, consistent with features from other modalities.</w:t>
      </w:r>
    </w:p>
    <w:p w14:paraId="38F68CA5" w14:textId="77777777" w:rsidR="007E5164" w:rsidRDefault="00000000">
      <w:pPr>
        <w:rPr>
          <w:rFonts w:ascii="Times New Roman" w:hAnsi="Times New Roman"/>
          <w:b/>
          <w:bCs/>
          <w:sz w:val="28"/>
          <w:szCs w:val="28"/>
        </w:rPr>
      </w:pPr>
      <w:r>
        <w:rPr>
          <w:rFonts w:ascii="Times New Roman" w:hAnsi="Times New Roman" w:hint="eastAsia"/>
          <w:b/>
          <w:bCs/>
          <w:sz w:val="28"/>
          <w:szCs w:val="28"/>
        </w:rPr>
        <w:t xml:space="preserve">Textual </w:t>
      </w:r>
      <w:r>
        <w:rPr>
          <w:rFonts w:ascii="Times New Roman" w:hAnsi="Times New Roman"/>
          <w:b/>
          <w:bCs/>
          <w:sz w:val="28"/>
          <w:szCs w:val="28"/>
        </w:rPr>
        <w:t>Feature Extraction</w:t>
      </w:r>
      <w:r>
        <w:rPr>
          <w:rFonts w:ascii="Times New Roman" w:hAnsi="Times New Roman" w:hint="eastAsia"/>
          <w:b/>
          <w:bCs/>
          <w:sz w:val="28"/>
          <w:szCs w:val="28"/>
        </w:rPr>
        <w:t xml:space="preserve"> Module</w:t>
      </w:r>
    </w:p>
    <w:p w14:paraId="657E70FA" w14:textId="77777777" w:rsidR="007E5164"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 xml:space="preserve">The textual feature extraction module plays a critical role in the heart failure prognosis prediction model. These textual data often contain detailed drug usage information and phased adjustments, which are key to clinical predictions. </w:t>
      </w:r>
      <w:r>
        <w:rPr>
          <w:rFonts w:ascii="Times New Roman" w:hAnsi="Times New Roman" w:hint="eastAsia"/>
          <w:sz w:val="24"/>
          <w:szCs w:val="24"/>
        </w:rPr>
        <w:t>In this module, a</w:t>
      </w:r>
      <w:r>
        <w:rPr>
          <w:rFonts w:ascii="Times New Roman" w:hAnsi="Times New Roman"/>
          <w:sz w:val="24"/>
          <w:szCs w:val="24"/>
        </w:rPr>
        <w:t xml:space="preserve"> pre-trained BERT model is employed to extract deep semantic features from the textual data. </w:t>
      </w:r>
      <w:r>
        <w:rPr>
          <w:rFonts w:ascii="Times New Roman" w:hAnsi="Times New Roman" w:hint="eastAsia"/>
          <w:sz w:val="24"/>
          <w:szCs w:val="24"/>
        </w:rPr>
        <w:t>BERT can effectively capture the semantic relationships among words within a sentence, leveraging its strong contextual understanding capabilities. It constructs a comprehensive and accurate representation of textual features, which also enriches the predictive model with semantic insights.</w:t>
      </w:r>
    </w:p>
    <w:p w14:paraId="3EC11B42" w14:textId="77777777" w:rsidR="007E5164"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As shown in Fig. 4, textual input is first processed through the BERT tokenizer. Patients' medical histories and medication records are integrated into natural language sentence forms and input into the BERT model for embedding. During this process, BERT utilizes its multi-layer bidirectional Transformer structure to parse the input text word by word, extracting dynamic semantic relationships for each word within its context. The model outputs a global feature vector that encapsulates the overall semantic information of the text, including key clinical details such as drug types and dosage adjustments.</w:t>
      </w:r>
    </w:p>
    <w:p w14:paraId="113F9729" w14:textId="77777777" w:rsidR="007E5164" w:rsidRDefault="00000000">
      <w:pPr>
        <w:spacing w:line="360" w:lineRule="auto"/>
        <w:ind w:firstLineChars="200" w:firstLine="480"/>
        <w:rPr>
          <w:rFonts w:ascii="Times New Roman" w:hAnsi="Times New Roman"/>
          <w:sz w:val="24"/>
          <w:szCs w:val="24"/>
        </w:rPr>
      </w:pPr>
      <w:r>
        <w:rPr>
          <w:rFonts w:ascii="Times New Roman" w:hAnsi="Times New Roman"/>
          <w:sz w:val="24"/>
          <w:szCs w:val="24"/>
        </w:rPr>
        <w:lastRenderedPageBreak/>
        <w:t xml:space="preserve">To further enhance the expressiveness of textual features and align them with features from other modalities, a fully connected layer is added after the BERT model's output layer. This layer is designed to reduce dimensionality, mapping the 768-dimensional semantic vector to a 256-dimensional feature space. This dimensionality reduction not only decreases computational complexity but also ensures dimensional consistency with image and numerical features during the feature fusion stage. </w:t>
      </w:r>
      <w:r>
        <w:rPr>
          <w:rFonts w:ascii="Times New Roman" w:hAnsi="Times New Roman" w:hint="eastAsia"/>
          <w:sz w:val="24"/>
          <w:szCs w:val="24"/>
        </w:rPr>
        <w:t>Besides, t</w:t>
      </w:r>
      <w:r>
        <w:rPr>
          <w:rFonts w:ascii="Times New Roman" w:hAnsi="Times New Roman"/>
          <w:sz w:val="24"/>
          <w:szCs w:val="24"/>
        </w:rPr>
        <w:t>h</w:t>
      </w:r>
      <w:r>
        <w:rPr>
          <w:rFonts w:ascii="Times New Roman" w:hAnsi="Times New Roman" w:hint="eastAsia"/>
          <w:sz w:val="24"/>
          <w:szCs w:val="24"/>
        </w:rPr>
        <w:t>e</w:t>
      </w:r>
      <w:r>
        <w:rPr>
          <w:rFonts w:ascii="Times New Roman" w:hAnsi="Times New Roman"/>
          <w:sz w:val="24"/>
          <w:szCs w:val="24"/>
        </w:rPr>
        <w:t xml:space="preserve"> step optimizes the representation of textual features, retaining original semantic information while improving computational efficiency.</w:t>
      </w:r>
    </w:p>
    <w:p w14:paraId="4F96ADC0" w14:textId="77777777" w:rsidR="007E5164" w:rsidRDefault="00000000">
      <w:pPr>
        <w:rPr>
          <w:rFonts w:ascii="Times New Roman" w:hAnsi="Times New Roman"/>
          <w:b/>
          <w:bCs/>
          <w:sz w:val="28"/>
          <w:szCs w:val="28"/>
        </w:rPr>
      </w:pPr>
      <w:r>
        <w:rPr>
          <w:rFonts w:ascii="Times New Roman" w:hAnsi="Times New Roman"/>
          <w:b/>
          <w:bCs/>
          <w:sz w:val="28"/>
          <w:szCs w:val="28"/>
        </w:rPr>
        <w:t>Multimodal Feature Fusion</w:t>
      </w:r>
    </w:p>
    <w:p w14:paraId="62947EE2" w14:textId="77777777" w:rsidR="007E5164" w:rsidRDefault="00000000">
      <w:pPr>
        <w:spacing w:line="360" w:lineRule="auto"/>
        <w:ind w:firstLineChars="200" w:firstLine="480"/>
        <w:rPr>
          <w:rFonts w:ascii="Times New Roman" w:hAnsi="Times New Roman"/>
          <w:sz w:val="24"/>
          <w:szCs w:val="28"/>
        </w:rPr>
      </w:pPr>
      <w:r>
        <w:rPr>
          <w:rFonts w:ascii="Times New Roman" w:hAnsi="Times New Roman"/>
          <w:sz w:val="24"/>
          <w:szCs w:val="28"/>
        </w:rPr>
        <w:t xml:space="preserve">We adopt a multimodal fusion strategy incorporating an attention mechanism to integrate features from cinematic, textual, and numerical modalities. </w:t>
      </w:r>
      <w:r>
        <w:rPr>
          <w:rFonts w:ascii="Times New Roman" w:hAnsi="Times New Roman" w:hint="eastAsia"/>
          <w:sz w:val="24"/>
          <w:szCs w:val="28"/>
        </w:rPr>
        <w:t>To implement this, we design a fusion process that consists of two stages: independent modality feature extraction and multimodal feature fusion, as depicted in Fig. 4.</w:t>
      </w:r>
    </w:p>
    <w:p w14:paraId="75D47FA9" w14:textId="77777777" w:rsidR="007E5164" w:rsidRDefault="00000000">
      <w:pPr>
        <w:spacing w:line="360" w:lineRule="auto"/>
        <w:ind w:firstLineChars="200" w:firstLine="480"/>
        <w:rPr>
          <w:rFonts w:ascii="Times New Roman" w:hAnsi="Times New Roman"/>
          <w:sz w:val="24"/>
          <w:szCs w:val="28"/>
        </w:rPr>
      </w:pPr>
      <w:r>
        <w:rPr>
          <w:rFonts w:ascii="Times New Roman" w:hAnsi="Times New Roman" w:hint="eastAsia"/>
          <w:sz w:val="24"/>
          <w:szCs w:val="28"/>
        </w:rPr>
        <w:t>In the feature extraction stage, unique features are independently extracted from each modality through dedicated modules. Cinematic data are processed by the DAE-Former model, capturing spatial and temporal information at the frame level. Textual data are processed by the BERT model, extracting semantic features to analyze medical histories and medication records. Numerical data are aggregated using a multi-layer perceptron (MLP) to represent clinical indicators. These modules ensure efficient learning of features within their respective spaces.</w:t>
      </w:r>
    </w:p>
    <w:p w14:paraId="7432753F" w14:textId="77777777" w:rsidR="007E5164" w:rsidRDefault="00000000">
      <w:pPr>
        <w:spacing w:line="360" w:lineRule="auto"/>
        <w:ind w:firstLineChars="200" w:firstLine="480"/>
        <w:rPr>
          <w:rFonts w:ascii="Times New Roman" w:hAnsi="Times New Roman"/>
          <w:sz w:val="24"/>
          <w:szCs w:val="28"/>
        </w:rPr>
      </w:pPr>
      <w:r>
        <w:rPr>
          <w:rFonts w:ascii="Times New Roman" w:hAnsi="Times New Roman" w:hint="eastAsia"/>
          <w:sz w:val="24"/>
          <w:szCs w:val="28"/>
        </w:rPr>
        <w:t xml:space="preserve">In the fusion stage, the model dynamically assigns weights to different modality features using an attention mechanism. Specifically, the features of each modality generate Query, Key, and Value matrices, which are used to calculate attention scores across modalities. These scores are scaled and transformed into probability distributions through the </w:t>
      </w:r>
      <w:proofErr w:type="spellStart"/>
      <w:r>
        <w:rPr>
          <w:rFonts w:ascii="Times New Roman" w:hAnsi="Times New Roman" w:hint="eastAsia"/>
          <w:sz w:val="24"/>
          <w:szCs w:val="28"/>
        </w:rPr>
        <w:t>Softmax</w:t>
      </w:r>
      <w:proofErr w:type="spellEnd"/>
      <w:r>
        <w:rPr>
          <w:rFonts w:ascii="Times New Roman" w:hAnsi="Times New Roman" w:hint="eastAsia"/>
          <w:sz w:val="24"/>
          <w:szCs w:val="28"/>
        </w:rPr>
        <w:t xml:space="preserve"> function, which serves as weights for the feature fusion process. The weighted features are then combined into contextual features. This dynamic process evaluates the contribution of each modality, emphasizing features that are more critical for prediction tasks. Additionally, the fusion strategy incorporates cross-modality regulation, enabling the interaction of information between modalities to </w:t>
      </w:r>
      <w:r>
        <w:rPr>
          <w:rFonts w:ascii="Times New Roman" w:hAnsi="Times New Roman" w:hint="eastAsia"/>
          <w:sz w:val="24"/>
          <w:szCs w:val="28"/>
        </w:rPr>
        <w:lastRenderedPageBreak/>
        <w:t>optimize feature representation collaboratively. For example, cinematic features can enhance the semantic representation of textual features, while textual features can improve the interpretation of numerical features. This dynamic interaction across modalities significantly boosts the expressiveness of fused features. Finally, the fused features are integrated through a linear layer to generate a unified feature representation for disease classification and mortality cause prediction. This multimodal fusion strategy not only leverages complementary information from different modalities but also achieves efficient predictive performance, providing essential support for personalized treatment strategies.</w:t>
      </w:r>
    </w:p>
    <w:p w14:paraId="4EC8DFA8" w14:textId="77777777" w:rsidR="007E5164" w:rsidRDefault="007E5164">
      <w:pPr>
        <w:spacing w:line="360" w:lineRule="auto"/>
        <w:ind w:firstLineChars="200" w:firstLine="800"/>
        <w:rPr>
          <w:rFonts w:ascii="Times New Roman" w:hAnsi="Times New Roman"/>
          <w:b/>
          <w:bCs/>
          <w:sz w:val="40"/>
          <w:szCs w:val="44"/>
        </w:rPr>
      </w:pPr>
    </w:p>
    <w:p w14:paraId="0B390DEC" w14:textId="77777777" w:rsidR="007E5164" w:rsidRDefault="00000000">
      <w:pPr>
        <w:spacing w:line="360" w:lineRule="auto"/>
        <w:rPr>
          <w:rFonts w:ascii="Times New Roman" w:hAnsi="Times New Roman"/>
          <w:b/>
          <w:bCs/>
          <w:sz w:val="32"/>
          <w:szCs w:val="36"/>
        </w:rPr>
      </w:pPr>
      <w:r>
        <w:rPr>
          <w:rFonts w:ascii="Times New Roman" w:hAnsi="Times New Roman"/>
          <w:b/>
          <w:bCs/>
          <w:sz w:val="32"/>
          <w:szCs w:val="36"/>
        </w:rPr>
        <w:t>Discussion</w:t>
      </w:r>
    </w:p>
    <w:p w14:paraId="26D7BAB4" w14:textId="77777777" w:rsidR="007E5164"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 xml:space="preserve">In this study, we introduce the M-PRTM, a Composable Strategy Framework for </w:t>
      </w:r>
      <w:r>
        <w:rPr>
          <w:rFonts w:ascii="Times New Roman" w:hAnsi="Times New Roman" w:hint="eastAsia"/>
          <w:sz w:val="24"/>
          <w:szCs w:val="24"/>
        </w:rPr>
        <w:t>HF</w:t>
      </w:r>
      <w:r>
        <w:rPr>
          <w:rFonts w:ascii="Times New Roman" w:hAnsi="Times New Roman"/>
          <w:sz w:val="24"/>
          <w:szCs w:val="24"/>
        </w:rPr>
        <w:t xml:space="preserve"> prognosis that leverages multimodal clinical intelligence. Our model integrates three primary data modalities: numerical indicators, textual prescriptions, and CMR cinematic data. Each modality is processed using specialized architectures, with the DAE-Former for cinematic data, a fully connected network for numerical data, and a BERT-based model for textual data. These representations are fused through an adaptive attention mechanism</w:t>
      </w:r>
      <w:r>
        <w:rPr>
          <w:rFonts w:ascii="Times New Roman" w:hAnsi="Times New Roman" w:hint="eastAsia"/>
          <w:sz w:val="24"/>
          <w:szCs w:val="24"/>
        </w:rPr>
        <w:t xml:space="preserve"> []</w:t>
      </w:r>
      <w:r>
        <w:rPr>
          <w:rFonts w:ascii="Times New Roman" w:hAnsi="Times New Roman"/>
          <w:sz w:val="24"/>
          <w:szCs w:val="24"/>
        </w:rPr>
        <w:t xml:space="preserve"> that dynamically prioritizes critical features, such as drug prescriptions and vital signs. The model achieves an accuracy of 96.5% in </w:t>
      </w:r>
      <w:r>
        <w:rPr>
          <w:rFonts w:ascii="Times New Roman" w:hAnsi="Times New Roman" w:hint="eastAsia"/>
          <w:sz w:val="24"/>
          <w:szCs w:val="24"/>
        </w:rPr>
        <w:t>HF</w:t>
      </w:r>
      <w:r>
        <w:rPr>
          <w:rFonts w:ascii="Times New Roman" w:hAnsi="Times New Roman"/>
          <w:sz w:val="24"/>
          <w:szCs w:val="24"/>
        </w:rPr>
        <w:t xml:space="preserve"> prognosis prediction, highlighting the benefits of multimodal integration for clinical decision support.</w:t>
      </w:r>
    </w:p>
    <w:p w14:paraId="3D22460F" w14:textId="77777777" w:rsidR="007E5164"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 xml:space="preserve">Our findings reveal several key insights into the role of multimodal data in </w:t>
      </w:r>
      <w:r>
        <w:rPr>
          <w:rFonts w:ascii="Times New Roman" w:hAnsi="Times New Roman" w:hint="eastAsia"/>
          <w:sz w:val="24"/>
          <w:szCs w:val="24"/>
        </w:rPr>
        <w:t>HF</w:t>
      </w:r>
      <w:r>
        <w:rPr>
          <w:rFonts w:ascii="Times New Roman" w:hAnsi="Times New Roman"/>
          <w:sz w:val="24"/>
          <w:szCs w:val="24"/>
        </w:rPr>
        <w:t xml:space="preserve"> assessment. The fusion of textual, numerical, and imaging data provides a more comprehensive evaluation of patient status, compensating for the limitations of single-modality approaches. Notably, textual prescription data proves essential in predicting clinical outcomes, particularly in forecasting rehospitalization risk and determining optimal follow-up strategies. </w:t>
      </w:r>
      <w:r>
        <w:rPr>
          <w:rFonts w:ascii="Times New Roman" w:hAnsi="Times New Roman" w:hint="eastAsia"/>
          <w:sz w:val="24"/>
          <w:szCs w:val="24"/>
        </w:rPr>
        <w:t>T</w:t>
      </w:r>
      <w:r>
        <w:rPr>
          <w:rFonts w:ascii="Times New Roman" w:hAnsi="Times New Roman"/>
          <w:sz w:val="24"/>
          <w:szCs w:val="24"/>
        </w:rPr>
        <w:t xml:space="preserve">he </w:t>
      </w:r>
      <w:r>
        <w:rPr>
          <w:rFonts w:ascii="Times New Roman" w:hAnsi="Times New Roman" w:hint="eastAsia"/>
          <w:sz w:val="24"/>
          <w:szCs w:val="24"/>
        </w:rPr>
        <w:t xml:space="preserve">framework </w:t>
      </w:r>
      <w:r>
        <w:rPr>
          <w:rFonts w:ascii="Times New Roman" w:hAnsi="Times New Roman"/>
          <w:sz w:val="24"/>
          <w:szCs w:val="24"/>
        </w:rPr>
        <w:t>captures treatment trends that significantly influence patient recovery</w:t>
      </w:r>
      <w:r>
        <w:rPr>
          <w:rFonts w:ascii="Times New Roman" w:hAnsi="Times New Roman" w:hint="eastAsia"/>
          <w:sz w:val="24"/>
          <w:szCs w:val="24"/>
        </w:rPr>
        <w:t xml:space="preserve"> b</w:t>
      </w:r>
      <w:r>
        <w:rPr>
          <w:rFonts w:ascii="Times New Roman" w:hAnsi="Times New Roman"/>
          <w:sz w:val="24"/>
          <w:szCs w:val="24"/>
        </w:rPr>
        <w:t xml:space="preserve">y analyzing longitudinal drug usage patterns. Additionally, </w:t>
      </w:r>
      <w:r>
        <w:rPr>
          <w:rFonts w:ascii="Times New Roman" w:hAnsi="Times New Roman" w:hint="eastAsia"/>
          <w:sz w:val="24"/>
          <w:szCs w:val="24"/>
        </w:rPr>
        <w:t xml:space="preserve">the DAE-Former model processes CMR data to enhance myocardial </w:t>
      </w:r>
      <w:r>
        <w:rPr>
          <w:rFonts w:ascii="Times New Roman" w:hAnsi="Times New Roman" w:hint="eastAsia"/>
          <w:sz w:val="24"/>
          <w:szCs w:val="24"/>
        </w:rPr>
        <w:lastRenderedPageBreak/>
        <w:t>fibrosis detection, which serves as a key prognostic factor for declining heart function.</w:t>
      </w:r>
      <w:r>
        <w:rPr>
          <w:rFonts w:ascii="Times New Roman" w:hAnsi="Times New Roman"/>
          <w:sz w:val="24"/>
          <w:szCs w:val="24"/>
        </w:rPr>
        <w:t xml:space="preserve"> </w:t>
      </w:r>
      <w:r>
        <w:rPr>
          <w:rFonts w:ascii="Times New Roman" w:hAnsi="Times New Roman" w:hint="eastAsia"/>
          <w:sz w:val="24"/>
          <w:szCs w:val="24"/>
        </w:rPr>
        <w:t>Multimodal data integration improves predictive accuracy and supports personalized treatment, highlighting the value of cross-domain feature fusion in medical diagnostics.</w:t>
      </w:r>
    </w:p>
    <w:p w14:paraId="66E68FE7" w14:textId="77777777" w:rsidR="007E5164"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 xml:space="preserve">Despite its strong performance, certain limitations in the dataset may affect the model’s generalizability. The dataset used in this study originates from a single medical institution, which may not fully represent the diversity of patient populations across different geographical and clinical settings. Expanding the dataset to include multi-center cohorts with broader demographic and pathological variations is essential to improve model robustness. </w:t>
      </w:r>
      <w:r>
        <w:rPr>
          <w:rFonts w:ascii="Times New Roman" w:hAnsi="Times New Roman" w:hint="eastAsia"/>
          <w:sz w:val="24"/>
          <w:szCs w:val="24"/>
        </w:rPr>
        <w:t xml:space="preserve">Additionally, challenges related to data quality, such as missing values, inconsistent clinical records, and variations in imaging protocols, should be addressed. </w:t>
      </w:r>
      <w:r>
        <w:rPr>
          <w:rFonts w:ascii="Times New Roman" w:hAnsi="Times New Roman"/>
          <w:sz w:val="24"/>
          <w:szCs w:val="24"/>
        </w:rPr>
        <w:t xml:space="preserve">Future </w:t>
      </w:r>
      <w:r>
        <w:rPr>
          <w:rFonts w:ascii="Times New Roman" w:hAnsi="Times New Roman" w:hint="eastAsia"/>
          <w:sz w:val="24"/>
          <w:szCs w:val="24"/>
        </w:rPr>
        <w:t xml:space="preserve">work </w:t>
      </w:r>
      <w:r>
        <w:rPr>
          <w:rFonts w:ascii="Times New Roman" w:hAnsi="Times New Roman"/>
          <w:sz w:val="24"/>
          <w:szCs w:val="24"/>
        </w:rPr>
        <w:t>should focus on implementing advanced preprocessing techniques and data augmentation strategies to mitigate these issues. Furthermore, refining the model’s ability to handle incomplete data will be crucial for its real-world applicability in heterogeneous clinical environments.</w:t>
      </w:r>
    </w:p>
    <w:p w14:paraId="362B84AF" w14:textId="77777777" w:rsidR="007E5164"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 xml:space="preserve">While our </w:t>
      </w:r>
      <w:r>
        <w:rPr>
          <w:rFonts w:ascii="Times New Roman" w:hAnsi="Times New Roman" w:hint="eastAsia"/>
          <w:sz w:val="24"/>
          <w:szCs w:val="24"/>
        </w:rPr>
        <w:t xml:space="preserve">framework </w:t>
      </w:r>
      <w:r>
        <w:rPr>
          <w:rFonts w:ascii="Times New Roman" w:hAnsi="Times New Roman"/>
          <w:sz w:val="24"/>
          <w:szCs w:val="24"/>
        </w:rPr>
        <w:t>demonstrates high predictive performance, its interpretability remains a challenge, particularly given the complexity of deep learning-based clinical models. The "black box" nature of neural networks poses obstacles for clinical adoption, as medical professionals require transparency in decision-making. Although our attention mechanism dynamically adjusts modality importance, further efforts are necessary to enhance model explainability. Future work should explore post-hoc interpretability methods</w:t>
      </w:r>
      <w:r>
        <w:rPr>
          <w:rFonts w:ascii="Times New Roman" w:hAnsi="Times New Roman" w:hint="eastAsia"/>
          <w:sz w:val="24"/>
          <w:szCs w:val="24"/>
        </w:rPr>
        <w:t xml:space="preserve"> and i</w:t>
      </w:r>
      <w:r>
        <w:rPr>
          <w:rFonts w:ascii="Times New Roman" w:hAnsi="Times New Roman"/>
          <w:sz w:val="24"/>
          <w:szCs w:val="24"/>
        </w:rPr>
        <w:t>ntegrat</w:t>
      </w:r>
      <w:r>
        <w:rPr>
          <w:rFonts w:ascii="Times New Roman" w:hAnsi="Times New Roman" w:hint="eastAsia"/>
          <w:sz w:val="24"/>
          <w:szCs w:val="24"/>
        </w:rPr>
        <w:t>e</w:t>
      </w:r>
      <w:r>
        <w:rPr>
          <w:rFonts w:ascii="Times New Roman" w:hAnsi="Times New Roman"/>
          <w:sz w:val="24"/>
          <w:szCs w:val="24"/>
        </w:rPr>
        <w:t xml:space="preserve"> expert-driven validation, such as comparisons with cardiologist assessments, may further enhance trust and acceptance in real-world clinical settings.</w:t>
      </w:r>
    </w:p>
    <w:p w14:paraId="3E8DF967" w14:textId="77777777" w:rsidR="007E5164" w:rsidRDefault="00000000">
      <w:pPr>
        <w:spacing w:line="360" w:lineRule="auto"/>
        <w:ind w:firstLineChars="200" w:firstLine="480"/>
        <w:rPr>
          <w:rFonts w:ascii="Times New Roman" w:hAnsi="Times New Roman"/>
          <w:sz w:val="24"/>
          <w:szCs w:val="24"/>
        </w:rPr>
      </w:pPr>
      <w:r>
        <w:rPr>
          <w:rFonts w:ascii="Times New Roman" w:hAnsi="Times New Roman" w:hint="eastAsia"/>
          <w:sz w:val="24"/>
          <w:szCs w:val="24"/>
        </w:rPr>
        <w:t>Looking ahead, the M-PRTM framework shows great potential beyond heart failure prognosis. Its integration of video, textual, and numerical data allows adaptation to other medical fields, such as oncology, diabetes management, and neurodegenerative disease monitoring.</w:t>
      </w:r>
      <w:r>
        <w:rPr>
          <w:rFonts w:ascii="Times New Roman" w:hAnsi="Times New Roman"/>
          <w:sz w:val="24"/>
          <w:szCs w:val="24"/>
        </w:rPr>
        <w:t xml:space="preserve"> In resource-limited settings, where advanced imaging may be less accessible, the model’s reliance on textual and numerical data still enables highly accurate predictions, expanding its applicability. As multimodal data collection and AI methodologies continue to evolve, frameworks like M-PRTM are expected to transform </w:t>
      </w:r>
      <w:r>
        <w:rPr>
          <w:rFonts w:ascii="Times New Roman" w:hAnsi="Times New Roman"/>
          <w:sz w:val="24"/>
          <w:szCs w:val="24"/>
        </w:rPr>
        <w:lastRenderedPageBreak/>
        <w:t>clinical decision support, driving the future of precision medicine and personalized healthcare.</w:t>
      </w:r>
    </w:p>
    <w:p w14:paraId="67A5B75D" w14:textId="77777777" w:rsidR="007E5164" w:rsidRDefault="007E5164">
      <w:pPr>
        <w:ind w:firstLineChars="200" w:firstLine="420"/>
        <w:rPr>
          <w:rFonts w:ascii="Times New Roman" w:hAnsi="Times New Roman"/>
        </w:rPr>
      </w:pPr>
    </w:p>
    <w:p w14:paraId="5B78478C" w14:textId="77777777" w:rsidR="007E5164" w:rsidRDefault="007E5164">
      <w:pPr>
        <w:rPr>
          <w:rFonts w:ascii="Times New Roman" w:hAnsi="Times New Roman"/>
          <w:b/>
          <w:bCs/>
          <w:sz w:val="32"/>
          <w:szCs w:val="36"/>
        </w:rPr>
      </w:pPr>
    </w:p>
    <w:p w14:paraId="305D9AC1" w14:textId="77777777" w:rsidR="007E5164" w:rsidRDefault="007E5164">
      <w:pPr>
        <w:rPr>
          <w:rFonts w:ascii="Times New Roman" w:hAnsi="Times New Roman"/>
          <w:b/>
          <w:bCs/>
          <w:sz w:val="32"/>
          <w:szCs w:val="36"/>
        </w:rPr>
      </w:pPr>
    </w:p>
    <w:p w14:paraId="1206B03D" w14:textId="77777777" w:rsidR="007E5164" w:rsidRDefault="00000000">
      <w:pPr>
        <w:rPr>
          <w:rFonts w:ascii="Times New Roman" w:hAnsi="Times New Roman"/>
          <w:b/>
          <w:bCs/>
          <w:sz w:val="32"/>
          <w:szCs w:val="36"/>
        </w:rPr>
      </w:pPr>
      <w:r>
        <w:rPr>
          <w:rFonts w:ascii="Times New Roman" w:hAnsi="Times New Roman" w:hint="eastAsia"/>
          <w:b/>
          <w:bCs/>
          <w:sz w:val="32"/>
          <w:szCs w:val="36"/>
        </w:rPr>
        <w:t>Ethical Statement</w:t>
      </w:r>
    </w:p>
    <w:p w14:paraId="25A3CAA3" w14:textId="77777777" w:rsidR="007E5164" w:rsidRDefault="007E5164">
      <w:pPr>
        <w:rPr>
          <w:rFonts w:ascii="Times New Roman" w:hAnsi="Times New Roman"/>
          <w:b/>
          <w:bCs/>
          <w:sz w:val="32"/>
          <w:szCs w:val="36"/>
        </w:rPr>
      </w:pPr>
    </w:p>
    <w:p w14:paraId="17A184B7" w14:textId="77777777" w:rsidR="007E5164" w:rsidRDefault="00000000">
      <w:pPr>
        <w:rPr>
          <w:rFonts w:ascii="Times New Roman" w:hAnsi="Times New Roman"/>
          <w:b/>
          <w:bCs/>
          <w:sz w:val="32"/>
          <w:szCs w:val="36"/>
        </w:rPr>
      </w:pPr>
      <w:r>
        <w:rPr>
          <w:rFonts w:ascii="Times New Roman" w:hAnsi="Times New Roman"/>
          <w:b/>
          <w:bCs/>
          <w:sz w:val="32"/>
          <w:szCs w:val="36"/>
        </w:rPr>
        <w:t>Acknowledgments</w:t>
      </w:r>
    </w:p>
    <w:p w14:paraId="2A6D2E7C" w14:textId="77777777" w:rsidR="007E5164" w:rsidRDefault="007E5164">
      <w:pPr>
        <w:rPr>
          <w:rFonts w:ascii="Times New Roman" w:hAnsi="Times New Roman"/>
          <w:sz w:val="28"/>
          <w:szCs w:val="32"/>
        </w:rPr>
      </w:pPr>
    </w:p>
    <w:p w14:paraId="42809559" w14:textId="15A88576" w:rsidR="007E5164" w:rsidRPr="008106E6" w:rsidRDefault="00000000" w:rsidP="008106E6">
      <w:pPr>
        <w:rPr>
          <w:rFonts w:ascii="Times New Roman" w:hAnsi="Times New Roman" w:hint="eastAsia"/>
          <w:b/>
          <w:bCs/>
          <w:sz w:val="32"/>
          <w:szCs w:val="36"/>
        </w:rPr>
      </w:pPr>
      <w:r>
        <w:rPr>
          <w:rFonts w:ascii="Times New Roman" w:hAnsi="Times New Roman" w:hint="eastAsia"/>
          <w:b/>
          <w:bCs/>
          <w:sz w:val="32"/>
          <w:szCs w:val="36"/>
        </w:rPr>
        <w:t>References</w:t>
      </w:r>
    </w:p>
    <w:p w14:paraId="7BB3984D" w14:textId="77777777" w:rsidR="008106E6" w:rsidRPr="008106E6" w:rsidRDefault="008106E6" w:rsidP="008106E6">
      <w:pPr>
        <w:spacing w:line="360" w:lineRule="auto"/>
        <w:ind w:firstLineChars="200" w:firstLine="480"/>
        <w:rPr>
          <w:rFonts w:ascii="Times New Roman" w:hAnsi="Times New Roman"/>
          <w:sz w:val="24"/>
          <w:szCs w:val="24"/>
        </w:rPr>
      </w:pPr>
      <w:r w:rsidRPr="008106E6">
        <w:rPr>
          <w:rFonts w:ascii="Times New Roman" w:hAnsi="Times New Roman"/>
          <w:sz w:val="24"/>
          <w:szCs w:val="24"/>
        </w:rPr>
        <w:t xml:space="preserve">[1] Lam, C. S. et al. Recent successes in heart failure treatment. </w:t>
      </w:r>
      <w:r w:rsidRPr="008106E6">
        <w:rPr>
          <w:rFonts w:ascii="Times New Roman" w:hAnsi="Times New Roman"/>
          <w:i/>
          <w:iCs/>
          <w:sz w:val="24"/>
          <w:szCs w:val="24"/>
        </w:rPr>
        <w:t>Nat. Med.</w:t>
      </w:r>
      <w:r w:rsidRPr="008106E6">
        <w:rPr>
          <w:rFonts w:ascii="Times New Roman" w:hAnsi="Times New Roman"/>
          <w:sz w:val="24"/>
          <w:szCs w:val="24"/>
        </w:rPr>
        <w:t xml:space="preserve"> </w:t>
      </w:r>
      <w:r w:rsidRPr="008106E6">
        <w:rPr>
          <w:rFonts w:ascii="Times New Roman" w:hAnsi="Times New Roman"/>
          <w:b/>
          <w:bCs/>
          <w:sz w:val="24"/>
          <w:szCs w:val="24"/>
        </w:rPr>
        <w:t>29</w:t>
      </w:r>
      <w:r w:rsidRPr="008106E6">
        <w:rPr>
          <w:rFonts w:ascii="Times New Roman" w:hAnsi="Times New Roman"/>
          <w:sz w:val="24"/>
          <w:szCs w:val="24"/>
        </w:rPr>
        <w:t xml:space="preserve">, 2424-2437 (2023). </w:t>
      </w:r>
    </w:p>
    <w:p w14:paraId="33E6CDCA" w14:textId="77777777" w:rsidR="008106E6" w:rsidRPr="008106E6" w:rsidRDefault="008106E6" w:rsidP="008106E6">
      <w:pPr>
        <w:spacing w:line="360" w:lineRule="auto"/>
        <w:ind w:firstLineChars="200" w:firstLine="480"/>
        <w:rPr>
          <w:rFonts w:ascii="Times New Roman" w:hAnsi="Times New Roman"/>
          <w:sz w:val="24"/>
          <w:szCs w:val="24"/>
        </w:rPr>
      </w:pPr>
      <w:r w:rsidRPr="008106E6">
        <w:rPr>
          <w:rFonts w:ascii="Times New Roman" w:hAnsi="Times New Roman"/>
          <w:sz w:val="24"/>
          <w:szCs w:val="24"/>
        </w:rPr>
        <w:t xml:space="preserve">[2] </w:t>
      </w:r>
      <w:proofErr w:type="spellStart"/>
      <w:r w:rsidRPr="008106E6">
        <w:rPr>
          <w:rFonts w:ascii="Times New Roman" w:hAnsi="Times New Roman"/>
          <w:sz w:val="24"/>
          <w:szCs w:val="24"/>
        </w:rPr>
        <w:t>Rajpurkar</w:t>
      </w:r>
      <w:proofErr w:type="spellEnd"/>
      <w:r w:rsidRPr="008106E6">
        <w:rPr>
          <w:rFonts w:ascii="Times New Roman" w:hAnsi="Times New Roman"/>
          <w:sz w:val="24"/>
          <w:szCs w:val="24"/>
        </w:rPr>
        <w:t xml:space="preserve">, P., Chen, E., Banerjee, O. &amp; Topol, E. J. AI in health and medicine. </w:t>
      </w:r>
      <w:r w:rsidRPr="008106E6">
        <w:rPr>
          <w:rFonts w:ascii="Times New Roman" w:hAnsi="Times New Roman"/>
          <w:i/>
          <w:iCs/>
          <w:sz w:val="24"/>
          <w:szCs w:val="24"/>
        </w:rPr>
        <w:t>Nat. Med.</w:t>
      </w:r>
      <w:r w:rsidRPr="008106E6">
        <w:rPr>
          <w:rFonts w:ascii="Times New Roman" w:hAnsi="Times New Roman"/>
          <w:sz w:val="24"/>
          <w:szCs w:val="24"/>
        </w:rPr>
        <w:t xml:space="preserve"> </w:t>
      </w:r>
      <w:r w:rsidRPr="008106E6">
        <w:rPr>
          <w:rFonts w:ascii="Times New Roman" w:hAnsi="Times New Roman"/>
          <w:b/>
          <w:bCs/>
          <w:sz w:val="24"/>
          <w:szCs w:val="24"/>
        </w:rPr>
        <w:t>28</w:t>
      </w:r>
      <w:r w:rsidRPr="008106E6">
        <w:rPr>
          <w:rFonts w:ascii="Times New Roman" w:hAnsi="Times New Roman"/>
          <w:sz w:val="24"/>
          <w:szCs w:val="24"/>
        </w:rPr>
        <w:t>, 31-38 (2022).</w:t>
      </w:r>
    </w:p>
    <w:p w14:paraId="38719620" w14:textId="77777777" w:rsidR="008106E6" w:rsidRPr="008106E6" w:rsidRDefault="008106E6" w:rsidP="008106E6">
      <w:pPr>
        <w:spacing w:line="360" w:lineRule="auto"/>
        <w:ind w:firstLineChars="200" w:firstLine="480"/>
        <w:rPr>
          <w:rFonts w:ascii="Times New Roman" w:hAnsi="Times New Roman"/>
          <w:sz w:val="24"/>
          <w:szCs w:val="24"/>
        </w:rPr>
      </w:pPr>
      <w:r w:rsidRPr="008106E6">
        <w:rPr>
          <w:rFonts w:ascii="Times New Roman" w:hAnsi="Times New Roman"/>
          <w:sz w:val="24"/>
          <w:szCs w:val="24"/>
        </w:rPr>
        <w:t xml:space="preserve">[3] Shen, D., Wu, G. &amp; Suk, H. I. Deep learning in medical image analysis. </w:t>
      </w:r>
      <w:r w:rsidRPr="008106E6">
        <w:rPr>
          <w:rFonts w:ascii="Times New Roman" w:hAnsi="Times New Roman"/>
          <w:i/>
          <w:iCs/>
          <w:sz w:val="24"/>
          <w:szCs w:val="24"/>
        </w:rPr>
        <w:t>Annu. Rev. Biomed. Eng.</w:t>
      </w:r>
      <w:r w:rsidRPr="008106E6">
        <w:rPr>
          <w:rFonts w:ascii="Times New Roman" w:hAnsi="Times New Roman"/>
          <w:sz w:val="24"/>
          <w:szCs w:val="24"/>
        </w:rPr>
        <w:t xml:space="preserve"> </w:t>
      </w:r>
      <w:r w:rsidRPr="008106E6">
        <w:rPr>
          <w:rFonts w:ascii="Times New Roman" w:hAnsi="Times New Roman"/>
          <w:b/>
          <w:bCs/>
          <w:sz w:val="24"/>
          <w:szCs w:val="24"/>
        </w:rPr>
        <w:t>19</w:t>
      </w:r>
      <w:r w:rsidRPr="008106E6">
        <w:rPr>
          <w:rFonts w:ascii="Times New Roman" w:hAnsi="Times New Roman"/>
          <w:sz w:val="24"/>
          <w:szCs w:val="24"/>
        </w:rPr>
        <w:t>, 221-248 (2017).</w:t>
      </w:r>
    </w:p>
    <w:p w14:paraId="789917FF" w14:textId="77777777" w:rsidR="008106E6" w:rsidRPr="008106E6" w:rsidRDefault="008106E6" w:rsidP="008106E6">
      <w:pPr>
        <w:spacing w:line="360" w:lineRule="auto"/>
        <w:ind w:firstLineChars="200" w:firstLine="480"/>
        <w:rPr>
          <w:rFonts w:ascii="Times New Roman" w:hAnsi="Times New Roman"/>
          <w:sz w:val="24"/>
          <w:szCs w:val="24"/>
        </w:rPr>
      </w:pPr>
      <w:r w:rsidRPr="008106E6">
        <w:rPr>
          <w:rFonts w:ascii="Times New Roman" w:hAnsi="Times New Roman"/>
          <w:sz w:val="24"/>
          <w:szCs w:val="24"/>
        </w:rPr>
        <w:t xml:space="preserve">[4] Tayebi Arasteh, S. et al. </w:t>
      </w:r>
      <w:proofErr w:type="gramStart"/>
      <w:r w:rsidRPr="008106E6">
        <w:rPr>
          <w:rFonts w:ascii="Times New Roman" w:hAnsi="Times New Roman"/>
          <w:sz w:val="24"/>
          <w:szCs w:val="24"/>
        </w:rPr>
        <w:t>Large</w:t>
      </w:r>
      <w:proofErr w:type="gramEnd"/>
      <w:r w:rsidRPr="008106E6">
        <w:rPr>
          <w:rFonts w:ascii="Times New Roman" w:hAnsi="Times New Roman"/>
          <w:sz w:val="24"/>
          <w:szCs w:val="24"/>
        </w:rPr>
        <w:t xml:space="preserve"> language models streamline automated machine learning for clinical studies. </w:t>
      </w:r>
      <w:r w:rsidRPr="008106E6">
        <w:rPr>
          <w:rFonts w:ascii="Times New Roman" w:hAnsi="Times New Roman"/>
          <w:i/>
          <w:iCs/>
          <w:sz w:val="24"/>
          <w:szCs w:val="24"/>
        </w:rPr>
        <w:t>Nat. Commun.</w:t>
      </w:r>
      <w:r w:rsidRPr="008106E6">
        <w:rPr>
          <w:rFonts w:ascii="Times New Roman" w:hAnsi="Times New Roman"/>
          <w:sz w:val="24"/>
          <w:szCs w:val="24"/>
        </w:rPr>
        <w:t xml:space="preserve"> </w:t>
      </w:r>
      <w:r w:rsidRPr="008106E6">
        <w:rPr>
          <w:rFonts w:ascii="Times New Roman" w:hAnsi="Times New Roman"/>
          <w:b/>
          <w:bCs/>
          <w:sz w:val="24"/>
          <w:szCs w:val="24"/>
        </w:rPr>
        <w:t>15</w:t>
      </w:r>
      <w:r w:rsidRPr="008106E6">
        <w:rPr>
          <w:rFonts w:ascii="Times New Roman" w:hAnsi="Times New Roman"/>
          <w:sz w:val="24"/>
          <w:szCs w:val="24"/>
        </w:rPr>
        <w:t>, 1603 (2024).</w:t>
      </w:r>
    </w:p>
    <w:p w14:paraId="243A91B1" w14:textId="77777777" w:rsidR="008106E6" w:rsidRPr="008106E6" w:rsidRDefault="008106E6" w:rsidP="008106E6">
      <w:pPr>
        <w:spacing w:line="360" w:lineRule="auto"/>
        <w:ind w:firstLineChars="200" w:firstLine="480"/>
        <w:rPr>
          <w:rFonts w:ascii="Times New Roman" w:hAnsi="Times New Roman"/>
          <w:sz w:val="24"/>
          <w:szCs w:val="24"/>
        </w:rPr>
      </w:pPr>
      <w:r w:rsidRPr="008106E6">
        <w:rPr>
          <w:rFonts w:ascii="Times New Roman" w:hAnsi="Times New Roman"/>
          <w:sz w:val="24"/>
          <w:szCs w:val="24"/>
        </w:rPr>
        <w:t>[5]</w:t>
      </w:r>
      <w:r w:rsidRPr="008106E6">
        <w:rPr>
          <w:rFonts w:ascii="Times New Roman" w:hAnsi="Times New Roman"/>
          <w:kern w:val="0"/>
          <w:sz w:val="24"/>
          <w:szCs w:val="24"/>
        </w:rPr>
        <w:t xml:space="preserve"> </w:t>
      </w:r>
      <w:r w:rsidRPr="008106E6">
        <w:rPr>
          <w:rFonts w:ascii="Times New Roman" w:hAnsi="Times New Roman"/>
          <w:sz w:val="24"/>
          <w:szCs w:val="24"/>
        </w:rPr>
        <w:t xml:space="preserve">Chen, X. et al. Recent advances and clinical applications of deep learning in medical image analysis. </w:t>
      </w:r>
      <w:r w:rsidRPr="008106E6">
        <w:rPr>
          <w:rFonts w:ascii="Times New Roman" w:hAnsi="Times New Roman"/>
          <w:i/>
          <w:iCs/>
          <w:sz w:val="24"/>
          <w:szCs w:val="24"/>
        </w:rPr>
        <w:t>Med Image Anal</w:t>
      </w:r>
      <w:r w:rsidRPr="008106E6">
        <w:rPr>
          <w:rFonts w:ascii="Times New Roman" w:hAnsi="Times New Roman"/>
          <w:sz w:val="24"/>
          <w:szCs w:val="24"/>
        </w:rPr>
        <w:t xml:space="preserve"> </w:t>
      </w:r>
      <w:r w:rsidRPr="008106E6">
        <w:rPr>
          <w:rFonts w:ascii="Times New Roman" w:hAnsi="Times New Roman"/>
          <w:b/>
          <w:bCs/>
          <w:sz w:val="24"/>
          <w:szCs w:val="24"/>
        </w:rPr>
        <w:t>79</w:t>
      </w:r>
      <w:r w:rsidRPr="008106E6">
        <w:rPr>
          <w:rFonts w:ascii="Times New Roman" w:hAnsi="Times New Roman"/>
          <w:sz w:val="24"/>
          <w:szCs w:val="24"/>
        </w:rPr>
        <w:t>, 102444 (2022).</w:t>
      </w:r>
    </w:p>
    <w:p w14:paraId="75F3F71C" w14:textId="77777777" w:rsidR="008106E6" w:rsidRPr="008106E6" w:rsidRDefault="008106E6" w:rsidP="008106E6">
      <w:pPr>
        <w:spacing w:line="360" w:lineRule="auto"/>
        <w:ind w:firstLineChars="200" w:firstLine="480"/>
        <w:rPr>
          <w:rFonts w:ascii="Times New Roman" w:hAnsi="Times New Roman"/>
          <w:sz w:val="24"/>
          <w:szCs w:val="24"/>
        </w:rPr>
      </w:pPr>
      <w:r w:rsidRPr="008106E6">
        <w:rPr>
          <w:rFonts w:ascii="Times New Roman" w:hAnsi="Times New Roman"/>
          <w:sz w:val="24"/>
          <w:szCs w:val="24"/>
        </w:rPr>
        <w:t>[6]</w:t>
      </w:r>
      <w:r w:rsidRPr="008106E6">
        <w:rPr>
          <w:rFonts w:ascii="Times New Roman" w:hAnsi="Times New Roman"/>
          <w:kern w:val="0"/>
          <w:sz w:val="24"/>
          <w:szCs w:val="24"/>
        </w:rPr>
        <w:t xml:space="preserve"> </w:t>
      </w:r>
      <w:proofErr w:type="spellStart"/>
      <w:r w:rsidRPr="008106E6">
        <w:rPr>
          <w:rFonts w:ascii="Times New Roman" w:hAnsi="Times New Roman"/>
          <w:sz w:val="24"/>
          <w:szCs w:val="24"/>
        </w:rPr>
        <w:t>Mekkes</w:t>
      </w:r>
      <w:proofErr w:type="spellEnd"/>
      <w:r w:rsidRPr="008106E6">
        <w:rPr>
          <w:rFonts w:ascii="Times New Roman" w:hAnsi="Times New Roman"/>
          <w:sz w:val="24"/>
          <w:szCs w:val="24"/>
        </w:rPr>
        <w:t xml:space="preserve">, N. J. et al. Identification of clinical disease trajectories in neurodegenerative disorders with natural language processing. </w:t>
      </w:r>
      <w:r w:rsidRPr="008106E6">
        <w:rPr>
          <w:rFonts w:ascii="Times New Roman" w:hAnsi="Times New Roman"/>
          <w:i/>
          <w:iCs/>
          <w:sz w:val="24"/>
          <w:szCs w:val="24"/>
        </w:rPr>
        <w:t>Nat. Med.</w:t>
      </w:r>
      <w:r w:rsidRPr="008106E6">
        <w:rPr>
          <w:rFonts w:ascii="Times New Roman" w:hAnsi="Times New Roman"/>
          <w:sz w:val="24"/>
          <w:szCs w:val="24"/>
        </w:rPr>
        <w:t xml:space="preserve"> </w:t>
      </w:r>
      <w:r w:rsidRPr="008106E6">
        <w:rPr>
          <w:rFonts w:ascii="Times New Roman" w:hAnsi="Times New Roman"/>
          <w:b/>
          <w:bCs/>
          <w:sz w:val="24"/>
          <w:szCs w:val="24"/>
        </w:rPr>
        <w:t>30</w:t>
      </w:r>
      <w:r w:rsidRPr="008106E6">
        <w:rPr>
          <w:rFonts w:ascii="Times New Roman" w:hAnsi="Times New Roman"/>
          <w:sz w:val="24"/>
          <w:szCs w:val="24"/>
        </w:rPr>
        <w:t>, 1143-1153 (2024).</w:t>
      </w:r>
    </w:p>
    <w:p w14:paraId="2B5BD5C6" w14:textId="77777777" w:rsidR="008106E6" w:rsidRPr="008106E6" w:rsidRDefault="008106E6" w:rsidP="008106E6">
      <w:pPr>
        <w:spacing w:line="360" w:lineRule="auto"/>
        <w:ind w:firstLineChars="200" w:firstLine="480"/>
        <w:rPr>
          <w:rFonts w:ascii="Times New Roman" w:hAnsi="Times New Roman"/>
          <w:sz w:val="24"/>
          <w:szCs w:val="24"/>
        </w:rPr>
      </w:pPr>
      <w:r w:rsidRPr="008106E6">
        <w:rPr>
          <w:rFonts w:ascii="Times New Roman" w:hAnsi="Times New Roman"/>
          <w:sz w:val="24"/>
          <w:szCs w:val="24"/>
        </w:rPr>
        <w:t>[7]</w:t>
      </w:r>
      <w:r w:rsidRPr="008106E6">
        <w:rPr>
          <w:rFonts w:ascii="Times New Roman" w:hAnsi="Times New Roman"/>
          <w:kern w:val="0"/>
          <w:sz w:val="24"/>
          <w:szCs w:val="24"/>
        </w:rPr>
        <w:t xml:space="preserve"> </w:t>
      </w:r>
      <w:r w:rsidRPr="008106E6">
        <w:rPr>
          <w:rFonts w:ascii="Times New Roman" w:hAnsi="Times New Roman"/>
          <w:sz w:val="24"/>
          <w:szCs w:val="24"/>
        </w:rPr>
        <w:t xml:space="preserve">Yagi, R., Macrae, C., Deo, R. C. &amp; Goto, S. A Deep Learning Electrocardiogram Model Identifies Risk of Incident Heart Failure in Patients </w:t>
      </w:r>
      <w:proofErr w:type="gramStart"/>
      <w:r w:rsidRPr="008106E6">
        <w:rPr>
          <w:rFonts w:ascii="Times New Roman" w:hAnsi="Times New Roman"/>
          <w:sz w:val="24"/>
          <w:szCs w:val="24"/>
        </w:rPr>
        <w:t>With</w:t>
      </w:r>
      <w:proofErr w:type="gramEnd"/>
      <w:r w:rsidRPr="008106E6">
        <w:rPr>
          <w:rFonts w:ascii="Times New Roman" w:hAnsi="Times New Roman"/>
          <w:sz w:val="24"/>
          <w:szCs w:val="24"/>
        </w:rPr>
        <w:t xml:space="preserve"> Subclinical Hypothyroidism. </w:t>
      </w:r>
      <w:r w:rsidRPr="008106E6">
        <w:rPr>
          <w:rFonts w:ascii="Times New Roman" w:hAnsi="Times New Roman"/>
          <w:i/>
          <w:iCs/>
          <w:sz w:val="24"/>
          <w:szCs w:val="24"/>
        </w:rPr>
        <w:t>Circulation</w:t>
      </w:r>
      <w:r w:rsidRPr="008106E6">
        <w:rPr>
          <w:rFonts w:ascii="Times New Roman" w:hAnsi="Times New Roman"/>
          <w:sz w:val="24"/>
          <w:szCs w:val="24"/>
        </w:rPr>
        <w:t xml:space="preserve"> </w:t>
      </w:r>
      <w:r w:rsidRPr="008106E6">
        <w:rPr>
          <w:rFonts w:ascii="Times New Roman" w:hAnsi="Times New Roman"/>
          <w:b/>
          <w:bCs/>
          <w:sz w:val="24"/>
          <w:szCs w:val="24"/>
        </w:rPr>
        <w:t>148</w:t>
      </w:r>
      <w:r w:rsidRPr="008106E6">
        <w:rPr>
          <w:rFonts w:ascii="Times New Roman" w:hAnsi="Times New Roman"/>
          <w:sz w:val="24"/>
          <w:szCs w:val="24"/>
        </w:rPr>
        <w:t>, A16324-A16324 (2023).</w:t>
      </w:r>
    </w:p>
    <w:p w14:paraId="7D24D648" w14:textId="77777777" w:rsidR="008106E6" w:rsidRPr="008106E6" w:rsidRDefault="008106E6" w:rsidP="008106E6">
      <w:pPr>
        <w:spacing w:line="360" w:lineRule="auto"/>
        <w:ind w:firstLineChars="200" w:firstLine="480"/>
        <w:rPr>
          <w:rFonts w:ascii="Times New Roman" w:hAnsi="Times New Roman"/>
          <w:sz w:val="24"/>
          <w:szCs w:val="24"/>
        </w:rPr>
      </w:pPr>
      <w:r w:rsidRPr="008106E6">
        <w:rPr>
          <w:rFonts w:ascii="Times New Roman" w:hAnsi="Times New Roman"/>
          <w:sz w:val="24"/>
          <w:szCs w:val="24"/>
        </w:rPr>
        <w:t xml:space="preserve">[8] Chen, N. et al. Novel Partition Scores Identify Pathways Implicated in Clonal Hematopoiesis of Indeterminate Potential (CHIP) Mediated Heart Failure. </w:t>
      </w:r>
      <w:r w:rsidRPr="008106E6">
        <w:rPr>
          <w:rFonts w:ascii="Times New Roman" w:hAnsi="Times New Roman"/>
          <w:i/>
          <w:iCs/>
          <w:sz w:val="24"/>
          <w:szCs w:val="24"/>
        </w:rPr>
        <w:t>Circulation</w:t>
      </w:r>
      <w:r w:rsidRPr="008106E6">
        <w:rPr>
          <w:rFonts w:ascii="Times New Roman" w:hAnsi="Times New Roman"/>
          <w:sz w:val="24"/>
          <w:szCs w:val="24"/>
        </w:rPr>
        <w:t xml:space="preserve"> </w:t>
      </w:r>
      <w:r w:rsidRPr="008106E6">
        <w:rPr>
          <w:rFonts w:ascii="Times New Roman" w:hAnsi="Times New Roman"/>
          <w:b/>
          <w:bCs/>
          <w:sz w:val="24"/>
          <w:szCs w:val="24"/>
        </w:rPr>
        <w:lastRenderedPageBreak/>
        <w:t>148</w:t>
      </w:r>
      <w:r w:rsidRPr="008106E6">
        <w:rPr>
          <w:rFonts w:ascii="Times New Roman" w:hAnsi="Times New Roman"/>
          <w:sz w:val="24"/>
          <w:szCs w:val="24"/>
        </w:rPr>
        <w:t>, A17773-A17773 (2023).</w:t>
      </w:r>
    </w:p>
    <w:p w14:paraId="093D81B2" w14:textId="77777777" w:rsidR="008106E6" w:rsidRPr="008106E6" w:rsidRDefault="008106E6" w:rsidP="008106E6">
      <w:pPr>
        <w:spacing w:line="360" w:lineRule="auto"/>
        <w:ind w:firstLineChars="200" w:firstLine="480"/>
        <w:rPr>
          <w:rFonts w:ascii="Times New Roman" w:hAnsi="Times New Roman"/>
          <w:sz w:val="24"/>
          <w:szCs w:val="24"/>
        </w:rPr>
      </w:pPr>
      <w:r w:rsidRPr="008106E6">
        <w:rPr>
          <w:rFonts w:ascii="Times New Roman" w:hAnsi="Times New Roman"/>
          <w:sz w:val="24"/>
          <w:szCs w:val="24"/>
        </w:rPr>
        <w:t>[9]</w:t>
      </w:r>
      <w:r w:rsidRPr="008106E6">
        <w:rPr>
          <w:rFonts w:ascii="Times New Roman" w:hAnsi="Times New Roman"/>
          <w:kern w:val="0"/>
          <w:sz w:val="24"/>
          <w:szCs w:val="24"/>
        </w:rPr>
        <w:t xml:space="preserve"> </w:t>
      </w:r>
      <w:r w:rsidRPr="008106E6">
        <w:rPr>
          <w:rFonts w:ascii="Times New Roman" w:hAnsi="Times New Roman"/>
          <w:sz w:val="24"/>
          <w:szCs w:val="24"/>
        </w:rPr>
        <w:t xml:space="preserve">Adler, E. D. et al. Improving risk prediction in heart failure using machine learning. </w:t>
      </w:r>
      <w:r w:rsidRPr="008106E6">
        <w:rPr>
          <w:rFonts w:ascii="Times New Roman" w:hAnsi="Times New Roman"/>
          <w:i/>
          <w:iCs/>
          <w:sz w:val="24"/>
          <w:szCs w:val="24"/>
        </w:rPr>
        <w:t>Eur. J. Heart Fail.</w:t>
      </w:r>
      <w:r w:rsidRPr="008106E6">
        <w:rPr>
          <w:rFonts w:ascii="Times New Roman" w:hAnsi="Times New Roman"/>
          <w:sz w:val="24"/>
          <w:szCs w:val="24"/>
        </w:rPr>
        <w:t xml:space="preserve"> </w:t>
      </w:r>
      <w:r w:rsidRPr="008106E6">
        <w:rPr>
          <w:rFonts w:ascii="Times New Roman" w:hAnsi="Times New Roman"/>
          <w:b/>
          <w:bCs/>
          <w:sz w:val="24"/>
          <w:szCs w:val="24"/>
        </w:rPr>
        <w:t>22</w:t>
      </w:r>
      <w:r w:rsidRPr="008106E6">
        <w:rPr>
          <w:rFonts w:ascii="Times New Roman" w:hAnsi="Times New Roman"/>
          <w:sz w:val="24"/>
          <w:szCs w:val="24"/>
        </w:rPr>
        <w:t>, 139-147 (2020).</w:t>
      </w:r>
    </w:p>
    <w:p w14:paraId="17A52EC2" w14:textId="77777777" w:rsidR="008106E6" w:rsidRPr="008106E6" w:rsidRDefault="008106E6" w:rsidP="008106E6">
      <w:pPr>
        <w:spacing w:line="360" w:lineRule="auto"/>
        <w:ind w:firstLineChars="200" w:firstLine="480"/>
        <w:rPr>
          <w:rFonts w:ascii="Times New Roman" w:hAnsi="Times New Roman"/>
          <w:sz w:val="24"/>
          <w:szCs w:val="24"/>
        </w:rPr>
      </w:pPr>
      <w:r w:rsidRPr="008106E6">
        <w:rPr>
          <w:rFonts w:ascii="Times New Roman" w:hAnsi="Times New Roman"/>
          <w:sz w:val="24"/>
          <w:szCs w:val="24"/>
        </w:rPr>
        <w:t>[10]</w:t>
      </w:r>
      <w:r w:rsidRPr="008106E6">
        <w:rPr>
          <w:rFonts w:ascii="Times New Roman" w:hAnsi="Times New Roman"/>
          <w:kern w:val="0"/>
          <w:sz w:val="24"/>
          <w:szCs w:val="24"/>
        </w:rPr>
        <w:t xml:space="preserve"> </w:t>
      </w:r>
      <w:r w:rsidRPr="008106E6">
        <w:rPr>
          <w:rFonts w:ascii="Times New Roman" w:hAnsi="Times New Roman"/>
          <w:sz w:val="24"/>
          <w:szCs w:val="24"/>
        </w:rPr>
        <w:t xml:space="preserve">Segar, M. W. et al. Development and validation of a machine learning‐based approach to identify high‐risk diabetic cardiomyopathy phenotype. </w:t>
      </w:r>
      <w:r w:rsidRPr="008106E6">
        <w:rPr>
          <w:rFonts w:ascii="Times New Roman" w:hAnsi="Times New Roman"/>
          <w:i/>
          <w:iCs/>
          <w:sz w:val="24"/>
          <w:szCs w:val="24"/>
        </w:rPr>
        <w:t>Eur. J. Heart Fail.</w:t>
      </w:r>
      <w:r w:rsidRPr="008106E6">
        <w:rPr>
          <w:rFonts w:ascii="Times New Roman" w:hAnsi="Times New Roman"/>
          <w:sz w:val="24"/>
          <w:szCs w:val="24"/>
        </w:rPr>
        <w:t xml:space="preserve"> </w:t>
      </w:r>
      <w:r w:rsidRPr="008106E6">
        <w:rPr>
          <w:rFonts w:ascii="Times New Roman" w:hAnsi="Times New Roman"/>
          <w:b/>
          <w:bCs/>
          <w:sz w:val="24"/>
          <w:szCs w:val="24"/>
        </w:rPr>
        <w:t>26</w:t>
      </w:r>
      <w:r w:rsidRPr="008106E6">
        <w:rPr>
          <w:rFonts w:ascii="Times New Roman" w:hAnsi="Times New Roman"/>
          <w:sz w:val="24"/>
          <w:szCs w:val="24"/>
        </w:rPr>
        <w:t>, 2183-2192 (2024).</w:t>
      </w:r>
    </w:p>
    <w:p w14:paraId="36FF7895" w14:textId="77777777" w:rsidR="008106E6" w:rsidRPr="008106E6" w:rsidRDefault="008106E6" w:rsidP="008106E6">
      <w:pPr>
        <w:spacing w:line="360" w:lineRule="auto"/>
        <w:ind w:firstLineChars="200" w:firstLine="480"/>
        <w:rPr>
          <w:rFonts w:ascii="Times New Roman" w:hAnsi="Times New Roman"/>
          <w:sz w:val="24"/>
          <w:szCs w:val="24"/>
        </w:rPr>
      </w:pPr>
      <w:r w:rsidRPr="008106E6">
        <w:rPr>
          <w:rFonts w:ascii="Times New Roman" w:hAnsi="Times New Roman"/>
          <w:sz w:val="24"/>
          <w:szCs w:val="24"/>
        </w:rPr>
        <w:t>[11]</w:t>
      </w:r>
      <w:r w:rsidRPr="008106E6">
        <w:rPr>
          <w:rFonts w:ascii="Times New Roman" w:hAnsi="Times New Roman"/>
          <w:kern w:val="0"/>
          <w:sz w:val="24"/>
          <w:szCs w:val="24"/>
        </w:rPr>
        <w:t xml:space="preserve"> </w:t>
      </w:r>
      <w:r w:rsidRPr="008106E6">
        <w:rPr>
          <w:rFonts w:ascii="Times New Roman" w:hAnsi="Times New Roman"/>
          <w:sz w:val="24"/>
          <w:szCs w:val="24"/>
        </w:rPr>
        <w:t>Yin, S. et al. A survey on multimodal large language models. Preprint at http://arXiv.org/abs/2306.13549 (2023).</w:t>
      </w:r>
    </w:p>
    <w:p w14:paraId="01C1B723" w14:textId="77777777" w:rsidR="008106E6" w:rsidRPr="008106E6" w:rsidRDefault="008106E6" w:rsidP="008106E6">
      <w:pPr>
        <w:spacing w:line="360" w:lineRule="auto"/>
        <w:ind w:firstLineChars="200" w:firstLine="480"/>
        <w:rPr>
          <w:rFonts w:ascii="Times New Roman" w:hAnsi="Times New Roman"/>
          <w:sz w:val="24"/>
          <w:szCs w:val="24"/>
        </w:rPr>
      </w:pPr>
      <w:r w:rsidRPr="008106E6">
        <w:rPr>
          <w:rFonts w:ascii="Times New Roman" w:hAnsi="Times New Roman"/>
          <w:sz w:val="24"/>
          <w:szCs w:val="24"/>
        </w:rPr>
        <w:t>[12]</w:t>
      </w:r>
      <w:r w:rsidRPr="008106E6">
        <w:rPr>
          <w:rFonts w:ascii="Times New Roman" w:hAnsi="Times New Roman"/>
          <w:kern w:val="0"/>
          <w:sz w:val="24"/>
          <w:szCs w:val="24"/>
        </w:rPr>
        <w:t xml:space="preserve"> </w:t>
      </w:r>
      <w:r w:rsidRPr="008106E6">
        <w:rPr>
          <w:rFonts w:ascii="Times New Roman" w:hAnsi="Times New Roman"/>
          <w:sz w:val="24"/>
          <w:szCs w:val="24"/>
        </w:rPr>
        <w:t xml:space="preserve">Qiu, S. et al. Multimodal deep learning for Alzheimer’s disease dementia assessment. </w:t>
      </w:r>
      <w:r w:rsidRPr="008106E6">
        <w:rPr>
          <w:rFonts w:ascii="Times New Roman" w:hAnsi="Times New Roman"/>
          <w:i/>
          <w:iCs/>
          <w:sz w:val="24"/>
          <w:szCs w:val="24"/>
        </w:rPr>
        <w:t>Nat. Commun.</w:t>
      </w:r>
      <w:r w:rsidRPr="008106E6">
        <w:rPr>
          <w:rFonts w:ascii="Times New Roman" w:hAnsi="Times New Roman"/>
          <w:sz w:val="24"/>
          <w:szCs w:val="24"/>
        </w:rPr>
        <w:t xml:space="preserve"> </w:t>
      </w:r>
      <w:r w:rsidRPr="008106E6">
        <w:rPr>
          <w:rFonts w:ascii="Times New Roman" w:hAnsi="Times New Roman"/>
          <w:b/>
          <w:bCs/>
          <w:sz w:val="24"/>
          <w:szCs w:val="24"/>
        </w:rPr>
        <w:t>13</w:t>
      </w:r>
      <w:r w:rsidRPr="008106E6">
        <w:rPr>
          <w:rFonts w:ascii="Times New Roman" w:hAnsi="Times New Roman"/>
          <w:sz w:val="24"/>
          <w:szCs w:val="24"/>
        </w:rPr>
        <w:t>, 3404 (2022).</w:t>
      </w:r>
    </w:p>
    <w:p w14:paraId="7F9B665E" w14:textId="77777777" w:rsidR="008106E6" w:rsidRPr="008106E6" w:rsidRDefault="008106E6" w:rsidP="008106E6">
      <w:pPr>
        <w:spacing w:line="360" w:lineRule="auto"/>
        <w:ind w:firstLineChars="200" w:firstLine="480"/>
        <w:rPr>
          <w:rFonts w:ascii="Times New Roman" w:hAnsi="Times New Roman"/>
          <w:sz w:val="24"/>
          <w:szCs w:val="24"/>
        </w:rPr>
      </w:pPr>
      <w:r w:rsidRPr="008106E6">
        <w:rPr>
          <w:rFonts w:ascii="Times New Roman" w:hAnsi="Times New Roman"/>
          <w:sz w:val="24"/>
          <w:szCs w:val="24"/>
        </w:rPr>
        <w:t>[13]</w:t>
      </w:r>
      <w:r w:rsidRPr="008106E6">
        <w:rPr>
          <w:rFonts w:ascii="Times New Roman" w:hAnsi="Times New Roman"/>
          <w:kern w:val="0"/>
          <w:sz w:val="24"/>
          <w:szCs w:val="24"/>
        </w:rPr>
        <w:t xml:space="preserve"> </w:t>
      </w:r>
      <w:r w:rsidRPr="008106E6">
        <w:rPr>
          <w:rFonts w:ascii="Times New Roman" w:hAnsi="Times New Roman"/>
          <w:sz w:val="24"/>
          <w:szCs w:val="24"/>
        </w:rPr>
        <w:t xml:space="preserve">Rohaut, B. et al. Multimodal assessment improves </w:t>
      </w:r>
      <w:proofErr w:type="spellStart"/>
      <w:r w:rsidRPr="008106E6">
        <w:rPr>
          <w:rFonts w:ascii="Times New Roman" w:hAnsi="Times New Roman"/>
          <w:sz w:val="24"/>
          <w:szCs w:val="24"/>
        </w:rPr>
        <w:t>neuroprognosis</w:t>
      </w:r>
      <w:proofErr w:type="spellEnd"/>
      <w:r w:rsidRPr="008106E6">
        <w:rPr>
          <w:rFonts w:ascii="Times New Roman" w:hAnsi="Times New Roman"/>
          <w:sz w:val="24"/>
          <w:szCs w:val="24"/>
        </w:rPr>
        <w:t xml:space="preserve"> performance in clinically unresponsive critical-care patients with brain injury. </w:t>
      </w:r>
      <w:r w:rsidRPr="008106E6">
        <w:rPr>
          <w:rFonts w:ascii="Times New Roman" w:hAnsi="Times New Roman"/>
          <w:i/>
          <w:iCs/>
          <w:sz w:val="24"/>
          <w:szCs w:val="24"/>
        </w:rPr>
        <w:t xml:space="preserve">Nat. Med. </w:t>
      </w:r>
      <w:r w:rsidRPr="008106E6">
        <w:rPr>
          <w:rFonts w:ascii="Times New Roman" w:hAnsi="Times New Roman"/>
          <w:b/>
          <w:bCs/>
          <w:i/>
          <w:iCs/>
          <w:sz w:val="24"/>
          <w:szCs w:val="24"/>
        </w:rPr>
        <w:t>30</w:t>
      </w:r>
      <w:r w:rsidRPr="008106E6">
        <w:rPr>
          <w:rFonts w:ascii="Times New Roman" w:hAnsi="Times New Roman"/>
          <w:sz w:val="24"/>
          <w:szCs w:val="24"/>
        </w:rPr>
        <w:t>, 2349–2355 (2024).</w:t>
      </w:r>
    </w:p>
    <w:p w14:paraId="07B32E3F" w14:textId="77777777" w:rsidR="008106E6" w:rsidRPr="008106E6" w:rsidRDefault="008106E6" w:rsidP="008106E6">
      <w:pPr>
        <w:spacing w:line="360" w:lineRule="auto"/>
        <w:ind w:firstLineChars="200" w:firstLine="480"/>
        <w:rPr>
          <w:rFonts w:ascii="Times New Roman" w:hAnsi="Times New Roman"/>
          <w:sz w:val="24"/>
          <w:szCs w:val="24"/>
        </w:rPr>
      </w:pPr>
      <w:r w:rsidRPr="008106E6">
        <w:rPr>
          <w:rFonts w:ascii="Times New Roman" w:hAnsi="Times New Roman"/>
          <w:sz w:val="24"/>
          <w:szCs w:val="24"/>
        </w:rPr>
        <w:t>[14]</w:t>
      </w:r>
      <w:r w:rsidRPr="008106E6">
        <w:rPr>
          <w:rFonts w:ascii="Times New Roman" w:hAnsi="Times New Roman"/>
          <w:kern w:val="0"/>
          <w:sz w:val="24"/>
          <w:szCs w:val="24"/>
        </w:rPr>
        <w:t xml:space="preserve"> </w:t>
      </w:r>
      <w:r w:rsidRPr="008106E6">
        <w:rPr>
          <w:rFonts w:ascii="Times New Roman" w:hAnsi="Times New Roman"/>
          <w:sz w:val="24"/>
          <w:szCs w:val="24"/>
        </w:rPr>
        <w:t xml:space="preserve">Xue, C. et al. AI-based differential diagnosis of dementia etiologies on multimodal data. </w:t>
      </w:r>
      <w:r w:rsidRPr="008106E6">
        <w:rPr>
          <w:rFonts w:ascii="Times New Roman" w:hAnsi="Times New Roman"/>
          <w:i/>
          <w:iCs/>
          <w:sz w:val="24"/>
          <w:szCs w:val="24"/>
        </w:rPr>
        <w:t>Nat. Med.</w:t>
      </w:r>
      <w:r w:rsidRPr="008106E6">
        <w:rPr>
          <w:rFonts w:ascii="Times New Roman" w:hAnsi="Times New Roman"/>
          <w:sz w:val="24"/>
          <w:szCs w:val="24"/>
        </w:rPr>
        <w:t xml:space="preserve"> </w:t>
      </w:r>
      <w:r w:rsidRPr="008106E6">
        <w:rPr>
          <w:rFonts w:ascii="Times New Roman" w:hAnsi="Times New Roman"/>
          <w:b/>
          <w:bCs/>
          <w:sz w:val="24"/>
          <w:szCs w:val="24"/>
        </w:rPr>
        <w:t>30</w:t>
      </w:r>
      <w:r w:rsidRPr="008106E6">
        <w:rPr>
          <w:rFonts w:ascii="Times New Roman" w:hAnsi="Times New Roman"/>
          <w:sz w:val="24"/>
          <w:szCs w:val="24"/>
        </w:rPr>
        <w:t>, 2977-2989 (2024).</w:t>
      </w:r>
    </w:p>
    <w:p w14:paraId="0001E84E" w14:textId="77777777" w:rsidR="008106E6" w:rsidRPr="008106E6" w:rsidRDefault="008106E6" w:rsidP="008106E6">
      <w:pPr>
        <w:spacing w:line="360" w:lineRule="auto"/>
        <w:ind w:firstLineChars="200" w:firstLine="480"/>
        <w:rPr>
          <w:rFonts w:ascii="Times New Roman" w:hAnsi="Times New Roman"/>
          <w:sz w:val="24"/>
          <w:szCs w:val="24"/>
        </w:rPr>
      </w:pPr>
      <w:r w:rsidRPr="008106E6">
        <w:rPr>
          <w:rFonts w:ascii="Times New Roman" w:hAnsi="Times New Roman"/>
          <w:sz w:val="24"/>
          <w:szCs w:val="24"/>
        </w:rPr>
        <w:t>[15]</w:t>
      </w:r>
      <w:r w:rsidRPr="008106E6">
        <w:rPr>
          <w:rFonts w:ascii="Times New Roman" w:hAnsi="Times New Roman"/>
          <w:kern w:val="0"/>
          <w:sz w:val="24"/>
          <w:szCs w:val="24"/>
        </w:rPr>
        <w:t xml:space="preserve"> </w:t>
      </w:r>
      <w:r w:rsidRPr="008106E6">
        <w:rPr>
          <w:rFonts w:ascii="Times New Roman" w:hAnsi="Times New Roman"/>
          <w:sz w:val="24"/>
          <w:szCs w:val="24"/>
        </w:rPr>
        <w:t xml:space="preserve">Zhou, H., He, L., Chen, B. Y., Shen, L. &amp; Zhang, Y. Multi-modal diagnosis of Alzheimer’s disease using interpretable graph convolutional networks. </w:t>
      </w:r>
      <w:r w:rsidRPr="008106E6">
        <w:rPr>
          <w:rFonts w:ascii="Times New Roman" w:hAnsi="Times New Roman"/>
          <w:i/>
          <w:iCs/>
          <w:sz w:val="24"/>
          <w:szCs w:val="24"/>
        </w:rPr>
        <w:t>IEEE Trans. Med. Imaging</w:t>
      </w:r>
      <w:r w:rsidRPr="008106E6">
        <w:rPr>
          <w:rFonts w:ascii="Times New Roman" w:hAnsi="Times New Roman"/>
          <w:sz w:val="24"/>
          <w:szCs w:val="24"/>
        </w:rPr>
        <w:t xml:space="preserve"> </w:t>
      </w:r>
      <w:r w:rsidRPr="008106E6">
        <w:rPr>
          <w:rFonts w:ascii="Times New Roman" w:hAnsi="Times New Roman"/>
          <w:b/>
          <w:bCs/>
          <w:sz w:val="24"/>
          <w:szCs w:val="24"/>
        </w:rPr>
        <w:t>44</w:t>
      </w:r>
      <w:r w:rsidRPr="008106E6">
        <w:rPr>
          <w:rFonts w:ascii="Times New Roman" w:hAnsi="Times New Roman"/>
          <w:sz w:val="24"/>
          <w:szCs w:val="24"/>
        </w:rPr>
        <w:t>, 142–153 (2025).</w:t>
      </w:r>
    </w:p>
    <w:p w14:paraId="64399B67" w14:textId="77777777" w:rsidR="008106E6" w:rsidRPr="008106E6" w:rsidRDefault="008106E6" w:rsidP="008106E6">
      <w:pPr>
        <w:spacing w:line="360" w:lineRule="auto"/>
        <w:ind w:firstLineChars="200" w:firstLine="480"/>
        <w:rPr>
          <w:rFonts w:ascii="Times New Roman" w:hAnsi="Times New Roman"/>
          <w:sz w:val="24"/>
          <w:szCs w:val="24"/>
        </w:rPr>
      </w:pPr>
      <w:r w:rsidRPr="008106E6">
        <w:rPr>
          <w:rFonts w:ascii="Times New Roman" w:hAnsi="Times New Roman"/>
          <w:sz w:val="24"/>
          <w:szCs w:val="24"/>
        </w:rPr>
        <w:t>[16]</w:t>
      </w:r>
      <w:r w:rsidRPr="008106E6">
        <w:rPr>
          <w:rFonts w:ascii="Times New Roman" w:hAnsi="Times New Roman"/>
          <w:kern w:val="0"/>
          <w:sz w:val="24"/>
          <w:szCs w:val="24"/>
        </w:rPr>
        <w:t xml:space="preserve"> </w:t>
      </w:r>
      <w:r w:rsidRPr="008106E6">
        <w:rPr>
          <w:rFonts w:ascii="Times New Roman" w:hAnsi="Times New Roman"/>
          <w:sz w:val="24"/>
          <w:szCs w:val="24"/>
        </w:rPr>
        <w:t xml:space="preserve">Oh, Y. et al. LLM-driven multimodal target volume contouring in radiation oncology. </w:t>
      </w:r>
      <w:r w:rsidRPr="008106E6">
        <w:rPr>
          <w:rFonts w:ascii="Times New Roman" w:hAnsi="Times New Roman"/>
          <w:i/>
          <w:iCs/>
          <w:sz w:val="24"/>
          <w:szCs w:val="24"/>
        </w:rPr>
        <w:t>Nat. Commun.</w:t>
      </w:r>
      <w:r w:rsidRPr="008106E6">
        <w:rPr>
          <w:rFonts w:ascii="Times New Roman" w:hAnsi="Times New Roman"/>
          <w:sz w:val="24"/>
          <w:szCs w:val="24"/>
        </w:rPr>
        <w:t xml:space="preserve"> </w:t>
      </w:r>
      <w:r w:rsidRPr="008106E6">
        <w:rPr>
          <w:rFonts w:ascii="Times New Roman" w:hAnsi="Times New Roman"/>
          <w:b/>
          <w:bCs/>
          <w:sz w:val="24"/>
          <w:szCs w:val="24"/>
        </w:rPr>
        <w:t>15</w:t>
      </w:r>
      <w:r w:rsidRPr="008106E6">
        <w:rPr>
          <w:rFonts w:ascii="Times New Roman" w:hAnsi="Times New Roman"/>
          <w:sz w:val="24"/>
          <w:szCs w:val="24"/>
        </w:rPr>
        <w:t>, 9186 (2024).</w:t>
      </w:r>
    </w:p>
    <w:p w14:paraId="110B9890" w14:textId="77777777" w:rsidR="008106E6" w:rsidRPr="008106E6" w:rsidRDefault="008106E6" w:rsidP="008106E6">
      <w:pPr>
        <w:spacing w:line="360" w:lineRule="auto"/>
        <w:ind w:firstLineChars="200" w:firstLine="480"/>
        <w:rPr>
          <w:rFonts w:ascii="Times New Roman" w:hAnsi="Times New Roman"/>
          <w:sz w:val="24"/>
          <w:szCs w:val="24"/>
        </w:rPr>
      </w:pPr>
      <w:r w:rsidRPr="008106E6">
        <w:rPr>
          <w:rFonts w:ascii="Times New Roman" w:hAnsi="Times New Roman"/>
          <w:sz w:val="24"/>
          <w:szCs w:val="24"/>
        </w:rPr>
        <w:t>[17]</w:t>
      </w:r>
      <w:r w:rsidRPr="008106E6">
        <w:rPr>
          <w:rFonts w:ascii="Times New Roman" w:hAnsi="Times New Roman"/>
          <w:kern w:val="0"/>
          <w:sz w:val="24"/>
          <w:szCs w:val="24"/>
        </w:rPr>
        <w:t xml:space="preserve"> </w:t>
      </w:r>
      <w:r w:rsidRPr="008106E6">
        <w:rPr>
          <w:rFonts w:ascii="Times New Roman" w:hAnsi="Times New Roman"/>
          <w:sz w:val="24"/>
          <w:szCs w:val="24"/>
        </w:rPr>
        <w:t xml:space="preserve">Tayebi Arasteh, S. et al. </w:t>
      </w:r>
      <w:proofErr w:type="gramStart"/>
      <w:r w:rsidRPr="008106E6">
        <w:rPr>
          <w:rFonts w:ascii="Times New Roman" w:hAnsi="Times New Roman"/>
          <w:sz w:val="24"/>
          <w:szCs w:val="24"/>
        </w:rPr>
        <w:t>Large</w:t>
      </w:r>
      <w:proofErr w:type="gramEnd"/>
      <w:r w:rsidRPr="008106E6">
        <w:rPr>
          <w:rFonts w:ascii="Times New Roman" w:hAnsi="Times New Roman"/>
          <w:sz w:val="24"/>
          <w:szCs w:val="24"/>
        </w:rPr>
        <w:t xml:space="preserve"> language models streamline automated machine learning for clinical studies. </w:t>
      </w:r>
      <w:r w:rsidRPr="008106E6">
        <w:rPr>
          <w:rFonts w:ascii="Times New Roman" w:hAnsi="Times New Roman"/>
          <w:i/>
          <w:iCs/>
          <w:sz w:val="24"/>
          <w:szCs w:val="24"/>
        </w:rPr>
        <w:t>Nat. Commun.</w:t>
      </w:r>
      <w:r w:rsidRPr="008106E6">
        <w:rPr>
          <w:rFonts w:ascii="Times New Roman" w:hAnsi="Times New Roman"/>
          <w:sz w:val="24"/>
          <w:szCs w:val="24"/>
        </w:rPr>
        <w:t xml:space="preserve"> </w:t>
      </w:r>
      <w:r w:rsidRPr="008106E6">
        <w:rPr>
          <w:rFonts w:ascii="Times New Roman" w:hAnsi="Times New Roman"/>
          <w:b/>
          <w:bCs/>
          <w:sz w:val="24"/>
          <w:szCs w:val="24"/>
        </w:rPr>
        <w:t>15</w:t>
      </w:r>
      <w:r w:rsidRPr="008106E6">
        <w:rPr>
          <w:rFonts w:ascii="Times New Roman" w:hAnsi="Times New Roman"/>
          <w:sz w:val="24"/>
          <w:szCs w:val="24"/>
        </w:rPr>
        <w:t>, 1603 (2024).</w:t>
      </w:r>
    </w:p>
    <w:p w14:paraId="04E87AFF" w14:textId="77777777" w:rsidR="008106E6" w:rsidRPr="008106E6" w:rsidRDefault="008106E6" w:rsidP="008106E6">
      <w:pPr>
        <w:spacing w:line="360" w:lineRule="auto"/>
        <w:ind w:firstLineChars="200" w:firstLine="480"/>
        <w:rPr>
          <w:rFonts w:ascii="Times New Roman" w:hAnsi="Times New Roman"/>
          <w:sz w:val="24"/>
          <w:szCs w:val="24"/>
        </w:rPr>
      </w:pPr>
      <w:r w:rsidRPr="008106E6">
        <w:rPr>
          <w:rFonts w:ascii="Times New Roman" w:hAnsi="Times New Roman"/>
          <w:sz w:val="24"/>
          <w:szCs w:val="24"/>
        </w:rPr>
        <w:t>[18]</w:t>
      </w:r>
      <w:r w:rsidRPr="008106E6">
        <w:rPr>
          <w:rFonts w:ascii="Times New Roman" w:hAnsi="Times New Roman"/>
          <w:kern w:val="0"/>
          <w:sz w:val="24"/>
          <w:szCs w:val="24"/>
        </w:rPr>
        <w:t xml:space="preserve"> </w:t>
      </w:r>
      <w:r w:rsidRPr="008106E6">
        <w:rPr>
          <w:rFonts w:ascii="Times New Roman" w:hAnsi="Times New Roman"/>
          <w:sz w:val="24"/>
          <w:szCs w:val="24"/>
        </w:rPr>
        <w:t>Volinsky-</w:t>
      </w:r>
      <w:proofErr w:type="spellStart"/>
      <w:r w:rsidRPr="008106E6">
        <w:rPr>
          <w:rFonts w:ascii="Times New Roman" w:hAnsi="Times New Roman"/>
          <w:sz w:val="24"/>
          <w:szCs w:val="24"/>
        </w:rPr>
        <w:t>Fremond</w:t>
      </w:r>
      <w:proofErr w:type="spellEnd"/>
      <w:r w:rsidRPr="008106E6">
        <w:rPr>
          <w:rFonts w:ascii="Times New Roman" w:hAnsi="Times New Roman"/>
          <w:sz w:val="24"/>
          <w:szCs w:val="24"/>
        </w:rPr>
        <w:t xml:space="preserve">, S. et al. Prediction of recurrence risk in endometrial cancer with multimodal deep learning. </w:t>
      </w:r>
      <w:r w:rsidRPr="008106E6">
        <w:rPr>
          <w:rFonts w:ascii="Times New Roman" w:hAnsi="Times New Roman"/>
          <w:i/>
          <w:iCs/>
          <w:sz w:val="24"/>
          <w:szCs w:val="24"/>
        </w:rPr>
        <w:t xml:space="preserve">Nat. Med. </w:t>
      </w:r>
      <w:r w:rsidRPr="008106E6">
        <w:rPr>
          <w:rFonts w:ascii="Times New Roman" w:hAnsi="Times New Roman"/>
          <w:b/>
          <w:bCs/>
          <w:i/>
          <w:iCs/>
          <w:sz w:val="24"/>
          <w:szCs w:val="24"/>
        </w:rPr>
        <w:t>30</w:t>
      </w:r>
      <w:r w:rsidRPr="008106E6">
        <w:rPr>
          <w:rFonts w:ascii="Times New Roman" w:hAnsi="Times New Roman"/>
          <w:i/>
          <w:iCs/>
          <w:sz w:val="24"/>
          <w:szCs w:val="24"/>
        </w:rPr>
        <w:t xml:space="preserve">, </w:t>
      </w:r>
      <w:r w:rsidRPr="008106E6">
        <w:rPr>
          <w:rFonts w:ascii="Times New Roman" w:hAnsi="Times New Roman"/>
          <w:sz w:val="24"/>
          <w:szCs w:val="24"/>
        </w:rPr>
        <w:t>1962–1973 (2024)</w:t>
      </w:r>
      <w:r w:rsidRPr="008106E6">
        <w:rPr>
          <w:rFonts w:ascii="Times New Roman" w:hAnsi="Times New Roman"/>
          <w:i/>
          <w:iCs/>
          <w:sz w:val="24"/>
          <w:szCs w:val="24"/>
        </w:rPr>
        <w:t>.</w:t>
      </w:r>
    </w:p>
    <w:p w14:paraId="65C34254" w14:textId="77777777" w:rsidR="008106E6" w:rsidRPr="008106E6" w:rsidRDefault="008106E6" w:rsidP="008106E6">
      <w:pPr>
        <w:spacing w:line="360" w:lineRule="auto"/>
        <w:ind w:firstLineChars="200" w:firstLine="480"/>
        <w:rPr>
          <w:rFonts w:ascii="Times New Roman" w:hAnsi="Times New Roman"/>
          <w:sz w:val="24"/>
          <w:szCs w:val="24"/>
        </w:rPr>
      </w:pPr>
      <w:r w:rsidRPr="008106E6">
        <w:rPr>
          <w:rFonts w:ascii="Times New Roman" w:hAnsi="Times New Roman"/>
          <w:sz w:val="24"/>
          <w:szCs w:val="24"/>
        </w:rPr>
        <w:t>[19]</w:t>
      </w:r>
      <w:r w:rsidRPr="008106E6">
        <w:rPr>
          <w:rFonts w:ascii="Times New Roman" w:hAnsi="Times New Roman"/>
          <w:kern w:val="0"/>
          <w:sz w:val="24"/>
          <w:szCs w:val="24"/>
        </w:rPr>
        <w:t xml:space="preserve"> </w:t>
      </w:r>
      <w:r w:rsidRPr="008106E6">
        <w:rPr>
          <w:rFonts w:ascii="Times New Roman" w:hAnsi="Times New Roman"/>
          <w:sz w:val="24"/>
          <w:szCs w:val="24"/>
        </w:rPr>
        <w:t xml:space="preserve">Lu, M. Y. et al. A multimodal generative AI copilot for human pathology. </w:t>
      </w:r>
      <w:r w:rsidRPr="008106E6">
        <w:rPr>
          <w:rFonts w:ascii="Times New Roman" w:hAnsi="Times New Roman"/>
          <w:i/>
          <w:iCs/>
          <w:sz w:val="24"/>
          <w:szCs w:val="24"/>
        </w:rPr>
        <w:t>Nature</w:t>
      </w:r>
      <w:r w:rsidRPr="008106E6">
        <w:rPr>
          <w:rFonts w:ascii="Times New Roman" w:hAnsi="Times New Roman"/>
          <w:sz w:val="24"/>
          <w:szCs w:val="24"/>
        </w:rPr>
        <w:t xml:space="preserve"> </w:t>
      </w:r>
      <w:r w:rsidRPr="008106E6">
        <w:rPr>
          <w:rFonts w:ascii="Times New Roman" w:hAnsi="Times New Roman"/>
          <w:b/>
          <w:bCs/>
          <w:sz w:val="24"/>
          <w:szCs w:val="24"/>
        </w:rPr>
        <w:t>634</w:t>
      </w:r>
      <w:r w:rsidRPr="008106E6">
        <w:rPr>
          <w:rFonts w:ascii="Times New Roman" w:hAnsi="Times New Roman"/>
          <w:sz w:val="24"/>
          <w:szCs w:val="24"/>
        </w:rPr>
        <w:t>, 466-473 (2024).</w:t>
      </w:r>
    </w:p>
    <w:p w14:paraId="0ED48B7A" w14:textId="77777777" w:rsidR="008106E6" w:rsidRPr="008106E6" w:rsidRDefault="008106E6" w:rsidP="008106E6">
      <w:pPr>
        <w:spacing w:line="360" w:lineRule="auto"/>
        <w:ind w:firstLineChars="200" w:firstLine="480"/>
        <w:rPr>
          <w:rFonts w:ascii="Times New Roman" w:hAnsi="Times New Roman"/>
          <w:sz w:val="24"/>
          <w:szCs w:val="24"/>
        </w:rPr>
      </w:pPr>
      <w:r w:rsidRPr="008106E6">
        <w:rPr>
          <w:rFonts w:ascii="Times New Roman" w:hAnsi="Times New Roman"/>
          <w:sz w:val="24"/>
          <w:szCs w:val="24"/>
        </w:rPr>
        <w:t>[20]</w:t>
      </w:r>
      <w:r w:rsidRPr="008106E6">
        <w:rPr>
          <w:rFonts w:ascii="Times New Roman" w:hAnsi="Times New Roman"/>
          <w:kern w:val="0"/>
          <w:sz w:val="24"/>
          <w:szCs w:val="24"/>
        </w:rPr>
        <w:t xml:space="preserve"> </w:t>
      </w:r>
      <w:proofErr w:type="spellStart"/>
      <w:r w:rsidRPr="008106E6">
        <w:rPr>
          <w:rFonts w:ascii="Times New Roman" w:hAnsi="Times New Roman"/>
          <w:sz w:val="24"/>
          <w:szCs w:val="24"/>
        </w:rPr>
        <w:t>Klughammer</w:t>
      </w:r>
      <w:proofErr w:type="spellEnd"/>
      <w:r w:rsidRPr="008106E6">
        <w:rPr>
          <w:rFonts w:ascii="Times New Roman" w:hAnsi="Times New Roman"/>
          <w:sz w:val="24"/>
          <w:szCs w:val="24"/>
        </w:rPr>
        <w:t xml:space="preserve">, J. et al. A multi-modal single-cell and spatial expression map of metastatic breast cancer biopsies across clinicopathological features. </w:t>
      </w:r>
      <w:r w:rsidRPr="008106E6">
        <w:rPr>
          <w:rFonts w:ascii="Times New Roman" w:hAnsi="Times New Roman"/>
          <w:i/>
          <w:iCs/>
          <w:sz w:val="24"/>
          <w:szCs w:val="24"/>
        </w:rPr>
        <w:t>Nat. Med.</w:t>
      </w:r>
      <w:r w:rsidRPr="008106E6">
        <w:rPr>
          <w:rFonts w:ascii="Times New Roman" w:hAnsi="Times New Roman"/>
          <w:sz w:val="24"/>
          <w:szCs w:val="24"/>
        </w:rPr>
        <w:t xml:space="preserve"> </w:t>
      </w:r>
      <w:r w:rsidRPr="008106E6">
        <w:rPr>
          <w:rFonts w:ascii="Times New Roman" w:hAnsi="Times New Roman"/>
          <w:b/>
          <w:bCs/>
          <w:sz w:val="24"/>
          <w:szCs w:val="24"/>
        </w:rPr>
        <w:t>30</w:t>
      </w:r>
      <w:r w:rsidRPr="008106E6">
        <w:rPr>
          <w:rFonts w:ascii="Times New Roman" w:hAnsi="Times New Roman"/>
          <w:sz w:val="24"/>
          <w:szCs w:val="24"/>
        </w:rPr>
        <w:t>, 3236-3249 (2024).</w:t>
      </w:r>
    </w:p>
    <w:p w14:paraId="28EE9CAA" w14:textId="37630170" w:rsidR="007E5164" w:rsidRPr="008106E6" w:rsidRDefault="008106E6" w:rsidP="008106E6">
      <w:pPr>
        <w:spacing w:line="360" w:lineRule="auto"/>
        <w:ind w:firstLineChars="200" w:firstLine="480"/>
        <w:rPr>
          <w:rFonts w:ascii="Times New Roman" w:hAnsi="Times New Roman" w:hint="eastAsia"/>
          <w:sz w:val="24"/>
          <w:szCs w:val="24"/>
        </w:rPr>
      </w:pPr>
      <w:r w:rsidRPr="008106E6">
        <w:rPr>
          <w:rFonts w:ascii="Times New Roman" w:hAnsi="Times New Roman"/>
          <w:sz w:val="24"/>
          <w:szCs w:val="24"/>
        </w:rPr>
        <w:t>[21]</w:t>
      </w:r>
      <w:r w:rsidRPr="008106E6">
        <w:rPr>
          <w:rFonts w:ascii="Times New Roman" w:hAnsi="Times New Roman"/>
          <w:kern w:val="0"/>
          <w:sz w:val="24"/>
          <w:szCs w:val="24"/>
        </w:rPr>
        <w:t xml:space="preserve"> </w:t>
      </w:r>
      <w:r w:rsidRPr="008106E6">
        <w:rPr>
          <w:rFonts w:ascii="Times New Roman" w:hAnsi="Times New Roman"/>
          <w:sz w:val="24"/>
          <w:szCs w:val="24"/>
        </w:rPr>
        <w:t xml:space="preserve">Li, J. et al. Integrated image-based deep learning and language models for </w:t>
      </w:r>
      <w:r w:rsidRPr="008106E6">
        <w:rPr>
          <w:rFonts w:ascii="Times New Roman" w:hAnsi="Times New Roman"/>
          <w:sz w:val="24"/>
          <w:szCs w:val="24"/>
        </w:rPr>
        <w:lastRenderedPageBreak/>
        <w:t xml:space="preserve">primary diabetes care. </w:t>
      </w:r>
      <w:r w:rsidRPr="008106E6">
        <w:rPr>
          <w:rFonts w:ascii="Times New Roman" w:hAnsi="Times New Roman"/>
          <w:i/>
          <w:iCs/>
          <w:sz w:val="24"/>
          <w:szCs w:val="24"/>
        </w:rPr>
        <w:t xml:space="preserve">Nat. Med. </w:t>
      </w:r>
      <w:r w:rsidRPr="008106E6">
        <w:rPr>
          <w:rFonts w:ascii="Times New Roman" w:hAnsi="Times New Roman"/>
          <w:b/>
          <w:bCs/>
          <w:sz w:val="24"/>
          <w:szCs w:val="24"/>
        </w:rPr>
        <w:t>30</w:t>
      </w:r>
      <w:r w:rsidRPr="008106E6">
        <w:rPr>
          <w:rFonts w:ascii="Times New Roman" w:hAnsi="Times New Roman"/>
          <w:sz w:val="24"/>
          <w:szCs w:val="24"/>
        </w:rPr>
        <w:t>, 2886–2896 (2024).</w:t>
      </w:r>
    </w:p>
    <w:p w14:paraId="64FCE871" w14:textId="77777777" w:rsidR="007E5164" w:rsidRDefault="00000000">
      <w:pPr>
        <w:widowControl/>
        <w:jc w:val="left"/>
        <w:rPr>
          <w:rFonts w:ascii="Times New Roman" w:eastAsia="宋体" w:hAnsi="Times New Roman"/>
        </w:rPr>
      </w:pPr>
      <w:r>
        <w:rPr>
          <w:rFonts w:ascii="Times New Roman" w:eastAsia="宋体" w:hAnsi="Times New Roman"/>
        </w:rPr>
        <w:br w:type="page"/>
      </w:r>
    </w:p>
    <w:p w14:paraId="556E2A37" w14:textId="77777777" w:rsidR="007E5164" w:rsidRDefault="00000000">
      <w:pPr>
        <w:jc w:val="center"/>
        <w:rPr>
          <w:rFonts w:ascii="Times New Roman" w:hAnsi="Times New Roman"/>
          <w:b/>
          <w:bCs/>
          <w:caps/>
          <w:sz w:val="28"/>
          <w:szCs w:val="28"/>
        </w:rPr>
      </w:pPr>
      <w:r>
        <w:rPr>
          <w:rFonts w:ascii="Times New Roman" w:hAnsi="Times New Roman"/>
          <w:b/>
          <w:bCs/>
          <w:caps/>
          <w:sz w:val="28"/>
          <w:szCs w:val="28"/>
        </w:rPr>
        <w:lastRenderedPageBreak/>
        <w:t xml:space="preserve">APPENDIX </w:t>
      </w:r>
      <w:r>
        <w:rPr>
          <w:rFonts w:ascii="Times New Roman" w:hAnsi="Times New Roman" w:hint="eastAsia"/>
          <w:b/>
          <w:bCs/>
          <w:caps/>
          <w:sz w:val="28"/>
          <w:szCs w:val="28"/>
        </w:rPr>
        <w:t xml:space="preserve">a: </w:t>
      </w:r>
      <w:r>
        <w:rPr>
          <w:rFonts w:ascii="Times New Roman" w:hAnsi="Times New Roman"/>
          <w:b/>
          <w:bCs/>
          <w:caps/>
          <w:sz w:val="28"/>
          <w:szCs w:val="28"/>
        </w:rPr>
        <w:t>Skip Connection Cross Attention And Efficient Dual Attention</w:t>
      </w:r>
    </w:p>
    <w:p w14:paraId="7E5660C9" w14:textId="77777777" w:rsidR="007E5164" w:rsidRDefault="00000000">
      <w:pPr>
        <w:rPr>
          <w:rFonts w:ascii="Times New Roman" w:hAnsi="Times New Roman"/>
        </w:rPr>
      </w:pPr>
      <w:r>
        <w:rPr>
          <w:rFonts w:ascii="Times New Roman" w:hAnsi="Times New Roman"/>
          <w:noProof/>
        </w:rPr>
        <w:drawing>
          <wp:inline distT="0" distB="0" distL="0" distR="0" wp14:anchorId="3F9B8F3F" wp14:editId="4DD3400C">
            <wp:extent cx="5274310" cy="2501265"/>
            <wp:effectExtent l="0" t="0" r="2540" b="13335"/>
            <wp:docPr id="1188241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41114" name="图片 1"/>
                    <pic:cNvPicPr>
                      <a:picLocks noChangeAspect="1"/>
                    </pic:cNvPicPr>
                  </pic:nvPicPr>
                  <pic:blipFill>
                    <a:blip r:embed="rId9"/>
                    <a:stretch>
                      <a:fillRect/>
                    </a:stretch>
                  </pic:blipFill>
                  <pic:spPr>
                    <a:xfrm>
                      <a:off x="0" y="0"/>
                      <a:ext cx="5274310" cy="2501265"/>
                    </a:xfrm>
                    <a:prstGeom prst="rect">
                      <a:avLst/>
                    </a:prstGeom>
                  </pic:spPr>
                </pic:pic>
              </a:graphicData>
            </a:graphic>
          </wp:inline>
        </w:drawing>
      </w:r>
    </w:p>
    <w:p w14:paraId="52CBF2EF" w14:textId="77777777" w:rsidR="007E5164" w:rsidRDefault="00000000">
      <w:pPr>
        <w:rPr>
          <w:rFonts w:ascii="Times New Roman" w:hAnsi="Times New Roman"/>
        </w:rPr>
      </w:pPr>
      <w:r>
        <w:rPr>
          <w:rFonts w:ascii="Times New Roman" w:hAnsi="Times New Roman"/>
        </w:rPr>
        <w:t>Fig. S1. (a) Structure of the Efficient Dual Attention (EDA) module. (b) Structure of the Skip Connection Cross Attention (SCCA) module.</w:t>
      </w:r>
    </w:p>
    <w:p w14:paraId="753394A9" w14:textId="77777777" w:rsidR="007E5164" w:rsidRDefault="007E5164">
      <w:pPr>
        <w:rPr>
          <w:rFonts w:ascii="Times New Roman" w:eastAsia="宋体" w:hAnsi="Times New Roman"/>
        </w:rPr>
      </w:pPr>
    </w:p>
    <w:p w14:paraId="56DB0F6E" w14:textId="77777777" w:rsidR="007E5164" w:rsidRDefault="00000000">
      <w:pPr>
        <w:spacing w:line="360" w:lineRule="auto"/>
        <w:ind w:firstLineChars="200" w:firstLine="480"/>
        <w:rPr>
          <w:rFonts w:ascii="Times New Roman" w:hAnsi="Times New Roman"/>
          <w:sz w:val="24"/>
          <w:szCs w:val="24"/>
        </w:rPr>
      </w:pPr>
      <w:r>
        <w:rPr>
          <w:rFonts w:ascii="Times New Roman" w:hAnsi="Times New Roman"/>
          <w:sz w:val="24"/>
          <w:szCs w:val="24"/>
        </w:rPr>
        <w:t xml:space="preserve">The DAE-former utilizes both the EDA and SCCA modules. The EDA module is a dual Transformer block that integrates transposed (channel) attention and effective (spatial) attention, as shown in Fig. S1(a). </w:t>
      </w:r>
      <w:r>
        <w:rPr>
          <w:rFonts w:ascii="Times New Roman" w:hAnsi="Times New Roman" w:hint="eastAsia"/>
          <w:sz w:val="24"/>
          <w:szCs w:val="24"/>
        </w:rPr>
        <w:t>This dual-attention block integrates effective attention, normalization, and transposed attention block that performs channel attention.</w:t>
      </w:r>
      <w:r>
        <w:rPr>
          <w:rFonts w:ascii="Times New Roman" w:hAnsi="Times New Roman"/>
          <w:sz w:val="24"/>
          <w:szCs w:val="24"/>
        </w:rPr>
        <w:t xml:space="preserve"> Fig. S1(b) presents the structure of another key module SCCA, which employs a cross-processing approach to more effectively preserve low-level features. This module is capable of providing spatial information that helps recover fine-grained details when generating the output mask.</w:t>
      </w:r>
      <w:r>
        <w:rPr>
          <w:rFonts w:ascii="Times New Roman" w:hAnsi="Times New Roman" w:hint="eastAsia"/>
          <w:sz w:val="24"/>
          <w:szCs w:val="24"/>
        </w:rPr>
        <w:t xml:space="preserve"> Specifically, SCCA incorporates an effective attention mechanism. Its query input is derived from the encoder layer output forwarded through the skip connection X2, while the keys and values originate from the lower decoder layer X1. </w:t>
      </w:r>
      <w:r>
        <w:rPr>
          <w:rFonts w:ascii="Times New Roman" w:hAnsi="Times New Roman"/>
          <w:sz w:val="24"/>
          <w:szCs w:val="24"/>
        </w:rPr>
        <w:t>To integrate these two features, a linear layer is employed to scale X1 to match the embedding dimension of X2. The rationale for using X2 as the query input is to model multi-level representations within the effective attention block.</w:t>
      </w:r>
    </w:p>
    <w:p w14:paraId="2CEBC880" w14:textId="77777777" w:rsidR="007E5164" w:rsidRDefault="007E5164">
      <w:pPr>
        <w:widowControl/>
        <w:spacing w:line="360" w:lineRule="auto"/>
        <w:ind w:firstLineChars="200" w:firstLine="480"/>
        <w:jc w:val="left"/>
        <w:rPr>
          <w:rFonts w:hint="eastAsia"/>
          <w:sz w:val="24"/>
          <w:szCs w:val="24"/>
        </w:rPr>
      </w:pPr>
    </w:p>
    <w:sectPr w:rsidR="007E51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70"/>
    <w:rsid w:val="001028BD"/>
    <w:rsid w:val="00111D64"/>
    <w:rsid w:val="00121C32"/>
    <w:rsid w:val="00181300"/>
    <w:rsid w:val="00236E0D"/>
    <w:rsid w:val="003E0CF8"/>
    <w:rsid w:val="004C4F21"/>
    <w:rsid w:val="00565B5F"/>
    <w:rsid w:val="00583F5D"/>
    <w:rsid w:val="005B425D"/>
    <w:rsid w:val="00604A46"/>
    <w:rsid w:val="0064414E"/>
    <w:rsid w:val="006B0A90"/>
    <w:rsid w:val="006C0470"/>
    <w:rsid w:val="007E5164"/>
    <w:rsid w:val="008106E6"/>
    <w:rsid w:val="00932354"/>
    <w:rsid w:val="00A766FA"/>
    <w:rsid w:val="00AF158B"/>
    <w:rsid w:val="00B86983"/>
    <w:rsid w:val="00C44C50"/>
    <w:rsid w:val="00D43AAE"/>
    <w:rsid w:val="00D57883"/>
    <w:rsid w:val="00F97A9F"/>
    <w:rsid w:val="01EF572E"/>
    <w:rsid w:val="07811D40"/>
    <w:rsid w:val="172D2EAA"/>
    <w:rsid w:val="18521E38"/>
    <w:rsid w:val="1887214B"/>
    <w:rsid w:val="1A022CF4"/>
    <w:rsid w:val="1A6F5CF5"/>
    <w:rsid w:val="21AE1E97"/>
    <w:rsid w:val="22EB2732"/>
    <w:rsid w:val="2A4E4EFF"/>
    <w:rsid w:val="346E0738"/>
    <w:rsid w:val="41AC44C7"/>
    <w:rsid w:val="41FD58FA"/>
    <w:rsid w:val="486E09E4"/>
    <w:rsid w:val="49C84218"/>
    <w:rsid w:val="4ABE24BC"/>
    <w:rsid w:val="4D64069E"/>
    <w:rsid w:val="51F25A25"/>
    <w:rsid w:val="52603043"/>
    <w:rsid w:val="53C61A0F"/>
    <w:rsid w:val="57AC301B"/>
    <w:rsid w:val="5C837F16"/>
    <w:rsid w:val="5CA6278E"/>
    <w:rsid w:val="64E02555"/>
    <w:rsid w:val="67F025E1"/>
    <w:rsid w:val="685744E4"/>
    <w:rsid w:val="6BFB0430"/>
    <w:rsid w:val="6D851EEC"/>
    <w:rsid w:val="70B477C4"/>
    <w:rsid w:val="73487C44"/>
    <w:rsid w:val="75E418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27684"/>
  <w15:docId w15:val="{7CB67117-1128-48C4-984C-C6F95A99C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等线" w:eastAsia="等线" w:hAnsi="等线" w:cs="Times New Roman"/>
      <w:kern w:val="2"/>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qFormat/>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
    <w:name w:val="列表段落1"/>
    <w:basedOn w:val="a"/>
    <w:qFormat/>
    <w:pPr>
      <w:ind w:firstLineChars="200" w:firstLine="420"/>
    </w:pPr>
  </w:style>
  <w:style w:type="table" w:customStyle="1" w:styleId="11">
    <w:name w:val="无格式表格 11"/>
    <w:basedOn w:val="a1"/>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4">
    <w:name w:val="肖四正文"/>
    <w:basedOn w:val="a"/>
    <w:autoRedefine/>
    <w:qFormat/>
    <w:pPr>
      <w:spacing w:line="400" w:lineRule="exact"/>
    </w:pPr>
    <w:rPr>
      <w:rFonts w:ascii="宋体" w:eastAsia="宋体" w:hAnsi="宋体"/>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20</Pages>
  <Words>5333</Words>
  <Characters>30402</Characters>
  <Application>Microsoft Office Word</Application>
  <DocSecurity>0</DocSecurity>
  <Lines>253</Lines>
  <Paragraphs>71</Paragraphs>
  <ScaleCrop>false</ScaleCrop>
  <Company/>
  <LinksUpToDate>false</LinksUpToDate>
  <CharactersWithSpaces>35664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zxp</dc:creator>
  <cp:lastModifiedBy>Alex Sun</cp:lastModifiedBy>
  <cp:revision>2</cp:revision>
  <dcterms:created xsi:type="dcterms:W3CDTF">2025-02-06T13:29:00Z</dcterms:created>
  <dcterms:modified xsi:type="dcterms:W3CDTF">2025-02-06T13:29:00Z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eyJoZGlkIjoiNjRkYzI4MDRlZDNlMjcyYjAwMDIxZTBhYmM4MGJkZWMiLCJ1c2VySWQiOiIxNDc5NTE5MzgwIn0=</vt:lpwstr>
  </property>
  <property fmtid="{D5CDD505-2E9C-101B-9397-08002B2CF9AE}" pid="3" name="KSOProductBuildVer">
    <vt:lpwstr>2052-12.1.0.19302</vt:lpwstr>
  </property>
  <property fmtid="{D5CDD505-2E9C-101B-9397-08002B2CF9AE}" pid="4" name="ICV">
    <vt:lpwstr>AD80E7CB79CA45879D06C0A2EDB9E965_13</vt:lpwstr>
  </property>
</Properties>
</file>