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СЛАУ</w:t>
      </w:r>
      <w:r>
        <w:t xml:space="preserve"> </w:t>
      </w:r>
      <w:r>
        <w:t xml:space="preserve">в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Сырцов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Ознакомится со способами решения СЛАУ инструментами языка Octave: метод Гаусса, LU-decomposition в методе Гаусса и поиск обратной матрицы.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Проделать шаги, указанные в методических материалах и подготовить отчёт.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расширенную матрицу</w:t>
      </w:r>
      <w:r>
        <w:t xml:space="preserve"> </w:t>
      </w:r>
      <w:r>
        <w:rPr>
          <w:rStyle w:val="VerbatimChar"/>
        </w:rPr>
        <w:t xml:space="preserve">B</w:t>
      </w:r>
      <w:r>
        <w:t xml:space="preserve">, с которой мы будем проделывать преобразования (рис. -fig. 1)</w:t>
      </w:r>
    </w:p>
    <w:p>
      <w:pPr>
        <w:pStyle w:val="CaptionedFigure"/>
      </w:pPr>
      <w:bookmarkStart w:id="23" w:name="fig:001"/>
      <w:r>
        <w:drawing>
          <wp:inline>
            <wp:extent cx="4312117" cy="1434164"/>
            <wp:effectExtent b="0" l="0" r="0" t="0"/>
            <wp:docPr descr="Figure 1: Матрица B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Матрица</w:t>
      </w:r>
      <w:r>
        <w:t xml:space="preserve"> </w:t>
      </w:r>
      <w:r>
        <w:rPr>
          <w:iCs/>
          <w:i/>
        </w:rPr>
        <w:t xml:space="preserve">B</w:t>
      </w:r>
    </w:p>
    <w:p>
      <w:pPr>
        <w:numPr>
          <w:ilvl w:val="0"/>
          <w:numId w:val="1002"/>
        </w:numPr>
        <w:pStyle w:val="Compact"/>
      </w:pPr>
      <w:r>
        <w:t xml:space="preserve">Пробуем разные подходы обращения к элементам матрицы (рис. -fig. 2):</w:t>
      </w:r>
    </w:p>
    <w:p>
      <w:pPr>
        <w:numPr>
          <w:ilvl w:val="1"/>
          <w:numId w:val="1003"/>
        </w:numPr>
        <w:pStyle w:val="Compact"/>
      </w:pPr>
      <w:r>
        <w:t xml:space="preserve">обращение к индексу на второй строке в третьем столбце.</w:t>
      </w:r>
    </w:p>
    <w:p>
      <w:pPr>
        <w:numPr>
          <w:ilvl w:val="1"/>
          <w:numId w:val="1003"/>
        </w:numPr>
        <w:pStyle w:val="Compact"/>
      </w:pPr>
      <w:r>
        <w:t xml:space="preserve">обращение к элементу 8 работает аналогичным образом, так как научные языки программирования поддерживают возможность использования матриц в качестве таблиц с упорядоченными по столбцам элементами.</w:t>
      </w:r>
    </w:p>
    <w:p>
      <w:pPr>
        <w:numPr>
          <w:ilvl w:val="1"/>
          <w:numId w:val="1003"/>
        </w:numPr>
        <w:pStyle w:val="Compact"/>
      </w:pPr>
      <w:r>
        <w:t xml:space="preserve">обращаемся к первой строке, используя векторный оператор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на месте номера столбцов.</w:t>
      </w:r>
    </w:p>
    <w:p>
      <w:pPr>
        <w:pStyle w:val="CaptionedFigure"/>
      </w:pPr>
      <w:bookmarkStart w:id="25" w:name="fig:002"/>
      <w:r>
        <w:drawing>
          <wp:inline>
            <wp:extent cx="1665170" cy="1761423"/>
            <wp:effectExtent b="0" l="0" r="0" t="0"/>
            <wp:docPr descr="Figure 2: Обращение к элементам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70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Обращение к элементам</w:t>
      </w:r>
    </w:p>
    <w:p>
      <w:pPr>
        <w:numPr>
          <w:ilvl w:val="0"/>
          <w:numId w:val="1004"/>
        </w:numPr>
        <w:pStyle w:val="Compact"/>
      </w:pPr>
      <w:r>
        <w:t xml:space="preserve">По методу Гаусса в явном виде приводим дополненную матрицу к треугольному виду (рис. -fig. 3):</w:t>
      </w:r>
    </w:p>
    <w:p>
      <w:pPr>
        <w:numPr>
          <w:ilvl w:val="1"/>
          <w:numId w:val="1005"/>
        </w:numPr>
        <w:pStyle w:val="Compact"/>
      </w:pPr>
      <w:r>
        <w:t xml:space="preserve">из строки 3 вычитаем строку 1.</w:t>
      </w:r>
    </w:p>
    <w:p>
      <w:pPr>
        <w:numPr>
          <w:ilvl w:val="1"/>
          <w:numId w:val="1005"/>
        </w:numPr>
        <w:pStyle w:val="Compact"/>
      </w:pPr>
      <w:r>
        <w:t xml:space="preserve">из строки 3 вычитаем строку 2.</w:t>
      </w:r>
    </w:p>
    <w:p>
      <w:pPr>
        <w:pStyle w:val="CaptionedFigure"/>
      </w:pPr>
      <w:bookmarkStart w:id="27" w:name="fig:003"/>
      <w:r>
        <w:drawing>
          <wp:inline>
            <wp:extent cx="4052235" cy="2772075"/>
            <wp:effectExtent b="0" l="0" r="0" t="0"/>
            <wp:docPr descr="Figure 3: Приведение матрицы B к треугольноому виду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Приведение матрицы B к треугольноому виду</w:t>
      </w:r>
    </w:p>
    <w:p>
      <w:pPr>
        <w:pStyle w:val="BodyText"/>
      </w:pPr>
      <w:r>
        <w:t xml:space="preserve">Так как у нас не получилось обнулить строки, мы можем спокойно переходить к следующему шагу решения, а именно: сокращаем третью строку на 3 и подставляем значение во вторую строку и тд. таким образом получаем вектор-решение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17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17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13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6"/>
        </w:numPr>
        <w:pStyle w:val="Compact"/>
      </w:pPr>
      <w:r>
        <w:t xml:space="preserve">Эквивалентное решение можно получить стандартными средствами языка, используя функцию</w:t>
      </w:r>
      <w:r>
        <w:t xml:space="preserve"> </w:t>
      </w:r>
      <w:r>
        <w:rPr>
          <w:rStyle w:val="VerbatimChar"/>
        </w:rPr>
        <w:t xml:space="preserve">rref()</w:t>
      </w:r>
      <w:r>
        <w:t xml:space="preserve">. Выводиться дополненная единичная матрица (рис. -fig. 4)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 long </w:t>
      </w:r>
      <w:r>
        <w:rPr>
          <w:rStyle w:val="CommentTok"/>
        </w:rPr>
        <w:t xml:space="preserve">% отображаем не менее 15 символов после запятой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 short </w:t>
      </w:r>
      <w:r>
        <w:rPr>
          <w:rStyle w:val="CommentTok"/>
        </w:rPr>
        <w:t xml:space="preserve">% отображаем не более 5 символов после запятой</w:t>
      </w:r>
    </w:p>
    <w:p>
      <w:pPr>
        <w:pStyle w:val="CaptionedFigure"/>
      </w:pPr>
      <w:bookmarkStart w:id="29" w:name="fig:004"/>
      <w:r>
        <w:drawing>
          <wp:inline>
            <wp:extent cx="5334000" cy="2558290"/>
            <wp:effectExtent b="0" l="0" r="0" t="0"/>
            <wp:docPr descr="Figure 4: Решение стандартной функцией rref()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Решение стандартной функцией rref()</w:t>
      </w:r>
    </w:p>
    <w:p>
      <w:pPr>
        <w:numPr>
          <w:ilvl w:val="0"/>
          <w:numId w:val="1007"/>
        </w:numPr>
        <w:pStyle w:val="Compact"/>
      </w:pPr>
      <w:r>
        <w:t xml:space="preserve">Теперь решаю СЛАУ методом левостороннего деления, или методом нахождения обратной матрицы. метод заключается в нахождении матрицы обратной к матрице системы и левостороннему домножению обеих частей матречного уравнения на неё. К счастью все эти действия сводятся к операции левостороннего деления, которая самостоятельно проводит необходимые действия и выводит в ответ значение вектора неизвестных, то есть вектор-решение системы (рис. -fig. 5)</w:t>
      </w:r>
    </w:p>
    <w:p>
      <w:pPr>
        <w:pStyle w:val="CaptionedFigure"/>
      </w:pPr>
      <w:bookmarkStart w:id="31" w:name="fig:005"/>
      <w:r>
        <w:drawing>
          <wp:inline>
            <wp:extent cx="4523873" cy="5544151"/>
            <wp:effectExtent b="0" l="0" r="0" t="0"/>
            <wp:docPr descr="Figure 5: Решение методом левостороннего деления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Решение методом левостороннего деления</w:t>
      </w:r>
    </w:p>
    <w:p>
      <w:pPr>
        <w:numPr>
          <w:ilvl w:val="0"/>
          <w:numId w:val="1008"/>
        </w:numPr>
        <w:pStyle w:val="Compact"/>
      </w:pPr>
      <w:r>
        <w:t xml:space="preserve">LU-декомпозиция – метод используемый в методе Гаусса. L – lower triange matrix, U – upper triangle matrix. Раскладывая матрицу системы таким образом достаточно решить следующие выражения прямой и обратной подстановкой соответственно.</w:t>
      </w:r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*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y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*</m:t>
          </m:r>
          <m:acc>
            <m:accPr>
              <m:chr m:val="⃗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b</m:t>
              </m:r>
            </m:e>
          </m:acc>
        </m:oMath>
      </m:oMathPara>
    </w:p>
    <w:p>
      <w:pPr>
        <w:pStyle w:val="FirstParagraph"/>
      </w:pPr>
      <w:r>
        <w:t xml:space="preserve">Реализация разложения матрицы в языке Octave выглядит просто и не требеут особых действий: достаточно применить к конвектору (объекту вектору) с переменными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инициализацию функцией</w:t>
      </w:r>
      <w:r>
        <w:t xml:space="preserve"> </w:t>
      </w:r>
      <w:r>
        <w:rPr>
          <w:rStyle w:val="VerbatimChar"/>
        </w:rPr>
        <w:t xml:space="preserve">lu()</w:t>
      </w:r>
      <w:r>
        <w:t xml:space="preserve"> </w:t>
      </w:r>
      <w:r>
        <w:t xml:space="preserve">(рис. -fig. 6). На этом же рисунке деманстрирую свойства получившихся матриц. Без наличия матрицы перестановок Octave записывает матрицу L без перестановок строк.</w:t>
      </w:r>
    </w:p>
    <w:p>
      <w:pPr>
        <w:pStyle w:val="CaptionedFigure"/>
      </w:pPr>
      <w:bookmarkStart w:id="33" w:name="fig:006"/>
      <w:r>
        <w:drawing>
          <wp:inline>
            <wp:extent cx="3667225" cy="6092791"/>
            <wp:effectExtent b="0" l="0" r="0" t="0"/>
            <wp:docPr descr="Figure 6: LU-decomposition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60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LU-decomposition</w:t>
      </w:r>
    </w:p>
    <w:p>
      <w:pPr>
        <w:numPr>
          <w:ilvl w:val="0"/>
          <w:numId w:val="1009"/>
        </w:numPr>
        <w:pStyle w:val="Compact"/>
      </w:pPr>
      <w:r>
        <w:t xml:space="preserve">Аналогичным образом находим LUP-декомпозицию. Различие методов в наличии матрицы перестановок</w:t>
      </w:r>
      <w:r>
        <w:t xml:space="preserve"> </w:t>
      </w:r>
      <w:r>
        <w:rPr>
          <w:rStyle w:val="VerbatimChar"/>
        </w:rPr>
        <w:t xml:space="preserve">P</w:t>
      </w:r>
      <w:r>
        <w:t xml:space="preserve">. (рис. -fig. 7).</w:t>
      </w:r>
    </w:p>
    <w:p>
      <w:pPr>
        <w:pStyle w:val="CaptionedFigure"/>
      </w:pPr>
      <w:bookmarkStart w:id="35" w:name="fig:007"/>
      <w:r>
        <w:drawing>
          <wp:inline>
            <wp:extent cx="2560320" cy="4100362"/>
            <wp:effectExtent b="0" l="0" r="0" t="0"/>
            <wp:docPr descr="Figure 7: LUP-decomposition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LUP-decomposition</w:t>
      </w:r>
    </w:p>
    <w:p>
      <w:pPr>
        <w:pStyle w:val="BodyText"/>
      </w:pPr>
      <w:r>
        <w:t xml:space="preserve">Последним шагом проверяю свойства разложения (рис. -fig. 8).</w:t>
      </w:r>
    </w:p>
    <w:p>
      <w:pPr>
        <w:pStyle w:val="CaptionedFigure"/>
      </w:pPr>
      <w:bookmarkStart w:id="37" w:name="fig:008"/>
      <w:r>
        <w:drawing>
          <wp:inline>
            <wp:extent cx="1655545" cy="2695073"/>
            <wp:effectExtent b="0" l="0" r="0" t="0"/>
            <wp:docPr descr="Figure 8: Проверка LUP-декомпозиции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5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LUP-декомпозиции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Мне удалось применить основные приёмы решения СЛАУ в языке Octave, представленных в лабораторной работе.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Сырцов Александр Юрьевич</dc:creator>
  <dc:language>ru-RU</dc:language>
  <cp:keywords/>
  <dcterms:created xsi:type="dcterms:W3CDTF">2021-05-14T18:12:47Z</dcterms:created>
  <dcterms:modified xsi:type="dcterms:W3CDTF">2021-05-14T18:12:47Z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СЛАУ в Octave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