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линейным</w:t>
      </w:r>
      <w:r>
        <w:t xml:space="preserve"> </w:t>
      </w:r>
      <w:r>
        <w:t xml:space="preserve">пространством</w:t>
      </w:r>
    </w:p>
    <w:p>
      <w:pPr>
        <w:pStyle w:val="Author"/>
      </w:pPr>
      <w:r>
        <w:t xml:space="preserve">Сырцов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Научится работе с подгонкой значений оценкой методом наименьших квадратов (МНК), работе с матричными преобразованиями.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• Сделать отчёт по лабораторной работе в формате Markdown.</w:t>
      </w:r>
      <w:r>
        <w:t xml:space="preserve"> </w:t>
      </w:r>
      <w:r>
        <w:t xml:space="preserve">• В качестве ответа предоставить отчёты в 3 форматах: pdf, docx и md (в архиве, поскольку он должен содержать скриншоты, Makefile и т.д.)</w:t>
      </w:r>
    </w:p>
    <w:bookmarkEnd w:id="21"/>
    <w:bookmarkStart w:id="5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8" w:name="подгонка-полиномиальной-кривой"/>
    <w:p>
      <w:pPr>
        <w:pStyle w:val="Heading2"/>
      </w:pPr>
      <w:r>
        <w:t xml:space="preserve">Подгонка полиномиальной кривой</w:t>
      </w:r>
    </w:p>
    <w:p>
      <w:pPr>
        <w:numPr>
          <w:ilvl w:val="0"/>
          <w:numId w:val="1001"/>
        </w:numPr>
        <w:pStyle w:val="Compact"/>
      </w:pPr>
      <w:r>
        <w:t xml:space="preserve">Нужно найти параболу по методу наименьших квадратов для набора точек, заданных матрицей</w:t>
      </w:r>
      <w:r>
        <w:t xml:space="preserve"> </w:t>
      </w:r>
      <w:r>
        <w:rPr>
          <w:rStyle w:val="VerbatimChar"/>
        </w:rPr>
        <w:t xml:space="preserve">D</w:t>
      </w:r>
      <w:r>
        <w:t xml:space="preserve">, где первый столбец отвечает за вектор</w:t>
      </w:r>
      <w:r>
        <w:t xml:space="preserve"> </w:t>
      </w:r>
      <w:r>
        <w:rPr>
          <w:rStyle w:val="VerbatimChar"/>
        </w:rPr>
        <w:t xml:space="preserve">x</w:t>
      </w:r>
      <w:r>
        <w:t xml:space="preserve">, а втоорой за вектор</w:t>
      </w:r>
      <w:r>
        <w:t xml:space="preserve"> </w:t>
      </w:r>
      <w:r>
        <w:rPr>
          <w:rStyle w:val="VerbatimChar"/>
        </w:rPr>
        <w:t xml:space="preserve">y</w:t>
      </w:r>
      <w:r>
        <w:t xml:space="preserve">, поэтому первым шагом построил матрицу и извлёк векторы (рис. -fig. 1).</w:t>
      </w:r>
    </w:p>
    <w:p>
      <w:pPr>
        <w:pStyle w:val="CaptionedFigure"/>
      </w:pPr>
      <w:bookmarkStart w:id="23" w:name="fig:001"/>
      <w:r>
        <w:drawing>
          <wp:inline>
            <wp:extent cx="4677877" cy="6054290"/>
            <wp:effectExtent b="0" l="0" r="0" t="0"/>
            <wp:docPr descr="Figure 1: Матрица D и векторы x y" title="" id="1" name="Picture"/>
            <a:graphic>
              <a:graphicData uri="http://schemas.openxmlformats.org/drawingml/2006/picture">
                <pic:pic>
                  <pic:nvPicPr>
                    <pic:cNvPr descr="pic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6054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Матрица</w:t>
      </w:r>
      <w:r>
        <w:t xml:space="preserve"> </w:t>
      </w:r>
      <w:r>
        <w:rPr>
          <w:iCs/>
          <w:i/>
        </w:rPr>
        <w:t xml:space="preserve">D</w:t>
      </w:r>
      <w:r>
        <w:t xml:space="preserve"> </w:t>
      </w:r>
      <w:r>
        <w:t xml:space="preserve">и векторы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rPr>
          <w:iCs/>
          <w:i/>
        </w:rPr>
        <w:t xml:space="preserve">y</w:t>
      </w:r>
    </w:p>
    <w:p>
      <w:pPr>
        <w:numPr>
          <w:ilvl w:val="0"/>
          <w:numId w:val="1002"/>
        </w:numPr>
        <w:pStyle w:val="Compact"/>
      </w:pPr>
      <w:r>
        <w:t xml:space="preserve">Пострроил точки на графике (рис. -fig. 2).</w:t>
      </w:r>
    </w:p>
    <w:p>
      <w:pPr>
        <w:pStyle w:val="CaptionedFigure"/>
      </w:pPr>
      <w:bookmarkStart w:id="25" w:name="fig:002"/>
      <w:r>
        <w:drawing>
          <wp:inline>
            <wp:extent cx="5334000" cy="4523479"/>
            <wp:effectExtent b="0" l="0" r="0" t="0"/>
            <wp:docPr descr="Figure 2: График данных" title="" id="1" name="Picture"/>
            <a:graphic>
              <a:graphicData uri="http://schemas.openxmlformats.org/drawingml/2006/picture">
                <pic:pic>
                  <pic:nvPicPr>
                    <pic:cNvPr descr="pic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3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данных</w:t>
      </w:r>
    </w:p>
    <w:p>
      <w:pPr>
        <w:numPr>
          <w:ilvl w:val="0"/>
          <w:numId w:val="1003"/>
        </w:numPr>
        <w:pStyle w:val="Compact"/>
      </w:pPr>
      <w:r>
        <w:t xml:space="preserve">Далее работаю с матричным квадратным уравнением и строю матрицу системы, содержащей значения</w:t>
      </w:r>
      <w:r>
        <w:t xml:space="preserve"> </w:t>
      </w:r>
      <w:r>
        <w:rPr>
          <w:rStyle w:val="VerbatimChar"/>
        </w:rPr>
        <w:t xml:space="preserve">x</w:t>
      </w:r>
      <w:r>
        <w:t xml:space="preserve">, подставленные в квадратное уравнение как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sSup>
          <m:e>
            <m:r>
              <m:t>x</m:t>
            </m:r>
          </m:e>
          <m:sup>
            <m:r>
              <m:t>0</m:t>
            </m:r>
          </m:sup>
        </m:sSup>
      </m:oMath>
      <w:r>
        <w:t xml:space="preserve"> </w:t>
      </w:r>
      <w:r>
        <w:t xml:space="preserve">при коэффицентах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</w:t>
      </w:r>
      <w:r>
        <w:t xml:space="preserve">. Матрица системы называется</w:t>
      </w:r>
      <w:r>
        <w:t xml:space="preserve"> </w:t>
      </w:r>
      <w:r>
        <w:rPr>
          <w:rStyle w:val="VerbatimChar"/>
        </w:rPr>
        <w:t xml:space="preserve">A</w:t>
      </w:r>
      <w:r>
        <w:t xml:space="preserve">. Сначала я создал матрицу из единиц в 6 строк и 3 столбца функцией</w:t>
      </w:r>
      <w:r>
        <w:t xml:space="preserve"> </w:t>
      </w:r>
      <w:r>
        <w:rPr>
          <w:rStyle w:val="VerbatimChar"/>
        </w:rPr>
        <w:t xml:space="preserve">ones()</w:t>
      </w:r>
      <w:r>
        <w:t xml:space="preserve"> </w:t>
      </w:r>
      <w:r>
        <w:t xml:space="preserve">и посто подставил нужные значения в первый и второй столбец (рис. -fig. 3).</w:t>
      </w:r>
    </w:p>
    <w:p>
      <w:pPr>
        <w:pStyle w:val="CaptionedFigure"/>
      </w:pPr>
      <w:bookmarkStart w:id="27" w:name="fig:003"/>
      <w:r>
        <w:drawing>
          <wp:inline>
            <wp:extent cx="2820202" cy="5765532"/>
            <wp:effectExtent b="0" l="0" r="0" t="0"/>
            <wp:docPr descr="Figure 3: Матрица А" title="" id="1" name="Picture"/>
            <a:graphic>
              <a:graphicData uri="http://schemas.openxmlformats.org/drawingml/2006/picture">
                <pic:pic>
                  <pic:nvPicPr>
                    <pic:cNvPr descr="pic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202" cy="576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Матрица</w:t>
      </w:r>
      <w:r>
        <w:t xml:space="preserve"> </w:t>
      </w:r>
      <w:r>
        <w:rPr>
          <w:iCs/>
          <w:i/>
        </w:rPr>
        <w:t xml:space="preserve">А</w:t>
      </w:r>
    </w:p>
    <w:p>
      <w:pPr>
        <w:numPr>
          <w:ilvl w:val="0"/>
          <w:numId w:val="1004"/>
        </w:numPr>
        <w:pStyle w:val="Compact"/>
      </w:pPr>
      <w:r>
        <w:t xml:space="preserve">Решение МНК получается из уравнения, где в левой части действие на строке 8, а справа действие строке 9 (рис. -fig. 4). По сути просто домножаем матричное квадратное уравнение на транспонированную матрицу системы</w:t>
      </w:r>
      <w:r>
        <w:t xml:space="preserve"> </w:t>
      </w:r>
      <w:r>
        <w:rPr>
          <w:rStyle w:val="VerbatimChar"/>
        </w:rPr>
        <w:t xml:space="preserve">A</w:t>
      </w:r>
      <w:r>
        <w:t xml:space="preserve">. Здесь мы просто смотрим на результат действий.</w:t>
      </w:r>
    </w:p>
    <w:p>
      <w:pPr>
        <w:pStyle w:val="CaptionedFigure"/>
      </w:pPr>
      <w:bookmarkStart w:id="29" w:name="fig:004"/>
      <w:r>
        <w:drawing>
          <wp:inline>
            <wp:extent cx="2714324" cy="2897204"/>
            <wp:effectExtent b="0" l="0" r="0" t="0"/>
            <wp:docPr descr="Figure 4: Действия для далььнейшего нахождения a, b, c" title="" id="1" name="Picture"/>
            <a:graphic>
              <a:graphicData uri="http://schemas.openxmlformats.org/drawingml/2006/picture">
                <pic:pic>
                  <pic:nvPicPr>
                    <pic:cNvPr descr="pic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324" cy="2897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Действия для далььнейшего нахождения</w:t>
      </w:r>
      <w:r>
        <w:t xml:space="preserve"> </w:t>
      </w:r>
      <w:r>
        <w:rPr>
          <w:iCs/>
          <w:i/>
        </w:rPr>
        <w:t xml:space="preserve">a</w:t>
      </w:r>
      <w:r>
        <w:t xml:space="preserve">,</w:t>
      </w:r>
      <w:r>
        <w:t xml:space="preserve"> </w:t>
      </w:r>
      <w:r>
        <w:rPr>
          <w:iCs/>
          <w:i/>
        </w:rPr>
        <w:t xml:space="preserve">b</w:t>
      </w:r>
      <w:r>
        <w:t xml:space="preserve">,</w:t>
      </w:r>
      <w:r>
        <w:t xml:space="preserve"> </w:t>
      </w:r>
      <w:r>
        <w:rPr>
          <w:iCs/>
          <w:i/>
        </w:rPr>
        <w:t xml:space="preserve">c</w:t>
      </w:r>
    </w:p>
    <w:p>
      <w:pPr>
        <w:numPr>
          <w:ilvl w:val="0"/>
          <w:numId w:val="1005"/>
        </w:numPr>
        <w:pStyle w:val="Compact"/>
      </w:pPr>
      <w:r>
        <w:t xml:space="preserve">Теперь я содаю дополненную матрицу</w:t>
      </w:r>
      <w:r>
        <w:t xml:space="preserve"> </w:t>
      </w:r>
      <w:r>
        <w:rPr>
          <w:rStyle w:val="VerbatimChar"/>
        </w:rPr>
        <w:t xml:space="preserve">B</w:t>
      </w:r>
      <w:r>
        <w:t xml:space="preserve">, записывая туда результаты придыдущих действий, чтобы, применив метод Гаусса через функцию</w:t>
      </w:r>
      <w:r>
        <w:t xml:space="preserve"> </w:t>
      </w:r>
      <w:r>
        <w:rPr>
          <w:rStyle w:val="VerbatimChar"/>
        </w:rPr>
        <w:t xml:space="preserve">rref()</w:t>
      </w:r>
      <w:r>
        <w:t xml:space="preserve">, найти окончательное решение. Полученную матрицу с решением я записываю в новую матрицу</w:t>
      </w:r>
      <w:r>
        <w:t xml:space="preserve"> </w:t>
      </w:r>
      <w:r>
        <w:rPr>
          <w:rStyle w:val="VerbatimChar"/>
        </w:rPr>
        <w:t xml:space="preserve">B_res</w:t>
      </w:r>
      <w:r>
        <w:t xml:space="preserve">, а уже из её четвёртого столбца с решениями беру все 3 значения в отдельные переменные</w:t>
      </w:r>
      <w:r>
        <w:t xml:space="preserve"> </w:t>
      </w:r>
      <w:r>
        <w:rPr>
          <w:rStyle w:val="VerbatimChar"/>
        </w:rPr>
        <w:t xml:space="preserve">a1</w:t>
      </w:r>
      <w:r>
        <w:t xml:space="preserve">,</w:t>
      </w:r>
      <w:r>
        <w:t xml:space="preserve"> </w:t>
      </w:r>
      <w:r>
        <w:rPr>
          <w:rStyle w:val="VerbatimChar"/>
        </w:rPr>
        <w:t xml:space="preserve">a2</w:t>
      </w:r>
      <w:r>
        <w:t xml:space="preserve">,</w:t>
      </w:r>
      <w:r>
        <w:t xml:space="preserve"> </w:t>
      </w:r>
      <w:r>
        <w:rPr>
          <w:rStyle w:val="VerbatimChar"/>
        </w:rPr>
        <w:t xml:space="preserve">a3</w:t>
      </w:r>
      <w:r>
        <w:t xml:space="preserve"> </w:t>
      </w:r>
      <w:r>
        <w:t xml:space="preserve">(они отвечают за коэффиценты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rPr>
          <w:rStyle w:val="VerbatimChar"/>
        </w:rPr>
        <w:t xml:space="preserve">b</w:t>
      </w:r>
      <w:r>
        <w:t xml:space="preserve">,</w:t>
      </w:r>
      <w:r>
        <w:rPr>
          <w:rStyle w:val="VerbatimChar"/>
        </w:rPr>
        <w:t xml:space="preserve">c</w:t>
      </w:r>
      <w:r>
        <w:t xml:space="preserve">) (рис. -fig. 5).</w:t>
      </w:r>
    </w:p>
    <w:p>
      <w:pPr>
        <w:pStyle w:val="CaptionedFigure"/>
      </w:pPr>
      <w:bookmarkStart w:id="31" w:name="fig:005"/>
      <w:r>
        <w:drawing>
          <wp:inline>
            <wp:extent cx="3436218" cy="3426593"/>
            <wp:effectExtent b="0" l="0" r="0" t="0"/>
            <wp:docPr descr="Figure 5: Решение МНК" title="" id="1" name="Picture"/>
            <a:graphic>
              <a:graphicData uri="http://schemas.openxmlformats.org/drawingml/2006/picture">
                <pic:pic>
                  <pic:nvPicPr>
                    <pic:cNvPr descr="pic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218" cy="342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Решение МНК</w:t>
      </w:r>
    </w:p>
    <w:p>
      <w:pPr>
        <w:numPr>
          <w:ilvl w:val="0"/>
          <w:numId w:val="1006"/>
        </w:numPr>
        <w:pStyle w:val="Compact"/>
      </w:pPr>
      <w:r>
        <w:t xml:space="preserve">Строю соответствующий график для демонстрации подгонки значений через нашу оценку значений МНК (рис. -fig. 6).</w:t>
      </w:r>
    </w:p>
    <w:p>
      <w:pPr>
        <w:pStyle w:val="CaptionedFigure"/>
      </w:pPr>
      <w:bookmarkStart w:id="33" w:name="fig:006"/>
      <w:r>
        <w:drawing>
          <wp:inline>
            <wp:extent cx="5334000" cy="4801383"/>
            <wp:effectExtent b="0" l="0" r="0" t="0"/>
            <wp:docPr descr="Figure 6: График получившейся параболы" title="" id="1" name="Picture"/>
            <a:graphic>
              <a:graphicData uri="http://schemas.openxmlformats.org/drawingml/2006/picture">
                <pic:pic>
                  <pic:nvPicPr>
                    <pic:cNvPr descr="pic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1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График получившейся параболы</w:t>
      </w:r>
    </w:p>
    <w:p>
      <w:pPr>
        <w:numPr>
          <w:ilvl w:val="0"/>
          <w:numId w:val="1007"/>
        </w:numPr>
        <w:pStyle w:val="Compact"/>
      </w:pPr>
      <w:r>
        <w:t xml:space="preserve">После всех шагов с поиском значений реализуем эквивалентный способ через встроенную функцию для подгонки значений полинома</w:t>
      </w:r>
      <w:r>
        <w:t xml:space="preserve"> </w:t>
      </w:r>
      <w:r>
        <w:rPr>
          <w:rStyle w:val="VerbatimChar"/>
        </w:rPr>
        <w:t xml:space="preserve">polyfit()</w:t>
      </w:r>
      <w:r>
        <w:t xml:space="preserve"> </w:t>
      </w:r>
      <w:r>
        <w:t xml:space="preserve">и функцию</w:t>
      </w:r>
      <w:r>
        <w:t xml:space="preserve"> </w:t>
      </w:r>
      <w:r>
        <w:rPr>
          <w:rStyle w:val="VerbatimChar"/>
        </w:rPr>
        <w:t xml:space="preserve">polyval()</w:t>
      </w:r>
      <w:r>
        <w:t xml:space="preserve"> </w:t>
      </w:r>
      <w:r>
        <w:t xml:space="preserve">для получения значения полинома P в точках, задаваемых вектором-строкой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(рис. -fig. 7).</w:t>
      </w:r>
    </w:p>
    <w:p>
      <w:pPr>
        <w:pStyle w:val="CaptionedFigure"/>
      </w:pPr>
      <w:bookmarkStart w:id="35" w:name="fig:007"/>
      <w:r>
        <w:drawing>
          <wp:inline>
            <wp:extent cx="3686475" cy="3128210"/>
            <wp:effectExtent b="0" l="0" r="0" t="0"/>
            <wp:docPr descr="Figure 7: Подгонка значений через встроенные функции" title="" id="1" name="Picture"/>
            <a:graphic>
              <a:graphicData uri="http://schemas.openxmlformats.org/drawingml/2006/picture">
                <pic:pic>
                  <pic:nvPicPr>
                    <pic:cNvPr descr="pic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3128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Подгонка значений через встроенные функции</w:t>
      </w:r>
    </w:p>
    <w:p>
      <w:pPr>
        <w:numPr>
          <w:ilvl w:val="0"/>
          <w:numId w:val="1008"/>
        </w:numPr>
        <w:pStyle w:val="Compact"/>
      </w:pPr>
      <w:r>
        <w:t xml:space="preserve">Построил график, аналогичный прошлому (рис. -fig. 8).</w:t>
      </w:r>
    </w:p>
    <w:p>
      <w:pPr>
        <w:pStyle w:val="CaptionedFigure"/>
      </w:pPr>
      <w:bookmarkStart w:id="37" w:name="fig:008"/>
      <w:r>
        <w:drawing>
          <wp:inline>
            <wp:extent cx="5334000" cy="4583407"/>
            <wp:effectExtent b="0" l="0" r="0" t="0"/>
            <wp:docPr descr="Figure 8: График результатов подгонки встроенными функциями" title="" id="1" name="Picture"/>
            <a:graphic>
              <a:graphicData uri="http://schemas.openxmlformats.org/drawingml/2006/picture">
                <pic:pic>
                  <pic:nvPicPr>
                    <pic:cNvPr descr="pic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3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График результатов подгонки встроенными функциями</w:t>
      </w:r>
    </w:p>
    <w:bookmarkEnd w:id="38"/>
    <w:bookmarkStart w:id="55" w:name="матричные-преобразования"/>
    <w:p>
      <w:pPr>
        <w:pStyle w:val="Heading2"/>
      </w:pPr>
      <w:r>
        <w:t xml:space="preserve">Матричные преобразования</w:t>
      </w:r>
    </w:p>
    <w:p>
      <w:pPr>
        <w:numPr>
          <w:ilvl w:val="0"/>
          <w:numId w:val="1009"/>
        </w:numPr>
        <w:pStyle w:val="Compact"/>
      </w:pPr>
      <w:r>
        <w:t xml:space="preserve">Для работы с примитивным изображением домика задал матрицу всех его вершин</w:t>
      </w:r>
      <w:r>
        <w:t xml:space="preserve"> </w:t>
      </w:r>
      <w:r>
        <w:rPr>
          <w:rStyle w:val="VerbatimChar"/>
        </w:rPr>
        <w:t xml:space="preserve">D</w:t>
      </w:r>
      <w:r>
        <w:t xml:space="preserve">. Домик представляет из себя конечный граф. Из матрицы вынул значения</w:t>
      </w:r>
      <w:r>
        <w:t xml:space="preserve"> </w:t>
      </w:r>
      <w:r>
        <w:rPr>
          <w:rStyle w:val="VerbatimChar"/>
        </w:rPr>
        <w:t xml:space="preserve">x</w:t>
      </w:r>
      <w:r>
        <w:t xml:space="preserve">,</w:t>
      </w:r>
      <w:r>
        <w:rPr>
          <w:rStyle w:val="VerbatimChar"/>
        </w:rPr>
        <w:t xml:space="preserve">y</w:t>
      </w:r>
      <w:r>
        <w:t xml:space="preserve"> </w:t>
      </w:r>
      <w:r>
        <w:t xml:space="preserve">и изобразил граф (рис. -fig. 9).</w:t>
      </w:r>
    </w:p>
    <w:p>
      <w:pPr>
        <w:pStyle w:val="CaptionedFigure"/>
      </w:pPr>
      <w:bookmarkStart w:id="40" w:name="fig:009"/>
      <w:r>
        <w:drawing>
          <wp:inline>
            <wp:extent cx="5334000" cy="3805507"/>
            <wp:effectExtent b="0" l="0" r="0" t="0"/>
            <wp:docPr descr="Figure 9: Диаграмма домика" title="" id="1" name="Picture"/>
            <a:graphic>
              <a:graphicData uri="http://schemas.openxmlformats.org/drawingml/2006/picture">
                <pic:pic>
                  <pic:nvPicPr>
                    <pic:cNvPr descr="pic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5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Диаграмма домика</w:t>
      </w:r>
    </w:p>
    <w:p>
      <w:pPr>
        <w:numPr>
          <w:ilvl w:val="0"/>
          <w:numId w:val="1010"/>
        </w:numPr>
        <w:pStyle w:val="Compact"/>
      </w:pPr>
      <w:r>
        <w:t xml:space="preserve">Для вращения объекта, заданного матрицей, необходимо домножить исходную на матрицу вращения. Адгоритм простой: переводим нужный нам угол в радианы, подставляем в матрицу вращения и домножаем слева на исходную матрицу. Сначала поворачиваю матрицу на 90 градусов (рис. -fig. 10).</w:t>
      </w:r>
    </w:p>
    <w:p>
      <w:pPr>
        <w:pStyle w:val="CaptionedFigure"/>
      </w:pPr>
      <w:bookmarkStart w:id="42" w:name="fig:010"/>
      <w:r>
        <w:drawing>
          <wp:inline>
            <wp:extent cx="5334000" cy="3561763"/>
            <wp:effectExtent b="0" l="0" r="0" t="0"/>
            <wp:docPr descr="Figure 10: получаем в радианах угол theta1, подставляем в матрицу вращения R1 и в RD1 записываем произведение матрицы врещения на исходную" title="" id="1" name="Picture"/>
            <a:graphic>
              <a:graphicData uri="http://schemas.openxmlformats.org/drawingml/2006/picture">
                <pic:pic>
                  <pic:nvPicPr>
                    <pic:cNvPr descr="pic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1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10: получаем в радианах угол</w:t>
      </w:r>
      <w:r>
        <w:t xml:space="preserve"> </w:t>
      </w:r>
      <w:r>
        <w:rPr>
          <w:iCs/>
          <w:i/>
        </w:rPr>
        <w:t xml:space="preserve">theta1</w:t>
      </w:r>
      <w:r>
        <w:t xml:space="preserve">, подставляем в матрицу вращения</w:t>
      </w:r>
      <w:r>
        <w:t xml:space="preserve"> </w:t>
      </w:r>
      <w:r>
        <w:rPr>
          <w:iCs/>
          <w:i/>
        </w:rPr>
        <w:t xml:space="preserve">R1</w:t>
      </w:r>
      <w:r>
        <w:t xml:space="preserve"> </w:t>
      </w:r>
      <w:r>
        <w:t xml:space="preserve">и в</w:t>
      </w:r>
      <w:r>
        <w:t xml:space="preserve"> </w:t>
      </w:r>
      <w:r>
        <w:rPr>
          <w:iCs/>
          <w:i/>
        </w:rPr>
        <w:t xml:space="preserve">RD1</w:t>
      </w:r>
      <w:r>
        <w:t xml:space="preserve"> </w:t>
      </w:r>
      <w:r>
        <w:t xml:space="preserve">записываем произведение матрицы врещения на исходную</w:t>
      </w:r>
    </w:p>
    <w:p>
      <w:pPr>
        <w:numPr>
          <w:ilvl w:val="0"/>
          <w:numId w:val="1011"/>
        </w:numPr>
        <w:pStyle w:val="Compact"/>
      </w:pPr>
      <w:r>
        <w:t xml:space="preserve">Из первой и второй строчки выделяем значения</w:t>
      </w:r>
      <w:r>
        <w:t xml:space="preserve"> </w:t>
      </w:r>
      <w:r>
        <w:rPr>
          <w:rStyle w:val="VerbatimChar"/>
        </w:rPr>
        <w:t xml:space="preserve">x</w:t>
      </w:r>
      <w:r>
        <w:t xml:space="preserve">,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и записываем в переменные</w:t>
      </w:r>
      <w:r>
        <w:t xml:space="preserve"> </w:t>
      </w:r>
      <w:r>
        <w:rPr>
          <w:rStyle w:val="VerbatimChar"/>
        </w:rPr>
        <w:t xml:space="preserve">x1</w:t>
      </w:r>
      <w:r>
        <w:t xml:space="preserve">,</w:t>
      </w:r>
      <w:r>
        <w:t xml:space="preserve"> </w:t>
      </w:r>
      <w:r>
        <w:rPr>
          <w:rStyle w:val="VerbatimChar"/>
        </w:rPr>
        <w:t xml:space="preserve">y1</w:t>
      </w:r>
      <w:r>
        <w:t xml:space="preserve"> </w:t>
      </w:r>
      <w:r>
        <w:t xml:space="preserve">(рис. -fig. 11).</w:t>
      </w:r>
    </w:p>
    <w:p>
      <w:pPr>
        <w:pStyle w:val="CaptionedFigure"/>
      </w:pPr>
      <w:bookmarkStart w:id="44" w:name="fig:011"/>
      <w:r>
        <w:drawing>
          <wp:inline>
            <wp:extent cx="5334000" cy="1634918"/>
            <wp:effectExtent b="0" l="0" r="0" t="0"/>
            <wp:docPr descr="Figure 11: Значения x, y для дальнейшего построения диаграмм" title="" id="1" name="Picture"/>
            <a:graphic>
              <a:graphicData uri="http://schemas.openxmlformats.org/drawingml/2006/picture">
                <pic:pic>
                  <pic:nvPicPr>
                    <pic:cNvPr descr="pic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4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11: Значения</w:t>
      </w:r>
      <w:r>
        <w:t xml:space="preserve"> </w:t>
      </w:r>
      <w:r>
        <w:rPr>
          <w:iCs/>
          <w:i/>
        </w:rPr>
        <w:t xml:space="preserve">x</w:t>
      </w:r>
      <w:r>
        <w:t xml:space="preserve">,</w:t>
      </w:r>
      <w:r>
        <w:t xml:space="preserve"> </w:t>
      </w:r>
      <w:r>
        <w:rPr>
          <w:iCs/>
          <w:i/>
        </w:rPr>
        <w:t xml:space="preserve">y</w:t>
      </w:r>
      <w:r>
        <w:t xml:space="preserve"> </w:t>
      </w:r>
      <w:r>
        <w:t xml:space="preserve">для дальнейшего построения диаграмм</w:t>
      </w:r>
    </w:p>
    <w:p>
      <w:pPr>
        <w:numPr>
          <w:ilvl w:val="0"/>
          <w:numId w:val="1012"/>
        </w:numPr>
        <w:pStyle w:val="Compact"/>
      </w:pPr>
      <w:r>
        <w:t xml:space="preserve">Повторяю шаги 10, 11 для поворота на 225 градусов. Значения</w:t>
      </w:r>
      <w:r>
        <w:t xml:space="preserve"> </w:t>
      </w:r>
      <w:r>
        <w:rPr>
          <w:rStyle w:val="VerbatimChar"/>
        </w:rPr>
        <w:t xml:space="preserve">x</w:t>
      </w:r>
      <w:r>
        <w:t xml:space="preserve">,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и записываю в переменные</w:t>
      </w:r>
      <w:r>
        <w:t xml:space="preserve"> </w:t>
      </w:r>
      <w:r>
        <w:rPr>
          <w:rStyle w:val="VerbatimChar"/>
        </w:rPr>
        <w:t xml:space="preserve">x2</w:t>
      </w:r>
      <w:r>
        <w:t xml:space="preserve">,</w:t>
      </w:r>
      <w:r>
        <w:t xml:space="preserve"> </w:t>
      </w:r>
      <w:r>
        <w:rPr>
          <w:rStyle w:val="VerbatimChar"/>
        </w:rPr>
        <w:t xml:space="preserve">y2</w:t>
      </w:r>
      <w:r>
        <w:t xml:space="preserve"> </w:t>
      </w:r>
      <w:r>
        <w:t xml:space="preserve">(рис. -fig. 12).</w:t>
      </w:r>
    </w:p>
    <w:p>
      <w:pPr>
        <w:pStyle w:val="CaptionedFigure"/>
      </w:pPr>
      <w:bookmarkStart w:id="46" w:name="fig:012"/>
      <w:r>
        <w:drawing>
          <wp:inline>
            <wp:extent cx="5334000" cy="4176704"/>
            <wp:effectExtent b="0" l="0" r="0" t="0"/>
            <wp:docPr descr="Figure 12: Поворачиваем вторую матрицу на 225 градусов" title="" id="1" name="Picture"/>
            <a:graphic>
              <a:graphicData uri="http://schemas.openxmlformats.org/drawingml/2006/picture">
                <pic:pic>
                  <pic:nvPicPr>
                    <pic:cNvPr descr="pic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6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12: Поворачиваем вторую матрицу на 225 градусов</w:t>
      </w:r>
    </w:p>
    <w:p>
      <w:pPr>
        <w:numPr>
          <w:ilvl w:val="0"/>
          <w:numId w:val="1013"/>
        </w:numPr>
        <w:pStyle w:val="Compact"/>
      </w:pPr>
      <w:r>
        <w:t xml:space="preserve">Изображаем все домики в трёх цветах (рис. -fig. 13).</w:t>
      </w:r>
    </w:p>
    <w:p>
      <w:pPr>
        <w:pStyle w:val="CaptionedFigure"/>
      </w:pPr>
      <w:bookmarkStart w:id="48" w:name="fig:013"/>
      <w:r>
        <w:drawing>
          <wp:inline>
            <wp:extent cx="5334000" cy="4638260"/>
            <wp:effectExtent b="0" l="0" r="0" t="0"/>
            <wp:docPr descr="Figure 13: Диаграмма с домиками" title="" id="1" name="Picture"/>
            <a:graphic>
              <a:graphicData uri="http://schemas.openxmlformats.org/drawingml/2006/picture">
                <pic:pic>
                  <pic:nvPicPr>
                    <pic:cNvPr descr="pics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8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13: Диаграмма с домиками</w:t>
      </w:r>
    </w:p>
    <w:p>
      <w:pPr>
        <w:numPr>
          <w:ilvl w:val="0"/>
          <w:numId w:val="1014"/>
        </w:numPr>
        <w:pStyle w:val="Compact"/>
      </w:pPr>
      <w:r>
        <w:t xml:space="preserve">Немного отходя от методчки изменяю отображение легенды так, чтобы она не перекрывала диаграмму (рис. -fig. 14).</w:t>
      </w:r>
    </w:p>
    <w:p>
      <w:pPr>
        <w:pStyle w:val="CaptionedFigure"/>
      </w:pPr>
      <w:bookmarkStart w:id="50" w:name="fig:014"/>
      <w:r>
        <w:drawing>
          <wp:inline>
            <wp:extent cx="5334000" cy="3257636"/>
            <wp:effectExtent b="0" l="0" r="0" t="0"/>
            <wp:docPr descr="Figure 14: Диаграмма с домиками с легендой сбоку по центру" title="" id="1" name="Picture"/>
            <a:graphic>
              <a:graphicData uri="http://schemas.openxmlformats.org/drawingml/2006/picture">
                <pic:pic>
                  <pic:nvPicPr>
                    <pic:cNvPr descr="pics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14: Диаграмма с домиками с легендой сбоку по центру</w:t>
      </w:r>
    </w:p>
    <w:p>
      <w:pPr>
        <w:numPr>
          <w:ilvl w:val="0"/>
          <w:numId w:val="1015"/>
        </w:numPr>
        <w:pStyle w:val="Compact"/>
      </w:pPr>
      <w:r>
        <w:t xml:space="preserve">Аналогично вращению можно задать отражение относительно некоторой прямой. В методичке сразу задана матрица отражения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без пояснений по её получению – по отражению видно, что прямая идёт под углом 45 градусов, следовательно синус от удвоенного аргумента (то есть угла 90 градусов) в матрице отражения дал ответ 1, а косинус – 0. Зная это, провожу домножение исходной матрицы на матрицу отражения и строю диаграмму (диаграмма одна, так как изменение масштаба командой</w:t>
      </w:r>
      <w:r>
        <w:t xml:space="preserve"> </w:t>
      </w:r>
      <w:r>
        <w:rPr>
          <w:rStyle w:val="VerbatimChar"/>
        </w:rPr>
        <w:t xml:space="preserve">axis</w:t>
      </w:r>
      <w:r>
        <w:t xml:space="preserve"> </w:t>
      </w:r>
      <w:r>
        <w:t xml:space="preserve">не требует особого внимания) (рис. -fig. 15).</w:t>
      </w:r>
    </w:p>
    <w:p>
      <w:pPr>
        <w:pStyle w:val="CaptionedFigure"/>
      </w:pPr>
      <w:bookmarkStart w:id="52" w:name="fig:015"/>
      <w:r>
        <w:drawing>
          <wp:inline>
            <wp:extent cx="5334000" cy="3341511"/>
            <wp:effectExtent b="0" l="0" r="0" t="0"/>
            <wp:docPr descr="Figure 15: Диаграмма с отзеркаленным домиком" title="" id="1" name="Picture"/>
            <a:graphic>
              <a:graphicData uri="http://schemas.openxmlformats.org/drawingml/2006/picture">
                <pic:pic>
                  <pic:nvPicPr>
                    <pic:cNvPr descr="pics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1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15: Диаграмма с отзеркаленным домиком</w:t>
      </w:r>
    </w:p>
    <w:p>
      <w:pPr>
        <w:numPr>
          <w:ilvl w:val="0"/>
          <w:numId w:val="1016"/>
        </w:numPr>
        <w:pStyle w:val="Compact"/>
      </w:pPr>
      <w:r>
        <w:t xml:space="preserve">Самым последним шагом проводим дилатацию: увеличим домик в 2 раза с помощью домножения на матрицу</w:t>
      </w:r>
      <w:r>
        <w:t xml:space="preserve"> </w:t>
      </w:r>
      <w:r>
        <w:rPr>
          <w:rStyle w:val="VerbatimChar"/>
        </w:rPr>
        <w:t xml:space="preserve">T</w:t>
      </w:r>
      <w:r>
        <w:t xml:space="preserve">, состоящую из двух базисных векторов, растягивающих линейное пространство. А далее выводим результат на экран в виде диаграммы (рис. -fig. 16).</w:t>
      </w:r>
    </w:p>
    <w:p>
      <w:pPr>
        <w:pStyle w:val="CaptionedFigure"/>
      </w:pPr>
      <w:bookmarkStart w:id="54" w:name="fig:016"/>
      <w:r>
        <w:drawing>
          <wp:inline>
            <wp:extent cx="5334000" cy="3027712"/>
            <wp:effectExtent b="0" l="0" r="0" t="0"/>
            <wp:docPr descr="Figure 16: Диаграмма с увеличенным домиком" title="" id="1" name="Picture"/>
            <a:graphic>
              <a:graphicData uri="http://schemas.openxmlformats.org/drawingml/2006/picture">
                <pic:pic>
                  <pic:nvPicPr>
                    <pic:cNvPr descr="pics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7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16: Диаграмма с увеличенным домиком</w:t>
      </w:r>
    </w:p>
    <w:bookmarkEnd w:id="55"/>
    <w:bookmarkEnd w:id="56"/>
    <w:bookmarkStart w:id="5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освоил матричные преобразования и способы подгонки значенй методом наименьших квадратов в языке Octave.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Сырцов Александр Юрьевич</dc:creator>
  <dc:language>ru-RU</dc:language>
  <cp:keywords/>
  <dcterms:created xsi:type="dcterms:W3CDTF">2021-05-22T19:51:36Z</dcterms:created>
  <dcterms:modified xsi:type="dcterms:W3CDTF">2021-05-22T19:51:36Z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Работа с линейным пространством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