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Сырцов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Научится находить частичные и полные суммы рядов, значения пределов и интегралов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• Сделать отчёт по лабораторной работе в формате Markdown.</w:t>
      </w:r>
    </w:p>
    <w:p>
      <w:pPr>
        <w:pStyle w:val="BodyText"/>
      </w:pPr>
      <w:r>
        <w:t xml:space="preserve">• В качестве ответа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пределы-последовательности-и-ряды"/>
    <w:p>
      <w:pPr>
        <w:pStyle w:val="Heading2"/>
      </w:pPr>
      <w:r>
        <w:t xml:space="preserve">Пределы, последовательности и ряды</w:t>
      </w:r>
    </w:p>
    <w:p>
      <w:pPr>
        <w:numPr>
          <w:ilvl w:val="0"/>
          <w:numId w:val="1001"/>
        </w:numPr>
        <w:pStyle w:val="Compact"/>
      </w:pPr>
      <w:r>
        <w:t xml:space="preserve">Реализую функцию для оценки некоторого предела: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Функция реализована в функциональном стиле и представляет собой анонимное лямбда-выражение, присвоенное объекту</w:t>
      </w:r>
      <w:r>
        <w:t xml:space="preserve"> </w:t>
      </w:r>
      <w:r>
        <w:rPr>
          <w:rStyle w:val="VerbatimChar"/>
        </w:rPr>
        <w:t xml:space="preserve">f</w:t>
      </w:r>
      <w:r>
        <w:t xml:space="preserve">, которое в качестве своего терма принимает вектор значений</w:t>
      </w:r>
      <w:r>
        <w:t xml:space="preserve"> </w:t>
      </w:r>
      <w:r>
        <w:rPr>
          <w:rStyle w:val="VerbatimChar"/>
        </w:rPr>
        <w:t xml:space="preserve">n</w:t>
      </w:r>
      <w:r>
        <w:t xml:space="preserve">. Вместе с тем сразу задаём вектор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и меняем формат отображения чисел для следующего шага (рис. -fig. 1).</w:t>
      </w:r>
    </w:p>
    <w:p>
      <w:pPr>
        <w:pStyle w:val="CaptionedFigure"/>
      </w:pPr>
      <w:bookmarkStart w:id="23" w:name="fig:001"/>
      <w:r>
        <w:drawing>
          <wp:inline>
            <wp:extent cx="2650991" cy="3112033"/>
            <wp:effectExtent b="0" l="0" r="0" t="0"/>
            <wp:docPr descr="Figure 1: Анонимная функция и вектор k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311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Анонимная функция и вектор</w:t>
      </w:r>
      <w:r>
        <w:t xml:space="preserve"> </w:t>
      </w:r>
      <w:r>
        <w:rPr>
          <w:iCs/>
          <w:i/>
        </w:rPr>
        <w:t xml:space="preserve">k</w:t>
      </w:r>
    </w:p>
    <w:p>
      <w:pPr>
        <w:pStyle w:val="BodyText"/>
      </w:pPr>
      <w:r>
        <w:t xml:space="preserve">Замечание 1: вектор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задан как транспонированный конвектор, что крайне удобно и быстро в сочетании с range-оператором.</w:t>
      </w:r>
    </w:p>
    <w:p>
      <w:pPr>
        <w:pStyle w:val="BodyText"/>
      </w:pPr>
      <w:r>
        <w:t xml:space="preserve">Замечание 2: Реализованная функция чистая и является функцией первого класса, однако перестаёт быть анонимной после присвоения объекту</w:t>
      </w:r>
      <w:r>
        <w:t xml:space="preserve"> </w:t>
      </w:r>
      <w:r>
        <w:rPr>
          <w:rStyle w:val="VerbatimChar"/>
        </w:rPr>
        <w:t xml:space="preserve">f</w:t>
      </w:r>
      <w:r>
        <w:t xml:space="preserve">, так как он становится</w:t>
      </w:r>
      <w:r>
        <w:t xml:space="preserve"> </w:t>
      </w:r>
      <w:r>
        <w:t xml:space="preserve">“</w:t>
      </w:r>
      <w:r>
        <w:t xml:space="preserve">allias</w:t>
      </w:r>
      <w:r>
        <w:t xml:space="preserve">”</w:t>
      </w:r>
      <w:r>
        <w:t xml:space="preserve"> </w:t>
      </w:r>
      <w:r>
        <w:t xml:space="preserve">для изначального выражения.</w:t>
      </w:r>
    </w:p>
    <w:p>
      <w:pPr>
        <w:numPr>
          <w:ilvl w:val="0"/>
          <w:numId w:val="1002"/>
        </w:numPr>
        <w:pStyle w:val="Compact"/>
      </w:pPr>
      <w:r>
        <w:t xml:space="preserve">Вектор индексов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определил собой количество итераций для вектора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(рис. -fig. 2), представляя собой степени от 0 до 9. Итоговый вектор значений – это вектор чисел от 1 до 1000000000. При его подстановке в функцию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мы постепенно приближаемся к окрестности нужного значения и по закономерности чисел можно сказать, к какому значению стремиться предел, а именно к значению числа</w:t>
      </w:r>
      <w:r>
        <w:t xml:space="preserve"> </w:t>
      </w:r>
      <w:r>
        <w:rPr>
          <w:iCs/>
          <w:i/>
        </w:rPr>
        <w:t xml:space="preserve">e</w:t>
      </w:r>
      <w:r>
        <w:t xml:space="preserve">, так как это второй замечательный предел (рис. -fig. 3).</w:t>
      </w:r>
    </w:p>
    <w:p>
      <w:pPr>
        <w:pStyle w:val="CaptionedFigure"/>
      </w:pPr>
      <w:bookmarkStart w:id="25" w:name="fig:002"/>
      <w:r>
        <w:drawing>
          <wp:inline>
            <wp:extent cx="1944060" cy="2074689"/>
            <wp:effectExtent b="0" l="0" r="0" t="0"/>
            <wp:docPr descr="Figure 2: Инициалзация вектора значений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60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Инициалзация вектора значений</w:t>
      </w:r>
    </w:p>
    <w:p>
      <w:pPr>
        <w:pStyle w:val="CaptionedFigure"/>
      </w:pPr>
      <w:bookmarkStart w:id="27" w:name="fig:003"/>
      <w:r>
        <w:drawing>
          <wp:inline>
            <wp:extent cx="1667435" cy="2097741"/>
            <wp:effectExtent b="0" l="0" r="0" t="0"/>
            <wp:docPr descr="Figure 3: Подстановка значений в функцию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435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Подстановка значений в функцию</w:t>
      </w:r>
    </w:p>
    <w:p>
      <w:pPr>
        <w:pStyle w:val="BodyText"/>
      </w:pPr>
      <w:r>
        <w:t xml:space="preserve">замечание: можно было не инициализировать отдельно</w:t>
      </w:r>
      <w:r>
        <w:t xml:space="preserve"> </w:t>
      </w:r>
      <w:r>
        <w:rPr>
          <w:rStyle w:val="VerbatimChar"/>
        </w:rPr>
        <w:t xml:space="preserve">k</w:t>
      </w:r>
      <w:r>
        <w:t xml:space="preserve">, а сразу подставить вектор для экономии памяти.</w:t>
      </w:r>
    </w:p>
    <w:bookmarkEnd w:id="28"/>
    <w:bookmarkStart w:id="35" w:name="частичные-суммы"/>
    <w:p>
      <w:pPr>
        <w:pStyle w:val="Heading2"/>
      </w:pPr>
      <w:r>
        <w:t xml:space="preserve">Частичные суммы</w:t>
      </w:r>
    </w:p>
    <w:p>
      <w:pPr>
        <w:numPr>
          <w:ilvl w:val="0"/>
          <w:numId w:val="1003"/>
        </w:numPr>
        <w:pStyle w:val="Compact"/>
      </w:pPr>
      <w:r>
        <w:t xml:space="preserve">Необходимо рассчитать частичные суммы ряда от второго до одинадцатого элемента включительно: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Для этого я инициализирую вектор индексов и подставляю в n-й член ряда, получая десять элементов ряда (рис. -fig. 4).</w:t>
      </w:r>
    </w:p>
    <w:p>
      <w:pPr>
        <w:pStyle w:val="CaptionedFigure"/>
      </w:pPr>
      <w:bookmarkStart w:id="30" w:name="fig:004"/>
      <w:r>
        <w:drawing>
          <wp:inline>
            <wp:extent cx="2574151" cy="2236053"/>
            <wp:effectExtent b="0" l="0" r="0" t="0"/>
            <wp:docPr descr="Figure 4: Значения для нахождения частичных сумм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223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Значения для нахождения частичных сумм</w:t>
      </w:r>
    </w:p>
    <w:p>
      <w:pPr>
        <w:numPr>
          <w:ilvl w:val="0"/>
          <w:numId w:val="1004"/>
        </w:numPr>
        <w:pStyle w:val="Compact"/>
      </w:pPr>
      <w:r>
        <w:t xml:space="preserve">Частичные суммы расчитываются, как суммы от одного элемента до другого, не покрывая исходный ряд. Следуя такой логике, реализую цикл от 1 до 10, где в конвектор частичных сумм записывается сумма от первого элемента вектора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до i-го с помощью функции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 В конце выодим все значения через транспонированный конвектор (рис. -fig. 5).</w:t>
      </w:r>
    </w:p>
    <w:p>
      <w:pPr>
        <w:pStyle w:val="CaptionedFigure"/>
      </w:pPr>
      <w:bookmarkStart w:id="32" w:name="fig:005"/>
      <w:r>
        <w:drawing>
          <wp:inline>
            <wp:extent cx="1828800" cy="2574151"/>
            <wp:effectExtent b="0" l="0" r="0" t="0"/>
            <wp:docPr descr="Figure 5: Частичные суммы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Частичные суммы</w:t>
      </w:r>
    </w:p>
    <w:p>
      <w:pPr>
        <w:numPr>
          <w:ilvl w:val="0"/>
          <w:numId w:val="1005"/>
        </w:numPr>
        <w:pStyle w:val="Compact"/>
      </w:pPr>
      <w:r>
        <w:t xml:space="preserve">Визуализирую резултаты и очевидно получаю обратную корелляцию между значениями ряда и значением частичных сумм (рис. -fig. 6).</w:t>
      </w:r>
    </w:p>
    <w:p>
      <w:pPr>
        <w:pStyle w:val="CaptionedFigure"/>
      </w:pPr>
      <w:bookmarkStart w:id="34" w:name="fig:006"/>
      <w:r>
        <w:drawing>
          <wp:inline>
            <wp:extent cx="4356847" cy="4887045"/>
            <wp:effectExtent b="0" l="0" r="0" t="0"/>
            <wp:docPr descr="Figure 6: Граафик значений элементов ряда и частичных сумм ряда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488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Граафик значений элементов ряда и частичных сумм ряда</w:t>
      </w:r>
    </w:p>
    <w:bookmarkEnd w:id="35"/>
    <w:bookmarkStart w:id="38" w:name="сумма-ряда"/>
    <w:p>
      <w:pPr>
        <w:pStyle w:val="Heading2"/>
      </w:pPr>
      <w:r>
        <w:t xml:space="preserve">Сумма ряда</w:t>
      </w:r>
    </w:p>
    <w:p>
      <w:pPr>
        <w:numPr>
          <w:ilvl w:val="0"/>
          <w:numId w:val="1006"/>
        </w:numPr>
        <w:pStyle w:val="Compact"/>
      </w:pPr>
      <w:r>
        <w:t xml:space="preserve">Найду сумму элеметов горманического ряда: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Аналогично задав вектор индексов, находим элементы ряда и используем стандартную функцию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(рис. -fig. 7).</w:t>
      </w:r>
    </w:p>
    <w:p>
      <w:pPr>
        <w:pStyle w:val="CaptionedFigure"/>
      </w:pPr>
      <w:bookmarkStart w:id="37" w:name="fig:007"/>
      <w:r>
        <w:drawing>
          <wp:inline>
            <wp:extent cx="1882588" cy="868295"/>
            <wp:effectExtent b="0" l="0" r="0" t="0"/>
            <wp:docPr descr="Figure 7: Сумма ряда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88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Сумма ряда</w:t>
      </w:r>
    </w:p>
    <w:bookmarkEnd w:id="38"/>
    <w:bookmarkStart w:id="41" w:name="численное-интегрирование"/>
    <w:p>
      <w:pPr>
        <w:pStyle w:val="Heading2"/>
      </w:pPr>
      <w:r>
        <w:t xml:space="preserve">Численное интегрирование</w:t>
      </w:r>
    </w:p>
    <w:p>
      <w:pPr>
        <w:numPr>
          <w:ilvl w:val="0"/>
          <w:numId w:val="1007"/>
        </w:numPr>
        <w:pStyle w:val="Compact"/>
      </w:pPr>
      <w:r>
        <w:t xml:space="preserve">Нахожу значение определённого интеграла: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Для этого явно задаю функцию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и использую стандартную функцию</w:t>
      </w:r>
      <w:r>
        <w:t xml:space="preserve"> </w:t>
      </w:r>
      <w:r>
        <w:rPr>
          <w:rStyle w:val="VerbatimChar"/>
        </w:rPr>
        <w:t xml:space="preserve">quad()</w:t>
      </w:r>
      <w:r>
        <w:t xml:space="preserve"> </w:t>
      </w:r>
      <w:r>
        <w:t xml:space="preserve">(рис. -fig. 8).</w:t>
      </w:r>
    </w:p>
    <w:p>
      <w:pPr>
        <w:pStyle w:val="CaptionedFigure"/>
      </w:pPr>
      <w:bookmarkStart w:id="40" w:name="fig:008"/>
      <w:r>
        <w:drawing>
          <wp:inline>
            <wp:extent cx="2128477" cy="1014292"/>
            <wp:effectExtent b="0" l="0" r="0" t="0"/>
            <wp:docPr descr="Figure 8: определённый интеграл функцией quad()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определённый интеграл функцией</w:t>
      </w:r>
      <w:r>
        <w:t xml:space="preserve"> </w:t>
      </w:r>
      <w:r>
        <w:rPr>
          <w:iCs/>
          <w:i/>
        </w:rPr>
        <w:t xml:space="preserve">quad()</w:t>
      </w:r>
    </w:p>
    <w:bookmarkEnd w:id="41"/>
    <w:bookmarkStart w:id="52" w:name="аппроксимированние-суммами"/>
    <w:p>
      <w:pPr>
        <w:pStyle w:val="Heading2"/>
      </w:pPr>
      <w:r>
        <w:t xml:space="preserve">Аппроксимированние суммами</w:t>
      </w:r>
    </w:p>
    <w:p>
      <w:pPr>
        <w:numPr>
          <w:ilvl w:val="0"/>
          <w:numId w:val="1008"/>
        </w:numPr>
        <w:pStyle w:val="Compact"/>
      </w:pPr>
      <w:r>
        <w:t xml:space="preserve">Рассчитаем тот же интеграл, но по правилу средней точки: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Из комментариев к коду понятно, как работает правило и как работает код. Сначала реализация программы с использованием циклов</w:t>
      </w:r>
      <w:r>
        <w:t xml:space="preserve"> </w:t>
      </w:r>
      <w:r>
        <w:rPr>
          <w:rStyle w:val="VerbatimChar"/>
        </w:rPr>
        <w:t xml:space="preserve">midpoint</w:t>
      </w:r>
      <w:r>
        <w:t xml:space="preserve"> </w:t>
      </w:r>
      <w:r>
        <w:t xml:space="preserve">(рис. -fig. 9).</w:t>
      </w:r>
    </w:p>
    <w:p>
      <w:pPr>
        <w:pStyle w:val="CaptionedFigure"/>
      </w:pPr>
      <w:bookmarkStart w:id="43" w:name="fig:009"/>
      <w:r>
        <w:drawing>
          <wp:inline>
            <wp:extent cx="4049485" cy="4933149"/>
            <wp:effectExtent b="0" l="0" r="0" t="0"/>
            <wp:docPr descr="Figure 9: Реализация midpoint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493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9: Реализация</w:t>
      </w:r>
      <w:r>
        <w:t xml:space="preserve"> </w:t>
      </w:r>
      <w:r>
        <w:rPr>
          <w:iCs/>
          <w:i/>
        </w:rPr>
        <w:t xml:space="preserve">midpoint</w:t>
      </w:r>
    </w:p>
    <w:p>
      <w:pPr>
        <w:numPr>
          <w:ilvl w:val="0"/>
          <w:numId w:val="1009"/>
        </w:numPr>
        <w:pStyle w:val="Compact"/>
      </w:pPr>
      <w:r>
        <w:t xml:space="preserve">Запускаю код (рис. -fig. 10).</w:t>
      </w:r>
    </w:p>
    <w:p>
      <w:pPr>
        <w:pStyle w:val="CaptionedFigure"/>
      </w:pPr>
      <w:bookmarkStart w:id="45" w:name="fig:010"/>
      <w:r>
        <w:drawing>
          <wp:inline>
            <wp:extent cx="3703704" cy="1075764"/>
            <wp:effectExtent b="0" l="0" r="0" t="0"/>
            <wp:docPr descr="Figure 10: Запуск midpoint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10: Запуск</w:t>
      </w:r>
      <w:r>
        <w:t xml:space="preserve"> </w:t>
      </w:r>
      <w:r>
        <w:rPr>
          <w:iCs/>
          <w:i/>
        </w:rPr>
        <w:t xml:space="preserve">midpoint</w:t>
      </w:r>
    </w:p>
    <w:p>
      <w:pPr>
        <w:numPr>
          <w:ilvl w:val="0"/>
          <w:numId w:val="1010"/>
        </w:numPr>
        <w:pStyle w:val="Compact"/>
      </w:pPr>
      <w:r>
        <w:t xml:space="preserve">Теперь аналогично реализую векторизованную программу</w:t>
      </w:r>
      <w:r>
        <w:t xml:space="preserve"> </w:t>
      </w:r>
      <w:r>
        <w:rPr>
          <w:rStyle w:val="VerbatimChar"/>
        </w:rPr>
        <w:t xml:space="preserve">midpoint_v</w:t>
      </w:r>
      <w:r>
        <w:t xml:space="preserve"> </w:t>
      </w:r>
      <w:r>
        <w:t xml:space="preserve">(рис. -fig. 11) и запускаю (рис. -fig. 12).</w:t>
      </w:r>
    </w:p>
    <w:p>
      <w:pPr>
        <w:pStyle w:val="CaptionedFigure"/>
      </w:pPr>
      <w:bookmarkStart w:id="47" w:name="fig:011"/>
      <w:r>
        <w:drawing>
          <wp:inline>
            <wp:extent cx="4003381" cy="4779468"/>
            <wp:effectExtent b="0" l="0" r="0" t="0"/>
            <wp:docPr descr="Figure 11: Реализация midpoint_v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11: Реализация</w:t>
      </w:r>
      <w:r>
        <w:t xml:space="preserve"> </w:t>
      </w:r>
      <w:r>
        <w:rPr>
          <w:iCs/>
          <w:i/>
        </w:rPr>
        <w:t xml:space="preserve">midpoint_v</w:t>
      </w:r>
    </w:p>
    <w:p>
      <w:pPr>
        <w:pStyle w:val="CaptionedFigure"/>
      </w:pPr>
      <w:bookmarkStart w:id="49" w:name="fig:012"/>
      <w:r>
        <w:drawing>
          <wp:inline>
            <wp:extent cx="1575226" cy="968188"/>
            <wp:effectExtent b="0" l="0" r="0" t="0"/>
            <wp:docPr descr="Figure 12: Запуск midpoint_v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26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12: Запуск</w:t>
      </w:r>
      <w:r>
        <w:t xml:space="preserve"> </w:t>
      </w:r>
      <w:r>
        <w:rPr>
          <w:iCs/>
          <w:i/>
        </w:rPr>
        <w:t xml:space="preserve">midpoint_v</w:t>
      </w:r>
    </w:p>
    <w:p>
      <w:pPr>
        <w:numPr>
          <w:ilvl w:val="0"/>
          <w:numId w:val="1011"/>
        </w:numPr>
        <w:pStyle w:val="Compact"/>
      </w:pPr>
      <w:r>
        <w:t xml:space="preserve">Сравниваю результаты выполнения двух программ с помощью макросов (команд)</w:t>
      </w:r>
      <w:r>
        <w:t xml:space="preserve"> </w:t>
      </w:r>
      <w:r>
        <w:rPr>
          <w:rStyle w:val="VerbatimChar"/>
        </w:rPr>
        <w:t xml:space="preserve">tic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toc</w:t>
      </w:r>
      <w:r>
        <w:t xml:space="preserve">. Из результатов видно, что векторизванный код работает быстрее подобно тому, что мы наблюдали в одной из прошлых лабораторных (рис. -fig. 13).</w:t>
      </w:r>
    </w:p>
    <w:p>
      <w:pPr>
        <w:pStyle w:val="CaptionedFigure"/>
      </w:pPr>
      <w:bookmarkStart w:id="51" w:name="fig:013"/>
      <w:r>
        <w:drawing>
          <wp:inline>
            <wp:extent cx="2428154" cy="2189949"/>
            <wp:effectExtent b="0" l="0" r="0" t="0"/>
            <wp:docPr descr="Figure 13: Сравнение скорости исполнения кода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13: Сравнение скорости исполнения кода</w:t>
      </w:r>
    </w:p>
    <w:bookmarkEnd w:id="52"/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успешно пополнил опыт вычисления приближённых и точных значений рядов, пределов, сумм и интегралов, научившись этому в языке программирования Octave.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Сырцов Александр Юрьевич</dc:creator>
  <dc:language>ru-RU</dc:language>
  <cp:keywords/>
  <dcterms:created xsi:type="dcterms:W3CDTF">2021-05-29T20:33:06Z</dcterms:created>
  <dcterms:modified xsi:type="dcterms:W3CDTF">2021-05-29T20:33:06Z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