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36"/>
        </w:rPr>
        <w:t>Supplementary Figures</w:t>
      </w:r>
    </w:p>
    <w:p>
      <w:pPr>
        <w:jc w:val="center"/>
      </w:pPr>
      <w:r>
        <w:rPr>
          <w:rFonts w:ascii="Times New Roman" w:hAnsi="Times New Roman"/>
          <w:sz w:val="24"/>
        </w:rPr>
        <w:t>Nicotinamide Mononucleotide vs Nicotinamide Riboside Supplementation on Cardiometabolic Outcomes in Adults: A Systematic Review and Network Meta-Analysis</w:t>
      </w:r>
    </w:p>
    <w:p/>
    <w:p>
      <w:pPr>
        <w:jc w:val="left"/>
      </w:pPr>
      <w:r>
        <w:rPr>
          <w:rFonts w:ascii="Times New Roman" w:hAnsi="Times New Roman"/>
          <w:b/>
          <w:sz w:val="22"/>
        </w:rPr>
        <w:t>Contents:</w:t>
      </w:r>
    </w:p>
    <w:p>
      <w:r>
        <w:rPr>
          <w:rFonts w:ascii="Times New Roman" w:hAnsi="Times New Roman"/>
          <w:sz w:val="20"/>
        </w:rPr>
        <w:t>Figure S1: See panels below</w:t>
      </w:r>
    </w:p>
    <w:p>
      <w:r>
        <w:rPr>
          <w:rFonts w:ascii="Times New Roman" w:hAnsi="Times New Roman"/>
          <w:sz w:val="20"/>
        </w:rPr>
        <w:t>Figure S2: See panels below</w:t>
      </w:r>
    </w:p>
    <w:p>
      <w:r>
        <w:rPr>
          <w:rFonts w:ascii="Times New Roman" w:hAnsi="Times New Roman"/>
          <w:sz w:val="20"/>
        </w:rPr>
        <w:t>Figure S3: See panels below</w:t>
      </w:r>
    </w:p>
    <w:p>
      <w:r>
        <w:rPr>
          <w:rFonts w:ascii="Times New Roman" w:hAnsi="Times New Roman"/>
          <w:sz w:val="20"/>
        </w:rPr>
        <w:t>Figure S4: See panels below</w:t>
      </w:r>
    </w:p>
    <w:p>
      <w:r>
        <w:rPr>
          <w:rFonts w:ascii="Times New Roman" w:hAnsi="Times New Roman"/>
          <w:sz w:val="20"/>
        </w:rPr>
        <w:t>Figure S5: See panels below</w:t>
      </w:r>
    </w:p>
    <w:p>
      <w:r>
        <w:rPr>
          <w:rFonts w:ascii="Times New Roman" w:hAnsi="Times New Roman"/>
          <w:sz w:val="20"/>
        </w:rPr>
        <w:t>Figure S6: See panels below</w:t>
      </w:r>
    </w:p>
    <w:p>
      <w:r>
        <w:rPr>
          <w:rFonts w:ascii="Times New Roman" w:hAnsi="Times New Roman"/>
          <w:sz w:val="20"/>
        </w:rPr>
        <w:t>Figure S7: See panels below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S1a.</w:t>
      </w:r>
      <w:r>
        <w:rPr>
          <w:rFonts w:ascii="Times New Roman" w:hAnsi="Times New Roman"/>
          <w:sz w:val="20"/>
        </w:rPr>
        <w:t xml:space="preserve"> Forest plot of fasting blood glucose (FBG): NMN vs placebo. Random-effects model (DerSimonian-Laird). Squares represent individual study mean differences (MD) with 95% confidence intervals (CI); diamond represents the pooled estimate.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2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FBG_NMN_vs_PB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S1b.</w:t>
      </w:r>
      <w:r>
        <w:rPr>
          <w:rFonts w:ascii="Times New Roman" w:hAnsi="Times New Roman"/>
          <w:sz w:val="20"/>
        </w:rPr>
        <w:t xml:space="preserve"> Forest plot of fasting blood glucose (FBG): NR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5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FBG_NR_vs_PB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S1c.</w:t>
      </w:r>
      <w:r>
        <w:rPr>
          <w:rFonts w:ascii="Times New Roman" w:hAnsi="Times New Roman"/>
          <w:sz w:val="20"/>
        </w:rPr>
        <w:t xml:space="preserve"> Forest plot of glycated haemoglobin (HbA1c):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5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HbA1c_NMN_vs_P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S1d.</w:t>
      </w:r>
      <w:r>
        <w:rPr>
          <w:rFonts w:ascii="Times New Roman" w:hAnsi="Times New Roman"/>
          <w:sz w:val="20"/>
        </w:rPr>
        <w:t xml:space="preserve"> Forest plot of fasting insulin: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5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fasting_insulin_NMN_vs_P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S2a.</w:t>
      </w:r>
      <w:r>
        <w:rPr>
          <w:rFonts w:ascii="Times New Roman" w:hAnsi="Times New Roman"/>
          <w:sz w:val="20"/>
        </w:rPr>
        <w:t xml:space="preserve"> Forest plot of total cholesterol (TC):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5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TC_NMN_vs_PB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S2b.</w:t>
      </w:r>
      <w:r>
        <w:rPr>
          <w:rFonts w:ascii="Times New Roman" w:hAnsi="Times New Roman"/>
          <w:sz w:val="20"/>
        </w:rPr>
        <w:t xml:space="preserve"> Forest plot of total cholesterol (TC): NR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TC_NR_vs_PB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S2c.</w:t>
      </w:r>
      <w:r>
        <w:rPr>
          <w:rFonts w:ascii="Times New Roman" w:hAnsi="Times New Roman"/>
          <w:sz w:val="20"/>
        </w:rPr>
        <w:t xml:space="preserve"> Forest plot of low-density lipoprotein cholesterol (LDL-C):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LDL_NMN_vs_PB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S2d.</w:t>
      </w:r>
      <w:r>
        <w:rPr>
          <w:rFonts w:ascii="Times New Roman" w:hAnsi="Times New Roman"/>
          <w:sz w:val="20"/>
        </w:rPr>
        <w:t xml:space="preserve"> Forest plot of low-density lipoprotein cholesterol (LDL-C): NR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LDL_NR_vs_PB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S2e.</w:t>
      </w:r>
      <w:r>
        <w:rPr>
          <w:rFonts w:ascii="Times New Roman" w:hAnsi="Times New Roman"/>
          <w:sz w:val="20"/>
        </w:rPr>
        <w:t xml:space="preserve"> Forest plot of high-density lipoprotein cholesterol (HDL-C):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HDL_NMN_vs_PB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S2f.</w:t>
      </w:r>
      <w:r>
        <w:rPr>
          <w:rFonts w:ascii="Times New Roman" w:hAnsi="Times New Roman"/>
          <w:sz w:val="20"/>
        </w:rPr>
        <w:t xml:space="preserve"> Forest plot of high-density lipoprotein cholesterol (HDL-C): NR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HDL_NR_vs_PB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S2g.</w:t>
      </w:r>
      <w:r>
        <w:rPr>
          <w:rFonts w:ascii="Times New Roman" w:hAnsi="Times New Roman"/>
          <w:sz w:val="20"/>
        </w:rPr>
        <w:t xml:space="preserve"> Forest plot of triglycerides (TG):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24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TG_NMN_vs_PB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S2h.</w:t>
      </w:r>
      <w:r>
        <w:rPr>
          <w:rFonts w:ascii="Times New Roman" w:hAnsi="Times New Roman"/>
          <w:sz w:val="20"/>
        </w:rPr>
        <w:t xml:space="preserve"> Forest plot of triglycerides (TG): NR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TG_NR_vs_PB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S3a.</w:t>
      </w:r>
      <w:r>
        <w:rPr>
          <w:rFonts w:ascii="Times New Roman" w:hAnsi="Times New Roman"/>
          <w:sz w:val="20"/>
        </w:rPr>
        <w:t xml:space="preserve"> Forest plot of alanine aminotransferase (ALT):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ALT_NMN_vs_PB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S3b.</w:t>
      </w:r>
      <w:r>
        <w:rPr>
          <w:rFonts w:ascii="Times New Roman" w:hAnsi="Times New Roman"/>
          <w:sz w:val="20"/>
        </w:rPr>
        <w:t xml:space="preserve"> Forest plot of alanine aminotransferase (ALT): NR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5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ALT_NR_vs_PB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S3c.</w:t>
      </w:r>
      <w:r>
        <w:rPr>
          <w:rFonts w:ascii="Times New Roman" w:hAnsi="Times New Roman"/>
          <w:sz w:val="20"/>
        </w:rPr>
        <w:t xml:space="preserve"> Forest plot of aspartate aminotransferase (AST):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AST_NMN_vs_PB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S4a.</w:t>
      </w:r>
      <w:r>
        <w:rPr>
          <w:rFonts w:ascii="Times New Roman" w:hAnsi="Times New Roman"/>
          <w:sz w:val="20"/>
        </w:rPr>
        <w:t xml:space="preserve"> Forest plot of systolic blood pressure (SBP):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24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SBP_NMN_vs_PB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S4b.</w:t>
      </w:r>
      <w:r>
        <w:rPr>
          <w:rFonts w:ascii="Times New Roman" w:hAnsi="Times New Roman"/>
          <w:sz w:val="20"/>
        </w:rPr>
        <w:t xml:space="preserve"> Forest plot of diastolic blood pressure (DBP):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24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DBP_NMN_vs_PB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S5a.</w:t>
      </w:r>
      <w:r>
        <w:rPr>
          <w:rFonts w:ascii="Times New Roman" w:hAnsi="Times New Roman"/>
          <w:sz w:val="20"/>
        </w:rPr>
        <w:t xml:space="preserve"> Forest plot of body mass index (BMI):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BMI_NMN_vs_PB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S5b.</w:t>
      </w:r>
      <w:r>
        <w:rPr>
          <w:rFonts w:ascii="Times New Roman" w:hAnsi="Times New Roman"/>
          <w:sz w:val="20"/>
        </w:rPr>
        <w:t xml:space="preserve"> Forest plot of body weight: NMN vs placebo.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81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body_weight_NMN_vs_PB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S6.</w:t>
      </w:r>
      <w:r>
        <w:rPr>
          <w:rFonts w:ascii="Times New Roman" w:hAnsi="Times New Roman"/>
          <w:sz w:val="20"/>
        </w:rPr>
        <w:t xml:space="preserve"> Outcome reporting matrix showing which outcomes were reported (filled) or not reported (empty) across included studies. Rows represent metabolic outcomes; columns represent individual studies grouped by precursor (NMN or NR).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299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come_reporting_matrix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S7a.</w:t>
      </w:r>
      <w:r>
        <w:rPr>
          <w:rFonts w:ascii="Times New Roman" w:hAnsi="Times New Roman"/>
          <w:sz w:val="20"/>
        </w:rPr>
        <w:t xml:space="preserve"> Leave-one-out sensitivity analysis forest plot for ALT (NMN vs placebo). Each row shows the pooled estimate after excluding the named study.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70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loo_forest_ALT_NMN_pairwi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S7b.</w:t>
      </w:r>
      <w:r>
        <w:rPr>
          <w:rFonts w:ascii="Times New Roman" w:hAnsi="Times New Roman"/>
          <w:sz w:val="20"/>
        </w:rPr>
        <w:t xml:space="preserve"> Leave-one-out sensitivity analysis forest plot for SBP (NMN vs placebo). Each row shows the pooled estimate after excluding the named study.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51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loo_forest_SBP_NMN_pairwis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2"/>
        </w:rPr>
        <w:t>Figure S7c.</w:t>
      </w:r>
      <w:r>
        <w:rPr>
          <w:rFonts w:ascii="Times New Roman" w:hAnsi="Times New Roman"/>
          <w:sz w:val="20"/>
        </w:rPr>
        <w:t xml:space="preserve"> Leave-one-out sensitivity analysis forest plot for fasting insulin (NMN vs placebo). Each row shows the pooled estimate after excluding the named study.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66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loo_forest_fasting_insulin_NMN_pairwi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6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