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a5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a5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a5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a5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a5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Фадин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>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a7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a7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a7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психоактивных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a7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a7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a7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a3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a3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4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a5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a5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a5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 мотивированность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Прокрастинация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6C27EE" w:rsidRPr="00AE06A7" w:rsidRDefault="006C27EE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6C27EE" w:rsidRPr="00AE06A7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6C27EE" w:rsidRPr="00AE06A7" w:rsidRDefault="006C27EE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 молодежи в использовании платформ</w:t>
                              </w:r>
                            </w:p>
                            <w:p w14:paraId="1C08754B" w14:textId="74535F38" w:rsidR="006C27EE" w:rsidRPr="00D81E17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6C27EE" w:rsidRPr="00230724" w:rsidRDefault="006C27EE" w:rsidP="00460DCA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6C27EE" w:rsidRPr="008906ED" w:rsidRDefault="006C27EE" w:rsidP="00460DCA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6C27EE" w:rsidRPr="00AE06A7" w:rsidRDefault="006C27EE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утствие 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6C27EE" w:rsidRPr="00460DCA" w:rsidRDefault="006C27EE" w:rsidP="00460DCA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6C27EE" w:rsidRPr="00AE06A7" w:rsidRDefault="006C27EE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6C27EE" w:rsidRPr="00D81E17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6C27EE" w:rsidRPr="00AE06A7" w:rsidRDefault="006C27EE" w:rsidP="00457E7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6C27EE" w:rsidRPr="00457E7C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6C27EE" w:rsidRPr="00457E7C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6C27EE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6C27EE" w:rsidRPr="00D22A8F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6C27EE" w:rsidRPr="00457E7C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6C27EE" w:rsidRPr="00D22A8F" w:rsidRDefault="006C27EE" w:rsidP="00460DC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6C27EE" w:rsidRPr="00AE06A7" w:rsidRDefault="006C27EE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6C27EE" w:rsidRPr="00AE06A7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6C27EE" w:rsidRPr="00AE06A7" w:rsidRDefault="006C27EE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 молодежи в использовании платформ</w:t>
                        </w:r>
                      </w:p>
                      <w:p w14:paraId="1C08754B" w14:textId="74535F38" w:rsidR="006C27EE" w:rsidRPr="00D81E17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6C27EE" w:rsidRPr="00230724" w:rsidRDefault="006C27EE" w:rsidP="00460DCA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6C27EE" w:rsidRPr="008906ED" w:rsidRDefault="006C27EE" w:rsidP="00460DCA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6C27EE" w:rsidRPr="00AE06A7" w:rsidRDefault="006C27EE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>утствие 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6C27EE" w:rsidRPr="00460DCA" w:rsidRDefault="006C27EE" w:rsidP="00460DCA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6C27EE" w:rsidRPr="00AE06A7" w:rsidRDefault="006C27EE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6C27EE" w:rsidRPr="00D81E17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6C27EE" w:rsidRPr="00AE06A7" w:rsidRDefault="006C27EE" w:rsidP="00457E7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6C27EE" w:rsidRPr="00457E7C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6C27EE" w:rsidRPr="00457E7C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6C27EE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6C27EE" w:rsidRPr="00D22A8F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6C27EE" w:rsidRPr="00457E7C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6C27EE" w:rsidRPr="00D22A8F" w:rsidRDefault="006C27EE" w:rsidP="00460DC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6C27EE" w:rsidRPr="00AE06A7" w:rsidRDefault="006C27E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6C27EE" w:rsidRPr="00AE06A7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6C27EE" w:rsidRPr="00AE06A7" w:rsidRDefault="006C27E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6C27EE" w:rsidRPr="00D81E17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6C27EE" w:rsidRPr="00230724" w:rsidRDefault="006C27EE" w:rsidP="00854CB8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6C27EE" w:rsidRPr="008906ED" w:rsidRDefault="006C27EE" w:rsidP="00854CB8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6C27EE" w:rsidRPr="00AE06A7" w:rsidRDefault="006C27E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6C27EE" w:rsidRPr="00460DCA" w:rsidRDefault="006C27EE" w:rsidP="00854CB8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6C27EE" w:rsidRPr="00AE06A7" w:rsidRDefault="006C27EE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6C27EE" w:rsidRPr="00D81E17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6C27EE" w:rsidRPr="00AE06A7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6C27EE" w:rsidRPr="00457E7C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6C27EE" w:rsidRPr="00457E7C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6C27EE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6C27EE" w:rsidRPr="00D22A8F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6C27EE" w:rsidRPr="00457E7C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6C27EE" w:rsidRPr="00D22A8F" w:rsidRDefault="006C27EE" w:rsidP="00854CB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6C27EE" w:rsidRPr="00AE06A7" w:rsidRDefault="006C27E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6C27EE" w:rsidRPr="00AE06A7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6C27EE" w:rsidRPr="00AE06A7" w:rsidRDefault="006C27E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6C27EE" w:rsidRPr="00D81E17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6C27EE" w:rsidRPr="00230724" w:rsidRDefault="006C27EE" w:rsidP="00854CB8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6C27EE" w:rsidRPr="008906ED" w:rsidRDefault="006C27EE" w:rsidP="00854CB8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6C27EE" w:rsidRPr="00AE06A7" w:rsidRDefault="006C27E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6C27EE" w:rsidRPr="00460DCA" w:rsidRDefault="006C27EE" w:rsidP="00854CB8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6C27EE" w:rsidRPr="00AE06A7" w:rsidRDefault="006C27EE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6C27EE" w:rsidRPr="00D81E17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6C27EE" w:rsidRPr="00AE06A7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6C27EE" w:rsidRPr="00457E7C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6C27EE" w:rsidRPr="00457E7C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6C27EE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6C27EE" w:rsidRPr="00D22A8F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6C27EE" w:rsidRPr="00457E7C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6C27EE" w:rsidRPr="00D22A8F" w:rsidRDefault="006C27EE" w:rsidP="00854CB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6C27EE" w:rsidRPr="00AE06A7" w:rsidRDefault="006C27EE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6C27EE" w:rsidRPr="00AE06A7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6C27EE" w:rsidRPr="00230724" w:rsidRDefault="006C27EE" w:rsidP="00921DFA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6C27EE" w:rsidRPr="008906ED" w:rsidRDefault="006C27EE" w:rsidP="00921DFA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6C27EE" w:rsidRPr="00AE06A7" w:rsidRDefault="006C27EE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6C27EE" w:rsidRPr="00460DCA" w:rsidRDefault="006C27EE" w:rsidP="00921DFA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6C27EE" w:rsidRPr="00AE06A7" w:rsidRDefault="006C27EE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6C27EE" w:rsidRPr="00D81E17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6C27EE" w:rsidRPr="00457E7C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6C27EE" w:rsidRPr="00457E7C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6C27EE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6C27EE" w:rsidRPr="00D22A8F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6C27EE" w:rsidRPr="00457E7C" w:rsidRDefault="006C27EE" w:rsidP="00921DFA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6C27EE" w:rsidRPr="00AE06A7" w:rsidRDefault="006C27EE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6C27EE" w:rsidRPr="00AE06A7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6C27EE" w:rsidRPr="00230724" w:rsidRDefault="006C27EE" w:rsidP="00921DFA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6C27EE" w:rsidRPr="008906ED" w:rsidRDefault="006C27EE" w:rsidP="00921DFA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6C27EE" w:rsidRPr="00AE06A7" w:rsidRDefault="006C27EE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6C27EE" w:rsidRPr="00460DCA" w:rsidRDefault="006C27EE" w:rsidP="00921DFA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6C27EE" w:rsidRPr="00AE06A7" w:rsidRDefault="006C27EE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6C27EE" w:rsidRPr="00D81E17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6C27EE" w:rsidRPr="00457E7C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6C27EE" w:rsidRPr="00457E7C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6C27EE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6C27EE" w:rsidRPr="00D22A8F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6C27EE" w:rsidRPr="00457E7C" w:rsidRDefault="006C27EE" w:rsidP="00921DFA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1"/>
      </w:pPr>
      <w:r>
        <w:t>Стратегии</w:t>
      </w:r>
    </w:p>
    <w:p w14:paraId="64971E0C" w14:textId="77777777" w:rsidR="00AE32CC" w:rsidRDefault="00AE32CC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a4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a5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a3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a4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a5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a4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a5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a5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4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a5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a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a3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6C27EE" w:rsidRPr="00AE06A7" w:rsidRDefault="006C27EE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6C27EE" w:rsidRPr="00AE06A7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6C27EE" w:rsidRPr="00230724" w:rsidRDefault="006C27EE" w:rsidP="00A6303C">
                              <w:pPr>
                                <w:pStyle w:val="a7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6C27EE" w:rsidRPr="008906ED" w:rsidRDefault="006C27EE" w:rsidP="00A6303C">
                              <w:pPr>
                                <w:pStyle w:val="a7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6C27EE" w:rsidRPr="00AE06A7" w:rsidRDefault="006C27EE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6C27EE" w:rsidRPr="00460DCA" w:rsidRDefault="006C27EE" w:rsidP="00A6303C">
                              <w:pPr>
                                <w:pStyle w:val="a3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6C27EE" w:rsidRPr="00AE06A7" w:rsidRDefault="006C27EE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6C27EE" w:rsidRPr="00D81E17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6C27EE" w:rsidRPr="00457E7C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6C27EE" w:rsidRPr="00457E7C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6C27EE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6C27EE" w:rsidRPr="00D22A8F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6C27EE" w:rsidRPr="00457E7C" w:rsidRDefault="006C27EE" w:rsidP="00A6303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6C27EE" w:rsidRPr="00AE06A7" w:rsidRDefault="006C27EE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6C27EE" w:rsidRPr="00AE06A7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6C27EE" w:rsidRPr="00230724" w:rsidRDefault="006C27EE" w:rsidP="00A6303C">
                        <w:pPr>
                          <w:pStyle w:val="a7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6C27EE" w:rsidRPr="008906ED" w:rsidRDefault="006C27EE" w:rsidP="00A6303C">
                        <w:pPr>
                          <w:pStyle w:val="a7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6C27EE" w:rsidRPr="00AE06A7" w:rsidRDefault="006C27EE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6C27EE" w:rsidRPr="00460DCA" w:rsidRDefault="006C27EE" w:rsidP="00A6303C">
                        <w:pPr>
                          <w:pStyle w:val="a3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6C27EE" w:rsidRPr="00AE06A7" w:rsidRDefault="006C27EE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6C27EE" w:rsidRPr="00D81E17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6C27EE" w:rsidRPr="00457E7C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6C27EE" w:rsidRPr="00457E7C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6C27EE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6C27EE" w:rsidRPr="00D22A8F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6C27EE" w:rsidRPr="00457E7C" w:rsidRDefault="006C27EE" w:rsidP="00A6303C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a4"/>
        <w:tblW w:w="15159" w:type="dxa"/>
        <w:tblLook w:val="04A0" w:firstRow="1" w:lastRow="0" w:firstColumn="1" w:lastColumn="0" w:noHBand="0" w:noVBand="1"/>
      </w:tblPr>
      <w:tblGrid>
        <w:gridCol w:w="2567"/>
        <w:gridCol w:w="3733"/>
        <w:gridCol w:w="2963"/>
        <w:gridCol w:w="2706"/>
        <w:gridCol w:w="3190"/>
      </w:tblGrid>
      <w:tr w:rsidR="00CA3DA7" w:rsidRPr="007575A0" w14:paraId="3DB1E842" w14:textId="77777777" w:rsidTr="00F87228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577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94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F87228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86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577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94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F87228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C0949D9" w:rsidR="00CA3DA7" w:rsidRPr="007575A0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577" w:type="dxa"/>
            <w:shd w:val="clear" w:color="auto" w:fill="FFFF00"/>
          </w:tcPr>
          <w:p w14:paraId="338A6F6D" w14:textId="646D96B5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94" w:type="dxa"/>
            <w:shd w:val="clear" w:color="auto" w:fill="FFFF00"/>
          </w:tcPr>
          <w:p w14:paraId="632DCA97" w14:textId="7B40F661" w:rsidR="00CA3DA7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22AB9653" w14:textId="178B05BE" w:rsidR="00F87228" w:rsidRDefault="003F23C6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  <w:p w14:paraId="6F346E0B" w14:textId="48009696" w:rsidR="00BC34E2" w:rsidRPr="00582FA1" w:rsidRDefault="00BC34E2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FE787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82F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Неправильно использование платформы </w:t>
            </w:r>
            <w:r w:rsidR="00FE787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может привести к разобщению общества</w:t>
            </w:r>
            <w:r w:rsidR="00B05BE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</w:tc>
      </w:tr>
      <w:tr w:rsidR="00CA3DA7" w:rsidRPr="007575A0" w14:paraId="524DD7AE" w14:textId="77777777" w:rsidTr="00F87228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52770974" w:rsidR="00E268C1" w:rsidRPr="00567640" w:rsidRDefault="001F3B92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268C1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>Партнеры Проекта определены и отношения с ними легализованы.</w:t>
            </w:r>
          </w:p>
          <w:p w14:paraId="07C0EB65" w14:textId="76727F67" w:rsidR="00E268C1" w:rsidRDefault="00E268C1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D0B49FB" w:rsidR="00CA3DA7" w:rsidRPr="00567640" w:rsidRDefault="00E268C1" w:rsidP="00DC6680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proofErr w:type="spellStart"/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>Design</w:t>
            </w:r>
            <w:proofErr w:type="spellEnd"/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 xml:space="preserve"> IT Платформы для достижения Целей и </w:t>
            </w:r>
            <w:proofErr w:type="spellStart"/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>Обьективов</w:t>
            </w:r>
            <w:proofErr w:type="spellEnd"/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proofErr w:type="gramStart"/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>Проекта  совместно</w:t>
            </w:r>
            <w:proofErr w:type="gramEnd"/>
            <w:r w:rsidR="006C27EE" w:rsidRPr="006C27EE">
              <w:rPr>
                <w:b/>
                <w:color w:val="000000" w:themeColor="text1"/>
                <w:kern w:val="24"/>
                <w:sz w:val="28"/>
              </w:rPr>
              <w:t xml:space="preserve"> с Партнерами создан</w:t>
            </w:r>
          </w:p>
        </w:tc>
        <w:tc>
          <w:tcPr>
            <w:tcW w:w="2986" w:type="dxa"/>
            <w:shd w:val="clear" w:color="auto" w:fill="FFFF00"/>
          </w:tcPr>
          <w:p w14:paraId="1FB2404A" w14:textId="504C6CB7" w:rsidR="00CA3DA7" w:rsidRDefault="00BB61C4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13.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461FCF45" w14:textId="15FBB535" w:rsidR="00032E67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r w:rsid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-Получения </w:t>
            </w:r>
            <w:r w:rsidR="00032E67"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6341870" w14:textId="7AF39684" w:rsidR="00032E67" w:rsidRDefault="00BB61C4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E36F76"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E36F76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36F76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DE239F1" w14:textId="1AD5B349" w:rsidR="00032E67" w:rsidRDefault="00032E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28147E9" w14:textId="5CA4130C" w:rsidR="00032E67" w:rsidRDefault="00032E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-Качественно организована структура сайта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;</w:t>
            </w:r>
          </w:p>
          <w:p w14:paraId="1D7B9448" w14:textId="28F452F1" w:rsidR="00032E67" w:rsidRDefault="00032E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01EB7A6" w14:textId="16BEDF6E" w:rsidR="00032E67" w:rsidRPr="00032E67" w:rsidRDefault="00032E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Достаточное количество разнообразных мест.</w:t>
            </w:r>
          </w:p>
          <w:p w14:paraId="35539AA3" w14:textId="4CC9F61D" w:rsidR="00E36F76" w:rsidRPr="00E36F76" w:rsidRDefault="00E36F76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577" w:type="dxa"/>
            <w:shd w:val="clear" w:color="auto" w:fill="FFFF00"/>
          </w:tcPr>
          <w:p w14:paraId="1B484373" w14:textId="3A992ABA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14.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4622BFED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032E67">
              <w:rPr>
                <w:b/>
                <w:color w:val="000000" w:themeColor="text1"/>
                <w:kern w:val="24"/>
                <w:sz w:val="28"/>
              </w:rPr>
              <w:t xml:space="preserve">Сравнения суммы </w:t>
            </w:r>
            <w:r w:rsidR="00032E67"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инвестирования</w:t>
            </w:r>
            <w:r w:rsid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средним показателем дохода, средним уровнем </w:t>
            </w:r>
            <w:r w:rsidR="00032E67" w:rsidRP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инвестирован</w:t>
            </w:r>
            <w:r w:rsidR="00032E6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 подобных проектов</w:t>
            </w:r>
          </w:p>
          <w:p w14:paraId="3E92725B" w14:textId="77777777" w:rsidR="0072387E" w:rsidRDefault="00BB61C4" w:rsidP="00412A5B">
            <w:pPr>
              <w:rPr>
                <w:b/>
                <w:color w:val="000000" w:themeColor="text1"/>
                <w:kern w:val="24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72387E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72387E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032E67">
              <w:rPr>
                <w:b/>
                <w:color w:val="FF0000"/>
                <w:kern w:val="24"/>
                <w:sz w:val="28"/>
              </w:rPr>
              <w:t>-</w:t>
            </w:r>
            <w:r w:rsidR="00032E67">
              <w:rPr>
                <w:b/>
                <w:color w:val="000000" w:themeColor="text1"/>
                <w:kern w:val="24"/>
                <w:sz w:val="28"/>
              </w:rPr>
              <w:t>Оценка партнеров</w:t>
            </w:r>
            <w:r w:rsidR="00032E67">
              <w:rPr>
                <w:b/>
                <w:color w:val="000000" w:themeColor="text1"/>
                <w:kern w:val="24"/>
                <w:sz w:val="28"/>
                <w:lang w:val="en-US"/>
              </w:rPr>
              <w:t>;</w:t>
            </w:r>
          </w:p>
          <w:p w14:paraId="2F1C9A13" w14:textId="77777777" w:rsidR="00032E67" w:rsidRDefault="00032E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63601E74" w14:textId="3EF5CAD8" w:rsidR="00032E67" w:rsidRPr="00032E67" w:rsidRDefault="00032E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Тестирование случайными людьми (15 человек)</w:t>
            </w:r>
          </w:p>
        </w:tc>
        <w:tc>
          <w:tcPr>
            <w:tcW w:w="3194" w:type="dxa"/>
            <w:shd w:val="clear" w:color="auto" w:fill="FFFF00"/>
          </w:tcPr>
          <w:p w14:paraId="3346F728" w14:textId="77777777" w:rsidR="00EC6C36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lastRenderedPageBreak/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C6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Завышенные требования от партнеров, тем самым не выгодные условия для нас.</w:t>
            </w:r>
            <w:r w:rsidR="00EC6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440E61A2" w14:textId="4E95B16E" w:rsidR="00CA3DA7" w:rsidRPr="003A10D2" w:rsidRDefault="00EC6C36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  - Конфликты во время разработки.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1AF41DCA" w:rsidR="00BF2544" w:rsidRPr="00C25BFE" w:rsidRDefault="00C25BFE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гиподезы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и 2 риска на 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</w:p>
          <w:p w14:paraId="02B57067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5541B44" w14:textId="5113D8EB" w:rsid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– </w:t>
            </w:r>
            <w:r w:rsidR="00EC6C3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Конфликты во время разработки.</w:t>
            </w:r>
          </w:p>
          <w:p w14:paraId="177C3301" w14:textId="77777777" w:rsidR="000C7922" w:rsidRDefault="000C7922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A33E11A" w14:textId="73E5FA0B" w:rsidR="000C7922" w:rsidRDefault="00EC6C36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C79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Некачественная работа дизайнеров или программистов.</w:t>
            </w:r>
          </w:p>
          <w:p w14:paraId="58B672E1" w14:textId="6A61F761" w:rsidR="00032E67" w:rsidRDefault="00032E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B5C35AE" w14:textId="52D551F9" w:rsidR="00032E67" w:rsidRPr="00032E67" w:rsidRDefault="00032E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-Утечка Кадров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;</w:t>
            </w:r>
          </w:p>
          <w:p w14:paraId="4B7F6CC5" w14:textId="77777777" w:rsidR="000C7922" w:rsidRDefault="000C7922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97D2DAA" w14:textId="734F7D1B" w:rsidR="00EC6C36" w:rsidRPr="00DE550D" w:rsidRDefault="000C7922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</w:tc>
      </w:tr>
      <w:tr w:rsidR="00CA3DA7" w:rsidRPr="007575A0" w14:paraId="1183A810" w14:textId="77777777" w:rsidTr="00F87228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5219E622" w:rsidR="00E268C1" w:rsidRPr="006C73C1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6C73C1">
              <w:rPr>
                <w:rFonts w:ascii="Times New Roman" w:hAnsi="Times New Roman" w:cs="Times New Roman"/>
                <w:b/>
                <w:sz w:val="28"/>
                <w:szCs w:val="28"/>
              </w:rPr>
              <w:t>Поиск партнеров</w:t>
            </w:r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08C36F4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7A4C5498" w14:textId="77777777" w:rsidR="00E15FA0" w:rsidRPr="001664C8" w:rsidRDefault="0072387E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1664C8"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 xml:space="preserve">- Проведение специальных уникальных акций </w:t>
            </w:r>
          </w:p>
          <w:p w14:paraId="4F176855" w14:textId="77777777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741E02E0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Команда 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</w:t>
            </w:r>
            <w:proofErr w:type="gramStart"/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специалистов</w:t>
            </w:r>
            <w:r w:rsidR="001664C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proofErr w:type="gramEnd"/>
            <w:r w:rsidR="001664C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3)</w:t>
            </w:r>
          </w:p>
          <w:p w14:paraId="09516D9E" w14:textId="77777777" w:rsid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4E41B32E" w:rsidR="00BF2544" w:rsidRPr="001664C8" w:rsidRDefault="00BF2544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  <w:r w:rsidRPr="001664C8"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  <w:t>-Сбор статистики отдыхающих.</w:t>
            </w:r>
          </w:p>
        </w:tc>
        <w:tc>
          <w:tcPr>
            <w:tcW w:w="2577" w:type="dxa"/>
            <w:shd w:val="clear" w:color="auto" w:fill="FFFF00"/>
          </w:tcPr>
          <w:p w14:paraId="1A5050CC" w14:textId="14CB5282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94" w:type="dxa"/>
            <w:shd w:val="clear" w:color="auto" w:fill="FFFF00"/>
          </w:tcPr>
          <w:p w14:paraId="1F3D8AC3" w14:textId="61204685" w:rsidR="00CA3DA7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2E3E4AC4" w14:textId="3E0E4BE2" w:rsidR="006C73C1" w:rsidRPr="006C73C1" w:rsidRDefault="006C73C1" w:rsidP="00412A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6C73C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A1</w:t>
            </w:r>
          </w:p>
          <w:p w14:paraId="3EF51A20" w14:textId="3B3F4EA9" w:rsidR="00412A5B" w:rsidRPr="006C73C1" w:rsidRDefault="006C73C1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Незаинтересованность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большого количество компаний к нашу проекту</w:t>
            </w: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;</w:t>
            </w:r>
          </w:p>
          <w:p w14:paraId="190C0DF2" w14:textId="7E7FB6C1" w:rsidR="006C73C1" w:rsidRDefault="006C73C1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bookmarkStart w:id="3" w:name="_GoBack"/>
            <w:bookmarkEnd w:id="3"/>
          </w:p>
          <w:p w14:paraId="04931303" w14:textId="03409EFF" w:rsidR="006C73C1" w:rsidRPr="006C73C1" w:rsidRDefault="006C73C1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Слишком долгое время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на  рассмотрение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проекта</w:t>
            </w:r>
            <w:r w:rsidRPr="006C73C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145438D6" w14:textId="20FD093F" w:rsidR="006C73C1" w:rsidRPr="006C73C1" w:rsidRDefault="006C73C1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-------------------------------</w:t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Международного и 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F87228">
        <w:trPr>
          <w:trHeight w:val="2194"/>
        </w:trPr>
        <w:tc>
          <w:tcPr>
            <w:tcW w:w="11965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94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329959FC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7777777" w:rsidR="00C25BFE" w:rsidRDefault="00C25BFE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VALUEBLE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LEGAL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FRAMEWORK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благоприятная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юридическая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среда</w:t>
            </w:r>
            <w:r w:rsidRP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правовое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поле) </w:t>
            </w:r>
          </w:p>
          <w:p w14:paraId="244E65B7" w14:textId="3A2BD3ED" w:rsidR="00A73122" w:rsidRPr="00BB61C4" w:rsidRDefault="00C25BFE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Подтверждение необходимости реализации проекта, посредством опроса на 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a4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4040"/>
        <w:gridCol w:w="5145"/>
        <w:gridCol w:w="2520"/>
      </w:tblGrid>
      <w:tr w:rsidR="005276DF" w:rsidRPr="006B3CB7" w14:paraId="7BF08304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a5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a5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157B32" w:rsidRPr="006B3CB7" w14:paraId="6598A3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157B32" w:rsidRPr="00157B32" w:rsidRDefault="00157B32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4340" w14:textId="2FC15424" w:rsidR="00157B32" w:rsidRPr="00567640" w:rsidRDefault="00157B32" w:rsidP="00157B32">
            <w:pPr>
              <w:pStyle w:val="a7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2F102C18" w14:textId="77777777" w:rsidR="00157B32" w:rsidRDefault="00157B32" w:rsidP="00AC6E01">
            <w:pPr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157B32" w:rsidRPr="00157B32" w:rsidRDefault="00157B32" w:rsidP="00AC6E01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C5A9" w14:textId="77777777" w:rsidR="00157B32" w:rsidRPr="00AC6E01" w:rsidRDefault="00157B32" w:rsidP="00877BA4">
            <w:pPr>
              <w:pStyle w:val="a5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</w:p>
        </w:tc>
      </w:tr>
      <w:tr w:rsidR="005276DF" w:rsidRPr="006B3CB7" w14:paraId="35077BE6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226B" w14:textId="4905C2AF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75A" w14:textId="379A2C17" w:rsidR="005276DF" w:rsidRPr="00AC6E01" w:rsidRDefault="00AC6E01" w:rsidP="005276DF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С</w:t>
            </w:r>
            <w:r w:rsidR="005276DF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бор информации обо всех городских мероприятиях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развлекательных предприятиях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F8D" w14:textId="4447B042" w:rsidR="005276DF" w:rsidRPr="00AC6E01" w:rsidRDefault="00F75A65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Для реализации проекта необходима полная информация об имеющихся предприятиях и проводимых мероприятиях.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19B6" w14:textId="77777777" w:rsidR="00877BA4" w:rsidRPr="00563ED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51B55840" w14:textId="5DD634DE" w:rsidR="005276DF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5900</w:t>
            </w:r>
          </w:p>
        </w:tc>
      </w:tr>
      <w:tr w:rsidR="005276DF" w:rsidRPr="006B3CB7" w14:paraId="44146A83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5276DF" w:rsidRPr="007571C3" w:rsidRDefault="00AC6E01" w:rsidP="005276DF">
            <w:pPr>
              <w:pStyle w:val="a5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5276DF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5276DF" w:rsidRPr="00AC6E01" w:rsidRDefault="00F75A65" w:rsidP="00F75A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коллаборации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E4682D2" w:rsidR="005276DF" w:rsidRPr="00AC6E01" w:rsidRDefault="00AC6E01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5276DF" w:rsidRPr="006B3CB7" w14:paraId="7B2C865B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5276DF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5276DF" w:rsidRPr="00AC6E01" w:rsidRDefault="00AC6E01" w:rsidP="00AC6E01">
            <w:pPr>
              <w:pStyle w:val="a5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5276DF" w:rsidRPr="00AC6E01" w:rsidRDefault="00F2257B" w:rsidP="00B5707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58E5434D" w:rsidR="005276DF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0</w:t>
            </w:r>
          </w:p>
        </w:tc>
      </w:tr>
      <w:tr w:rsidR="00F75A65" w:rsidRPr="006B3CB7" w14:paraId="4E8FE8B5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F75A65" w:rsidRPr="006B3CB7" w:rsidRDefault="00157B32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F75A65" w:rsidRPr="007571C3" w:rsidRDefault="00F75A65" w:rsidP="007571C3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заведений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F75A65" w:rsidRDefault="00F2257B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CA3B98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877BA4" w:rsidRDefault="00877BA4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6C06873" w:rsidR="00F75A65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157B32" w:rsidRPr="006B3CB7" w14:paraId="717B317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157B32" w:rsidRDefault="00157B32" w:rsidP="005276D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0B4A" w14:textId="6F9DEDFE" w:rsidR="00157B32" w:rsidRPr="00157B32" w:rsidRDefault="00157B32" w:rsidP="007571C3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157B32" w:rsidRPr="00AC6E01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77777777" w:rsidR="00157B32" w:rsidRPr="00157B32" w:rsidRDefault="00157B32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</w:tr>
      <w:tr w:rsidR="00F75A65" w:rsidRPr="006B3CB7" w14:paraId="0A685AC7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58E6" w14:textId="57D77A98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 w:rsidR="00A42DB1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DAB" w14:textId="605F5807" w:rsidR="00F75A65" w:rsidRPr="00AC6E01" w:rsidRDefault="00F75A65" w:rsidP="00AC6E01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DFDFC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Разработка собственной платформы.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BA8" w14:textId="77777777" w:rsidR="00F2257B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Функциональная часть работы над проектом.</w:t>
            </w:r>
          </w:p>
          <w:p w14:paraId="5B7A087D" w14:textId="226C8C0E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Является главной составляющей реализации и требует квалифицированных специалистов.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583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24353E1B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  <w:p w14:paraId="73A48AA9" w14:textId="3A8BE74D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F75A65" w:rsidRPr="006B3CB7" w14:paraId="55F5CCEC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F75A65" w:rsidRPr="007571C3" w:rsidRDefault="00F75A65" w:rsidP="00F75A65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A450C4D" w14:textId="299C501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00A32C9A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F75A65" w:rsidRPr="007571C3" w:rsidRDefault="00A42DB1" w:rsidP="00D05AE4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D05A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рабочего помещения и оборудования для комфортной работы над проектом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4A7B07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F75A65" w:rsidRPr="006B3CB7" w14:paraId="1B1B174E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F75A65" w:rsidRPr="006B3CB7" w:rsidRDefault="00157B32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A42DB1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F75A65" w:rsidRPr="007571C3" w:rsidRDefault="00F75A65" w:rsidP="00F2257B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F2257B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F75A65" w:rsidRPr="00AC6E01" w:rsidRDefault="00D05AE4" w:rsidP="00D05AE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7F9396B2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F75A65" w:rsidRPr="006B3CB7" w14:paraId="59D18FF8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2A5E79DA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050B91A3" w:rsidR="00F75A65" w:rsidRPr="00AC6E01" w:rsidRDefault="00AC6E01" w:rsidP="006C06F2">
            <w:pPr>
              <w:pStyle w:val="a5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оиск средств для реализации проекта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2F3AA76F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Ничто из вышеперечисленного не сможет быть выполнено без соответствующих</w:t>
            </w:r>
            <w:r w:rsidR="00AC6E01"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материальных</w:t>
            </w: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средств. Поэтому необходимо найти варианты их получения.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906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43BB32AB" w14:textId="77777777" w:rsidR="00877BA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1582E681" w14:textId="68BA0769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4AB7F4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2BF0BA4F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3.1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18EFE373" w:rsidR="00F75A65" w:rsidRPr="007571C3" w:rsidRDefault="00AC6E01" w:rsidP="006C06F2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, с которыми мы могли бы наладить коллаборацию.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F75A65" w:rsidRPr="006B3CB7" w14:paraId="630CF86F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0FAABEF7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3.2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7E552CE0" w:rsidR="00F75A65" w:rsidRPr="007571C3" w:rsidRDefault="00AC6E01" w:rsidP="006C06F2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оиск частных лиц или предприятий, заинтересованных в 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lastRenderedPageBreak/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F8C" w14:textId="77777777" w:rsidR="00877BA4" w:rsidRPr="00563ED4" w:rsidRDefault="00877BA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2A22FB5" w14:textId="69C73D16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5ECE1E9" w14:textId="77777777" w:rsidTr="00A42DB1">
        <w:trPr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3C005F60" w:rsidR="00F75A65" w:rsidRPr="006B3CB7" w:rsidRDefault="00A42DB1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3.3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4425ECD9" w:rsidR="00F75A65" w:rsidRPr="00F75A65" w:rsidRDefault="00F75A65" w:rsidP="006C06F2">
            <w:pPr>
              <w:pStyle w:val="a5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F75A65" w:rsidRPr="00AC6E01" w:rsidRDefault="00CA3B98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877BA4" w:rsidRPr="006B3CB7" w14:paraId="640EFCEC" w14:textId="77777777" w:rsidTr="001664C8">
        <w:trPr>
          <w:jc w:val="center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877BA4" w:rsidRPr="00877BA4" w:rsidRDefault="00877BA4" w:rsidP="00A42DB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7F44C6E9" w:rsidR="00877BA4" w:rsidRPr="00877BA4" w:rsidRDefault="00877BA4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</w:rPr>
              <w:t>13150</w:t>
            </w:r>
          </w:p>
        </w:tc>
      </w:tr>
    </w:tbl>
    <w:p w14:paraId="37FDC230" w14:textId="643AB197" w:rsidR="00CA3DA7" w:rsidRDefault="00CA3DA7" w:rsidP="00460DCA">
      <w:pPr>
        <w:tabs>
          <w:tab w:val="left" w:pos="1260"/>
        </w:tabs>
      </w:pPr>
    </w:p>
    <w:p w14:paraId="743CEBB5" w14:textId="7D6ED6E1" w:rsidR="00CA3DA7" w:rsidRDefault="006C27EE" w:rsidP="00460DCA">
      <w:pPr>
        <w:tabs>
          <w:tab w:val="left" w:pos="1260"/>
        </w:tabs>
      </w:pPr>
      <w:r>
        <w:lastRenderedPageBreak/>
        <w:pict w14:anchorId="2036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492pt">
            <v:imagedata r:id="rId9" o:title="photo_2021-10-26_14-25-05"/>
          </v:shape>
        </w:pict>
      </w: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BC34E2" w:rsidRDefault="00CA3DA7" w:rsidP="00460DCA">
      <w:pPr>
        <w:tabs>
          <w:tab w:val="left" w:pos="1260"/>
        </w:tabs>
        <w:rPr>
          <w:lang w:val="en-US"/>
        </w:rPr>
      </w:pPr>
    </w:p>
    <w:sectPr w:rsidR="00CA3DA7" w:rsidRPr="00BC34E2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522"/>
    <w:rsid w:val="00032E67"/>
    <w:rsid w:val="00042522"/>
    <w:rsid w:val="0006514F"/>
    <w:rsid w:val="00076FE9"/>
    <w:rsid w:val="000C7922"/>
    <w:rsid w:val="000F0475"/>
    <w:rsid w:val="000F736A"/>
    <w:rsid w:val="00100D2B"/>
    <w:rsid w:val="00105AE6"/>
    <w:rsid w:val="00157B32"/>
    <w:rsid w:val="00166337"/>
    <w:rsid w:val="001664C8"/>
    <w:rsid w:val="001B0FD3"/>
    <w:rsid w:val="001F3B92"/>
    <w:rsid w:val="00206BA1"/>
    <w:rsid w:val="00230724"/>
    <w:rsid w:val="002563FD"/>
    <w:rsid w:val="002A3A70"/>
    <w:rsid w:val="003324DC"/>
    <w:rsid w:val="0037306E"/>
    <w:rsid w:val="003A10D2"/>
    <w:rsid w:val="003A11C3"/>
    <w:rsid w:val="003D7322"/>
    <w:rsid w:val="003F23C6"/>
    <w:rsid w:val="00403006"/>
    <w:rsid w:val="00405A2D"/>
    <w:rsid w:val="00412A5B"/>
    <w:rsid w:val="00457E7C"/>
    <w:rsid w:val="00460DCA"/>
    <w:rsid w:val="005276DF"/>
    <w:rsid w:val="005362D4"/>
    <w:rsid w:val="00563ED4"/>
    <w:rsid w:val="005673C2"/>
    <w:rsid w:val="00567640"/>
    <w:rsid w:val="00575630"/>
    <w:rsid w:val="00582FA1"/>
    <w:rsid w:val="005941AB"/>
    <w:rsid w:val="005D52B7"/>
    <w:rsid w:val="005F7BB4"/>
    <w:rsid w:val="0060174E"/>
    <w:rsid w:val="00645F3F"/>
    <w:rsid w:val="00671662"/>
    <w:rsid w:val="00693B66"/>
    <w:rsid w:val="006C06F2"/>
    <w:rsid w:val="006C27EE"/>
    <w:rsid w:val="006C73C1"/>
    <w:rsid w:val="006D1E8F"/>
    <w:rsid w:val="006E2056"/>
    <w:rsid w:val="00702C45"/>
    <w:rsid w:val="0072387E"/>
    <w:rsid w:val="00725362"/>
    <w:rsid w:val="007571C3"/>
    <w:rsid w:val="00790B69"/>
    <w:rsid w:val="007D041C"/>
    <w:rsid w:val="007E1D4B"/>
    <w:rsid w:val="0081167F"/>
    <w:rsid w:val="00815ADE"/>
    <w:rsid w:val="00854CB8"/>
    <w:rsid w:val="00877BA4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6A7"/>
    <w:rsid w:val="00AE32CC"/>
    <w:rsid w:val="00AF7508"/>
    <w:rsid w:val="00B05BE9"/>
    <w:rsid w:val="00B57072"/>
    <w:rsid w:val="00B615CA"/>
    <w:rsid w:val="00B67069"/>
    <w:rsid w:val="00B844E2"/>
    <w:rsid w:val="00BA7A29"/>
    <w:rsid w:val="00BB61C4"/>
    <w:rsid w:val="00BC34E2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C6680"/>
    <w:rsid w:val="00DE550D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B3290"/>
    <w:rsid w:val="00EC6C36"/>
    <w:rsid w:val="00ED4CE2"/>
    <w:rsid w:val="00F14CA6"/>
    <w:rsid w:val="00F2257B"/>
    <w:rsid w:val="00F25BAC"/>
    <w:rsid w:val="00F75A65"/>
    <w:rsid w:val="00F87228"/>
    <w:rsid w:val="00FC55B0"/>
    <w:rsid w:val="00FC6751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3FD"/>
    <w:pPr>
      <w:ind w:left="720"/>
      <w:contextualSpacing/>
    </w:pPr>
  </w:style>
  <w:style w:type="table" w:styleId="a4">
    <w:name w:val="Table Grid"/>
    <w:basedOn w:val="a1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BF3A0F"/>
    <w:rPr>
      <w:lang w:val="en-US"/>
    </w:rPr>
  </w:style>
  <w:style w:type="paragraph" w:styleId="a7">
    <w:name w:val="Normal (Web)"/>
    <w:basedOn w:val="a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586AC-7BA0-42E1-90EB-8D9586C4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32</Pages>
  <Words>4437</Words>
  <Characters>25297</Characters>
  <Application>Microsoft Office Word</Application>
  <DocSecurity>0</DocSecurity>
  <Lines>210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44</cp:revision>
  <dcterms:created xsi:type="dcterms:W3CDTF">2021-09-21T07:09:00Z</dcterms:created>
  <dcterms:modified xsi:type="dcterms:W3CDTF">2021-11-13T23:58:00Z</dcterms:modified>
</cp:coreProperties>
</file>