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2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cs="CMBX12"/>
          <w:b/>
          <w:sz w:val="29"/>
          <w:szCs w:val="29"/>
        </w:rPr>
        <w:t xml:space="preserve">1. </w:t>
        <w:tab/>
        <w:t>Übung zur Vorlesung Grundlagen der Chemieinformatik</w:t>
      </w:r>
    </w:p>
    <w:p>
      <w:pPr>
        <w:pStyle w:val="style0"/>
      </w:pPr>
      <w:r>
        <w:rPr/>
      </w:r>
    </w:p>
    <w:p>
      <w:pPr>
        <w:pStyle w:val="style0"/>
        <w:ind w:hanging="1416" w:left="1416" w:right="0"/>
      </w:pPr>
      <w:r>
        <w:rPr>
          <w:b/>
        </w:rPr>
        <w:t>Afg. 1.:</w:t>
      </w:r>
      <w:r>
        <w:rPr/>
        <w:tab/>
        <w:t>Mit der Struktursuche auf Drugbank.ca nicht auffindbar. Unabhängig davon ob Tanimoto, substructure oder exact search gewählt wurde (Abb. 1.1).</w:t>
      </w:r>
    </w:p>
    <w:p>
      <w:pPr>
        <w:pStyle w:val="style0"/>
        <w:jc w:val="center"/>
      </w:pPr>
      <w:r>
        <w:rPr>
          <w:lang w:eastAsia="de-DE"/>
        </w:rPr>
        <w:t xml:space="preserve"> </w:t>
      </w:r>
      <w:r>
        <w:rPr/>
        <w:drawing>
          <wp:inline distB="0" distL="0" distR="0" distT="0">
            <wp:extent cx="5312410" cy="2847975"/>
            <wp:effectExtent b="0" l="0" r="0" t="0"/>
            <wp:docPr descr="C:\Users\Felix\Uni\Bioninf\ECI\Noresults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Felix\Uni\Bioninf\ECI\No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sz w:val="18"/>
          <w:szCs w:val="18"/>
        </w:rPr>
        <w:t>Abb. 1.1: Ergebnisse zur Struktursuche des beschriebenen Moleküls auf www.Drugbank.ca. Hervorgehoben durch ein rotes Rechteck: „No Results“ Ausgabe.</w:t>
      </w:r>
    </w:p>
    <w:p>
      <w:pPr>
        <w:pStyle w:val="style0"/>
        <w:ind w:hanging="0" w:left="1416" w:right="0"/>
      </w:pPr>
      <w:r>
        <w:rPr/>
        <w:t xml:space="preserve"> </w:t>
      </w:r>
      <w:r>
        <w:rPr/>
        <w:t xml:space="preserve">Durch Google search: </w:t>
      </w:r>
      <w:r>
        <w:rPr>
          <w:bCs/>
        </w:rPr>
        <w:t>Omeprazole</w:t>
      </w:r>
    </w:p>
    <w:p>
      <w:pPr>
        <w:pStyle w:val="style0"/>
        <w:ind w:hanging="0" w:left="1416" w:right="0"/>
      </w:pPr>
      <w:r>
        <w:rPr>
          <w:bCs/>
        </w:rPr>
        <w:t xml:space="preserve"> </w:t>
      </w:r>
      <w:r>
        <w:rPr>
          <w:bCs/>
        </w:rPr>
        <w:t xml:space="preserve">Omeprazol ist ein Inhibitor der gastrischen Säure Sekretion. Das erste Patent wurde am 24.11.1994 in den USA angemeldet. Es wird „zur Behandlung von Magen- und Zwölffingerdarmgeschwüren sowie bei </w:t>
      </w:r>
      <w:hyperlink r:id="rId3">
        <w:r>
          <w:rPr>
            <w:rStyle w:val="style19"/>
            <w:rStyle w:val="style19"/>
            <w:bCs/>
            <w:color w:val="00000A"/>
            <w:u w:val="none"/>
          </w:rPr>
          <w:t>Refluxösophagitis</w:t>
        </w:r>
      </w:hyperlink>
      <w:r>
        <w:rPr>
          <w:bCs/>
        </w:rPr>
        <w:t xml:space="preserve"> eingesetzt“</w:t>
      </w:r>
      <w:r>
        <w:rPr>
          <w:bCs/>
          <w:vertAlign w:val="superscript"/>
        </w:rPr>
        <w:t>1</w:t>
      </w:r>
      <w:r>
        <w:rPr>
          <w:bCs/>
        </w:rPr>
        <w:t xml:space="preserve"> und interagiert mit der H</w:t>
      </w:r>
      <w:r>
        <w:rPr>
          <w:bCs/>
          <w:vertAlign w:val="superscript"/>
        </w:rPr>
        <w:t>+</w:t>
      </w:r>
      <w:r>
        <w:rPr>
          <w:bCs/>
        </w:rPr>
        <w:t>/K</w:t>
      </w:r>
      <w:r>
        <w:rPr>
          <w:bCs/>
          <w:vertAlign w:val="superscript"/>
        </w:rPr>
        <w:t>+</w:t>
      </w:r>
      <w:r>
        <w:rPr>
          <w:bCs/>
        </w:rPr>
        <w:t>-ATPase um diese zu inhibieren. Weitere Inhibitoren der ATPase sind Stoffe wie</w:t>
      </w:r>
      <w:r>
        <w:rPr>
          <w:b/>
          <w:bCs/>
        </w:rPr>
        <w:t xml:space="preserve"> </w:t>
      </w:r>
      <w:r>
        <w:rPr>
          <w:b w:val="false"/>
        </w:rPr>
        <w:t xml:space="preserve">Esomeprazole, </w:t>
      </w:r>
      <w:r>
        <w:rPr>
          <w:rFonts w:cs="Times New Roman" w:eastAsia="Times New Roman"/>
          <w:bCs/>
          <w:lang w:eastAsia="de-DE"/>
        </w:rPr>
        <w:t>Rabeprazole, Lansoprazole und Pantoprazole.</w:t>
      </w:r>
      <w:r>
        <w:rPr>
          <w:bCs/>
        </w:rPr>
        <w:t xml:space="preserve"> Das Medi-kament wird von verschiedenen Species des Cytochrom P450 in der Leber zu 3-Hydroxyomeprazole metabolisiert (Abb. 1.2). </w:t>
      </w:r>
    </w:p>
    <w:p>
      <w:pPr>
        <w:pStyle w:val="style0"/>
        <w:jc w:val="center"/>
      </w:pPr>
      <w:r>
        <w:rPr/>
        <w:drawing>
          <wp:inline distB="0" distL="0" distR="0" distT="0">
            <wp:extent cx="4070985" cy="3914775"/>
            <wp:effectExtent b="0" l="0" r="0" t="0"/>
            <wp:docPr descr="http://structures.wishartlab.com/molecules/DBMET00188/image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structures.wishartlab.com/molecules/DBMET00188/image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Cs/>
          <w:sz w:val="18"/>
          <w:szCs w:val="18"/>
        </w:rPr>
        <w:t xml:space="preserve">Abb 1.2: Struktur </w:t>
      </w:r>
      <w:r>
        <w:rPr>
          <w:bCs/>
          <w:sz w:val="16"/>
          <w:szCs w:val="16"/>
        </w:rPr>
        <w:t xml:space="preserve">von 3-Hydroxyomeprazole, gezeichnet auf </w:t>
      </w:r>
      <w:r>
        <w:rPr>
          <w:sz w:val="18"/>
          <w:szCs w:val="18"/>
        </w:rPr>
        <w:t>www.Drugbank.ca.</w:t>
      </w:r>
    </w:p>
    <w:p>
      <w:pPr>
        <w:pStyle w:val="style0"/>
      </w:pPr>
      <w:r>
        <w:rPr/>
      </w:r>
    </w:p>
    <w:p>
      <w:pPr>
        <w:pStyle w:val="style0"/>
        <w:pageBreakBefore/>
        <w:ind w:hanging="0" w:left="1416" w:right="0"/>
      </w:pPr>
      <w:r>
        <w:rPr/>
      </w:r>
    </w:p>
    <w:p>
      <w:pPr>
        <w:pStyle w:val="style0"/>
        <w:ind w:hanging="1416" w:left="1416" w:right="0"/>
      </w:pPr>
      <w:r>
        <w:rPr/>
      </w:r>
    </w:p>
    <w:p>
      <w:pPr>
        <w:pStyle w:val="style0"/>
        <w:ind w:hanging="1416" w:left="1416" w:right="0"/>
      </w:pPr>
      <w:r>
        <w:rPr>
          <w:b/>
        </w:rPr>
        <w:t>Afg. 2.:</w:t>
      </w:r>
      <w:r>
        <w:rPr/>
        <w:tab/>
        <w:t>Bei Tamiflu handelt es sich um einen Produktnamen der Firma Roche. Dahinter verbirgt sich der Stoff Oseltamivir oder auch (3R,4R,5S)-4-Acetylamino-5-amino-3-</w:t>
        <w:br/>
        <w:t>(1-ethyl-propoxy)-cyclohex-1-encarboxylsäureethylester Phosphorsäuresalz.</w:t>
      </w:r>
      <w:r>
        <w:rPr>
          <w:vertAlign w:val="superscript"/>
        </w:rPr>
        <w:t>2</w:t>
      </w:r>
      <w:r>
        <w:rPr/>
        <w:t xml:space="preserve"> Es inhibiert die Neuroamidase auf der Oberfläche des Influenza Virions. </w:t>
      </w:r>
      <w:r>
        <w:rPr>
          <w:vertAlign w:val="superscript"/>
        </w:rPr>
        <w:t>3</w:t>
      </w:r>
      <w:r>
        <w:rPr/>
        <w:t xml:space="preserve"> Häufige Nebenwirkungen sind Übelkeit und erbrechen.</w:t>
      </w:r>
      <w:r>
        <w:rPr>
          <w:vertAlign w:val="superscript"/>
        </w:rPr>
        <w:t>4</w:t>
      </w:r>
      <w:r>
        <w:rPr/>
        <w:t xml:space="preserve"> Ferner wurden Zusammenhänge mit Sinnesstörungen und Halluzinationen bei jugendlichen Patienten diskutiert aber nicht bestätigt.</w:t>
      </w:r>
      <w:r>
        <w:rPr>
          <w:vertAlign w:val="superscript"/>
        </w:rPr>
        <w:t>5</w:t>
      </w:r>
      <w:r>
        <w:rPr/>
        <w:t xml:space="preserve"> Aus der Struktur sind zwei Wasserstofbrückendonoren (Stickstoffatome der Amid- bzw. Amingruppe) und zwei Wasserstofbrückenakzeptoren (Sauerstoff-atome der Amid- bzw. Aldehydgruppe) zu erkennen.</w:t>
      </w:r>
    </w:p>
    <w:p>
      <w:pPr>
        <w:pStyle w:val="style0"/>
        <w:ind w:hanging="0" w:left="1416" w:right="0"/>
      </w:pPr>
      <w:r>
        <w:rPr/>
        <w:t xml:space="preserve">Weitere Inhibitoren der Neuroamidase in Influenza sind Zanamivir, Peramivir und </w:t>
        <w:br/>
        <w:t>p-tolyl-Neu5Ac2en.</w:t>
      </w:r>
      <w:r>
        <w:rPr>
          <w:vertAlign w:val="superscript"/>
        </w:rPr>
        <w:t>6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Afg. 3.:</w:t>
      </w:r>
    </w:p>
    <w:p>
      <w:pPr>
        <w:pStyle w:val="style0"/>
        <w:tabs/>
        <w:ind w:hanging="1416" w:left="1416" w:right="0"/>
      </w:pPr>
      <w:r>
        <w:rPr/>
        <w:tab/>
        <w:t xml:space="preserve">In der Protein Data Bank </w:t>
      </w:r>
      <w:hyperlink r:id="rId5">
        <w:r>
          <w:rPr>
            <w:rStyle w:val="style19"/>
          </w:rPr>
          <w:t>www.pdb.org</w:t>
        </w:r>
      </w:hyperlink>
      <w:r>
        <w:rPr/>
        <w:t xml:space="preserve">  wurde </w:t>
      </w:r>
      <w:r>
        <w:rPr/>
        <w:t xml:space="preserve">87 </w:t>
      </w:r>
      <w:r>
        <w:rPr/>
        <w:t xml:space="preserve">Strukturen der Neuroaminidase aus dem Influenza A Virus gefunden. </w:t>
      </w:r>
      <w:r>
        <w:rPr>
          <w:bCs/>
        </w:rPr>
        <w:t>(Abb. 1.3).</w:t>
      </w:r>
    </w:p>
    <w:p>
      <w:pPr>
        <w:pStyle w:val="style0"/>
        <w:tabs/>
        <w:ind w:hanging="1416" w:left="1416" w:right="0"/>
      </w:pPr>
      <w:r>
        <w:rPr/>
        <w:tab/>
        <w:t xml:space="preserve">Auswahlkriterien: </w:t>
      </w:r>
    </w:p>
    <w:p>
      <w:pPr>
        <w:pStyle w:val="style0"/>
        <w:tabs/>
        <w:ind w:hanging="1416" w:left="1416" w:right="0"/>
      </w:pPr>
      <w:r>
        <w:rPr/>
        <w:tab/>
        <w:t>Die Struktur von  2HT8 wurde im Journal „</w:t>
      </w:r>
      <w:r>
        <w:rPr/>
        <w:t xml:space="preserve">Nature“ </w:t>
      </w:r>
      <w:r>
        <w:rPr/>
        <w:t xml:space="preserve">im Jahr </w:t>
      </w:r>
      <w:r>
        <w:rPr/>
        <w:t xml:space="preserve">2006 </w:t>
      </w:r>
      <w:r>
        <w:rPr/>
        <w:t xml:space="preserve">veröfentlicht </w:t>
      </w:r>
      <w:r>
        <w:rPr>
          <w:bCs/>
        </w:rPr>
        <w:t>(Abb. 1.4)</w:t>
      </w:r>
      <w:r>
        <w:rPr/>
        <w:t xml:space="preserve"> und hat Auflösung </w:t>
      </w:r>
      <w:r>
        <w:rPr>
          <w:b w:val="false"/>
          <w:bCs w:val="false"/>
        </w:rPr>
        <w:t xml:space="preserve">2.40 </w:t>
      </w:r>
      <w:r>
        <w:rPr>
          <w:b w:val="false"/>
          <w:bCs/>
        </w:rPr>
        <w:t>(Abb. 1.5)</w:t>
      </w:r>
    </w:p>
    <w:p>
      <w:pPr>
        <w:pStyle w:val="style0"/>
        <w:tabs/>
        <w:ind w:hanging="1416" w:left="1416" w:right="0"/>
      </w:pPr>
      <w:r>
        <w:rPr>
          <w:b w:val="false"/>
          <w:bCs w:val="false"/>
        </w:rPr>
        <w:tab/>
        <w:t xml:space="preserve">Liganden: </w:t>
        <w:tab/>
      </w:r>
    </w:p>
    <w:p>
      <w:pPr>
        <w:pStyle w:val="style0"/>
        <w:tabs/>
        <w:ind w:hanging="1416" w:left="1416" w:right="0"/>
      </w:pPr>
      <w:r>
        <w:rPr>
          <w:b w:val="false"/>
          <w:bCs w:val="false"/>
        </w:rPr>
        <w:tab/>
        <w:t xml:space="preserve">Der empfohlene Name für die Neuraminidase bei BRENDA lautet </w:t>
      </w:r>
      <w:r>
        <w:rPr>
          <w:b w:val="false"/>
          <w:bCs w:val="false"/>
        </w:rPr>
        <w:t xml:space="preserve">exo-alpha-sialidase, </w:t>
      </w:r>
      <w:r>
        <w:rPr>
          <w:b w:val="false"/>
          <w:bCs w:val="false"/>
        </w:rPr>
        <w:t xml:space="preserve">EC: </w:t>
      </w:r>
      <w:r>
        <w:rPr>
          <w:b w:val="false"/>
          <w:bCs w:val="false"/>
        </w:rPr>
        <w:t xml:space="preserve">3.2.1.18.  </w:t>
      </w:r>
      <w:r>
        <w:rPr>
          <w:b w:val="false"/>
          <w:bCs w:val="false"/>
        </w:rPr>
        <w:t xml:space="preserve">Der beste Inhibitor ist  </w:t>
      </w:r>
      <w:r>
        <w:rPr>
          <w:b w:val="false"/>
          <w:bCs w:val="false"/>
        </w:rPr>
        <w:t xml:space="preserve">peramivir </w:t>
      </w:r>
      <w:r>
        <w:rPr>
          <w:b w:val="false"/>
          <w:bCs w:val="false"/>
        </w:rPr>
        <w:t xml:space="preserve">(IC50: </w:t>
      </w:r>
      <w:r>
        <w:rPr>
          <w:b w:val="false"/>
          <w:bCs w:val="false"/>
        </w:rPr>
        <w:t>0.0001135</w:t>
      </w:r>
      <w:r>
        <w:rPr>
          <w:b w:val="false"/>
          <w:bCs w:val="false"/>
        </w:rPr>
        <w:t>). Die Unterschiedliche  IC50-Werte für dieselben Inhibitoren gibt es, weil ...</w:t>
      </w:r>
    </w:p>
    <w:p>
      <w:pPr>
        <w:pStyle w:val="style0"/>
        <w:tabs/>
        <w:ind w:hanging="1416" w:left="1416" w:right="0"/>
      </w:pPr>
      <w:r>
        <w:rPr/>
      </w:r>
    </w:p>
    <w:p>
      <w:pPr>
        <w:pStyle w:val="style0"/>
        <w:tabs/>
        <w:ind w:hanging="1416" w:left="1416" w:right="0"/>
      </w:pPr>
      <w:r>
        <w:rPr/>
      </w:r>
    </w:p>
    <w:p>
      <w:pPr>
        <w:pStyle w:val="style0"/>
        <w:ind w:hanging="1416" w:left="1416" w:right="0"/>
      </w:pPr>
      <w:r>
        <w:rPr/>
      </w:r>
    </w:p>
    <w:p>
      <w:pPr>
        <w:pStyle w:val="style0"/>
        <w:ind w:hanging="1416" w:left="1416" w:right="0"/>
      </w:pPr>
      <w:r>
        <w:rPr/>
      </w:r>
    </w:p>
    <w:p>
      <w:pPr>
        <w:pStyle w:val="style0"/>
        <w:pageBreakBefore/>
        <w:ind w:hanging="1416" w:left="1416" w:right="0"/>
      </w:pPr>
      <w:r>
        <w:rPr>
          <w:b/>
          <w:sz w:val="29"/>
          <w:szCs w:val="29"/>
        </w:rPr>
        <w:t>Quellen:</w:t>
      </w:r>
    </w:p>
    <w:p>
      <w:pPr>
        <w:pStyle w:val="style0"/>
        <w:ind w:hanging="1416" w:left="1416" w:right="0"/>
      </w:pPr>
      <w:r>
        <w:rPr/>
        <w:t>1 – de.wikipedia.org/Omeprazole</w:t>
      </w:r>
    </w:p>
    <w:p>
      <w:pPr>
        <w:pStyle w:val="style0"/>
        <w:ind w:hanging="1416" w:left="1416" w:right="0"/>
        <w:jc w:val="both"/>
      </w:pPr>
      <w:r>
        <w:rPr/>
        <w:t>2 – Sicherheitsdatenblatt für Oseltamivir-Phosphat – Roche</w:t>
      </w:r>
    </w:p>
    <w:p>
      <w:pPr>
        <w:pStyle w:val="style0"/>
        <w:ind w:hanging="426" w:left="426" w:right="0"/>
      </w:pPr>
      <w:r>
        <w:rPr>
          <w:lang w:val="en-US"/>
        </w:rPr>
        <w:t>3 – “The Neuraminidase Inhibitor Oseltamivir is Effective against A/Anhui/1/2013 (H7N9) Influenza Virus in a Mouse Model of Acute Respiratory Distress Syndrome.”,  T. Baranovic et al., J Infect Dis. (2013)</w:t>
      </w:r>
    </w:p>
    <w:p>
      <w:pPr>
        <w:pStyle w:val="style0"/>
        <w:ind w:hanging="426" w:left="426" w:right="0"/>
      </w:pPr>
      <w:r>
        <w:rPr>
          <w:lang w:val="en-US"/>
        </w:rPr>
        <w:t>4 – de.wikipedia.org/Oseltamivir</w:t>
      </w:r>
    </w:p>
    <w:p>
      <w:pPr>
        <w:pStyle w:val="style0"/>
        <w:ind w:hanging="426" w:left="426" w:right="0"/>
      </w:pPr>
      <w:r>
        <w:rPr>
          <w:lang w:val="en-US"/>
        </w:rPr>
        <w:t>5 – European Medicines Agency update on the safety of Tamiflu (emea) (2004)</w:t>
      </w:r>
    </w:p>
    <w:p>
      <w:pPr>
        <w:pStyle w:val="style0"/>
        <w:spacing w:after="200" w:before="0"/>
        <w:ind w:hanging="426" w:left="426" w:right="0"/>
        <w:contextualSpacing w:val="false"/>
      </w:pPr>
      <w:r>
        <w:rPr>
          <w:lang w:val="en-US"/>
        </w:rPr>
        <w:t xml:space="preserve">6 – “Structural basis for a class of nanomolar influenza A neuraminidase inhibitors”, P. S. Kerry, </w:t>
        <w:br/>
        <w:t>B. Mario Pinto et al., Sci Rep (2013)</w:t>
      </w:r>
    </w:p>
    <w:sectPr>
      <w:headerReference r:id="rId6" w:type="default"/>
      <w:type w:val="nextPage"/>
      <w:pgSz w:h="16838" w:w="11906"/>
      <w:pgMar w:bottom="1134" w:footer="0" w:gutter="0" w:header="708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  <w:t>Felix Braun (5881661)</w:t>
    </w:r>
  </w:p>
  <w:p>
    <w:pPr>
      <w:pStyle w:val="style30"/>
    </w:pPr>
    <w:r>
      <w:rPr/>
      <w:t>Oleksandr Voroshylov (6590822)</w:t>
    </w:r>
    <w:r>
      <w:rPr/>
      <w:tab/>
      <w:tab/>
      <w:t>20.10.2013</w:t>
    </w:r>
  </w:p>
</w:hdr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00000A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Kopfzeile Zchn"/>
    <w:basedOn w:val="style15"/>
    <w:next w:val="style16"/>
    <w:rPr/>
  </w:style>
  <w:style w:styleId="style17" w:type="character">
    <w:name w:val="Fußzeile Zchn"/>
    <w:basedOn w:val="style15"/>
    <w:next w:val="style17"/>
    <w:rPr/>
  </w:style>
  <w:style w:styleId="style18" w:type="character">
    <w:name w:val="Sprechblasentext Zchn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Интернет-ссылка"/>
    <w:basedOn w:val="style15"/>
    <w:next w:val="style19"/>
    <w:rPr>
      <w:color w:val="0000FF"/>
      <w:u w:val="single"/>
      <w:lang w:bidi="ru-RU" w:eastAsia="ru-RU" w:val="ru-RU"/>
    </w:rPr>
  </w:style>
  <w:style w:styleId="style20" w:type="character">
    <w:name w:val="Endnotentext Zchn"/>
    <w:basedOn w:val="style15"/>
    <w:next w:val="style20"/>
    <w:rPr>
      <w:sz w:val="20"/>
      <w:szCs w:val="20"/>
    </w:rPr>
  </w:style>
  <w:style w:styleId="style21" w:type="character">
    <w:name w:val="endnote reference"/>
    <w:basedOn w:val="style15"/>
    <w:next w:val="style21"/>
    <w:rPr>
      <w:vertAlign w:val="superscript"/>
    </w:rPr>
  </w:style>
  <w:style w:styleId="style22" w:type="character">
    <w:name w:val="Выделение жирным"/>
    <w:basedOn w:val="style15"/>
    <w:next w:val="style22"/>
    <w:rPr>
      <w:b/>
      <w:bCs/>
    </w:rPr>
  </w:style>
  <w:style w:styleId="style23" w:type="character">
    <w:name w:val="ListLabel 1"/>
    <w:next w:val="style23"/>
    <w:rPr>
      <w:sz w:val="20"/>
    </w:rPr>
  </w:style>
  <w:style w:styleId="style24" w:type="paragraph">
    <w:name w:val="Заголовок"/>
    <w:basedOn w:val="style0"/>
    <w:next w:val="style25"/>
    <w:pPr>
      <w:keepNext/>
      <w:spacing w:after="120" w:before="240"/>
      <w:contextualSpacing w:val="false"/>
    </w:pPr>
    <w:rPr>
      <w:rFonts w:ascii="Arimo" w:cs="DejaVu Sans" w:eastAsia="Droid Sans Fallback" w:hAnsi="Arimo"/>
      <w:sz w:val="28"/>
      <w:szCs w:val="28"/>
    </w:rPr>
  </w:style>
  <w:style w:styleId="style25" w:type="paragraph">
    <w:name w:val="Основной текст"/>
    <w:basedOn w:val="style0"/>
    <w:next w:val="style25"/>
    <w:pPr>
      <w:spacing w:after="120" w:before="0"/>
      <w:contextualSpacing w:val="false"/>
    </w:pPr>
    <w:rPr/>
  </w:style>
  <w:style w:styleId="style26" w:type="paragraph">
    <w:name w:val="Список"/>
    <w:basedOn w:val="style25"/>
    <w:next w:val="style26"/>
    <w:pPr/>
    <w:rPr>
      <w:rFonts w:cs="DejaVu Sans"/>
    </w:rPr>
  </w:style>
  <w:style w:styleId="style27" w:type="paragraph">
    <w:name w:val="Название"/>
    <w:basedOn w:val="style0"/>
    <w:next w:val="style27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8" w:type="paragraph">
    <w:name w:val="Указатель"/>
    <w:basedOn w:val="style0"/>
    <w:next w:val="style28"/>
    <w:pPr>
      <w:suppressLineNumbers/>
    </w:pPr>
    <w:rPr>
      <w:rFonts w:cs="DejaVu Sans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Верхний колонтитул"/>
    <w:basedOn w:val="style0"/>
    <w:next w:val="style30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1" w:type="paragraph">
    <w:name w:val="Нижний колонтитул"/>
    <w:basedOn w:val="style0"/>
    <w:next w:val="style31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2" w:type="paragraph">
    <w:name w:val="Balloon Text"/>
    <w:basedOn w:val="style0"/>
    <w:next w:val="style3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3" w:type="paragraph">
    <w:name w:val="endnote text"/>
    <w:basedOn w:val="style0"/>
    <w:next w:val="style33"/>
    <w:pPr>
      <w:spacing w:after="0" w:before="0" w:line="100" w:lineRule="atLeast"/>
      <w:contextualSpacing w:val="false"/>
    </w:pPr>
    <w:rPr>
      <w:sz w:val="20"/>
      <w:szCs w:val="20"/>
    </w:rPr>
  </w:style>
  <w:style w:styleId="style34" w:type="paragraph">
    <w:name w:val="Содержимое таблицы"/>
    <w:basedOn w:val="style0"/>
    <w:next w:val="style34"/>
    <w:pPr>
      <w:suppressLineNumbers/>
    </w:pPr>
    <w:rPr/>
  </w:style>
  <w:style w:styleId="style35" w:type="paragraph">
    <w:name w:val="Заголовок таблицы"/>
    <w:basedOn w:val="style34"/>
    <w:next w:val="style3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hyperlink" Target="http://de.wikipedia.org/wiki/Reflux&#246;sophagitis" TargetMode="External"/><Relationship Id="rId4" Type="http://schemas.openxmlformats.org/officeDocument/2006/relationships/image" Target="media/image24.png"/><Relationship Id="rId5" Type="http://schemas.openxmlformats.org/officeDocument/2006/relationships/hyperlink" Target="http://www.pdb.org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2013-10-20T16:39:00.00Z</dcterms:created>
  <dc:creator>Felix Braun</dc:creator>
  <cp:lastModifiedBy>Felix Braun</cp:lastModifiedBy>
  <dcterms:modified xsi:type="dcterms:W3CDTF">2013-10-20T18:58:00.00Z</dcterms:modified>
  <cp:revision>4</cp:revision>
</cp:coreProperties>
</file>