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seven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the federal ledger runs deficits while all fifty-one state and local systems must balance each year; and a second-round demand channel converts standing income withdrawal into induced layoffs. Every period of every run satisfies eight conservation identities, and the full system reduces bit-for-bit to a hand-checkable static kernel when the behavioral levers are switched off. We run the model through seven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and to compute capital (taxed at an effective rate near 5 percent post-TCJA).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eight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seven </w:t>
      </w:r>
      <w:r>
        <w:rPr>
          <w:b/>
          <w:bCs/>
          <w:i w:val="false"/>
          <w:iCs w:val="false"/>
        </w:rPr>
        <w:t xml:space="preserve">scenario presets</w:t>
      </w:r>
      <w:r>
        <w:rPr>
          <w:b w:val="false"/>
          <w:bCs w:val="false"/>
          <w:i w:val="false"/>
          <w:iCs w:val="false"/>
        </w:rPr>
        <w:t xml:space="preserve">, each anchored lever-by-lever to a specific literature (Section 6):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and the AI Futures Project's fast takeoff.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 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 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 … -53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 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 … 285</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 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384 … 803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 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35,961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533</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1,599 … 2,142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 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-2,567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2,257 … 2,889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 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12,549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1,852 … 2,328</w:t>
            </w:r>
          </w:p>
        </w:tc>
      </w:tr>
    </w:tbl>
    <w:p>
      <w:pPr>
        <w:spacing w:after="120"/>
      </w:pPr>
    </w:p>
    <w:p>
      <w:pPr>
        <w:spacing w:before="160"/>
        <w:jc w:val="center"/>
      </w:pPr>
      <w:r>
        <w:drawing>
          <wp:inline distT="0" distB="0" distL="0" distR="0">
            <wp:extent cx="5943600" cy="1895475"/>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95475"/>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$2,567 billion in the final year alone, and cumulative new federal debt reaches $23,245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seven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4.6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Eight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thirteen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245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pStyle w:val="Heading2"/>
      </w:pPr>
      <w:r>
        <w:t xml:space="preserve">6.1 The seven scenarios</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In brief:</w:t>
      </w:r>
    </w:p>
    <w:p>
      <w:pPr>
        <w:pStyle w:val="ListParagraph"/>
        <w:numPr>
          <w:ilvl w:val="0"/>
          <w:numId w:val="2"/>
        </w:numPr>
        <w:spacing w:after="60"/>
      </w:pPr>
      <w:r>
        <w:rPr>
          <w:b/>
          <w:bCs/>
          <w:i w:val="false"/>
          <w:iCs w:val="false"/>
        </w:rPr>
        <w:t xml:space="preserve">Acemoglu — Modest AI.</w:t>
      </w:r>
      <w:r>
        <w:rPr>
          <w:b w:val="false"/>
          <w:bCs w:val="false"/>
          <w:i w:val="false"/>
          <w:iCs w:val="false"/>
        </w:rPr>
        <w:t xml:space="preserve"> His ten-year upper bounds at face value: 19.9 percent of the wage</w:t>
      </w:r>
    </w:p>
    <w:p>
      <w:pPr>
        <w:spacing w:after="120"/>
      </w:pPr>
      <w:r>
        <w:rPr>
          <w:b w:val="false"/>
          <w:bCs w:val="false"/>
          <w:i w:val="false"/>
          <w:iCs w:val="false"/>
        </w:rPr>
        <w:t xml:space="preserve">bill exposed, 23 percent of exposed tasks profitably automatable within the decade, a 0.15 productivity pass-through implied by his TFP arithmetic, no wage response, and a normal labor market (Farber-central haircut 0.13, reabsorption 0.5/year).</w:t>
      </w:r>
    </w:p>
    <w:p>
      <w:pPr>
        <w:pStyle w:val="ListParagraph"/>
        <w:numPr>
          <w:ilvl w:val="0"/>
          <w:numId w:val="2"/>
        </w:numPr>
        <w:spacing w:after="60"/>
      </w:pPr>
      <w:r>
        <w:rPr>
          <w:b/>
          <w:bCs/>
          <w:i w:val="false"/>
          <w:iCs w:val="false"/>
        </w:rPr>
        <w:t xml:space="preserve">Brynjolfsson — Augmentation.</w:t>
      </w:r>
      <w:r>
        <w:rPr>
          <w:b w:val="false"/>
          <w:bCs w:val="false"/>
          <w:i w:val="false"/>
          <w:iCs w:val="false"/>
        </w:rPr>
        <w:t xml:space="preserve"> AI complements more than it substitutes: adoption starts near</w:t>
      </w:r>
    </w:p>
    <w:p>
      <w:pPr>
        <w:spacing w:after="120"/>
      </w:pPr>
      <w:r>
        <w:rPr>
          <w:b w:val="false"/>
          <w:bCs w:val="false"/>
          <w:i w:val="false"/>
          <w:iCs w:val="false"/>
        </w:rPr>
        <w:t xml:space="preserve">the realized pace measured in early payroll data (~2 percent cumulative), survivors capture a fifth of the surplus with positive wage complementarity, scarring is mild, and productivity pass-through is strong (the GenAI-at-Work gains).</w:t>
      </w:r>
    </w:p>
    <w:p>
      <w:pPr>
        <w:pStyle w:val="ListParagraph"/>
        <w:numPr>
          <w:ilvl w:val="0"/>
          <w:numId w:val="2"/>
        </w:numPr>
        <w:spacing w:after="60"/>
      </w:pPr>
      <w:r>
        <w:rPr>
          <w:b/>
          <w:bCs/>
          <w:i w:val="false"/>
          <w:iCs w:val="false"/>
        </w:rPr>
        <w:t xml:space="preserve">Windfall Trust — Medium.</w:t>
      </w:r>
      <w:r>
        <w:rPr>
          <w:b w:val="false"/>
          <w:bCs w:val="false"/>
          <w:i w:val="false"/>
          <w:iCs w:val="false"/>
        </w:rPr>
        <w:t xml:space="preserve"> Their medium displacement scenario translated onto our levers: 60</w:t>
      </w:r>
    </w:p>
    <w:p>
      <w:pPr>
        <w:spacing w:after="120"/>
      </w:pPr>
      <w:r>
        <w:rPr>
          <w:b w:val="false"/>
          <w:bCs w:val="false"/>
          <w:i w:val="false"/>
          <w:iCs w:val="false"/>
        </w:rPr>
        <w:t xml:space="preserve">percent of jobs exposed, half of exposed work automated over the decade, re-employment at 70 percent of prior wage, their high-value-capture disposition, and capital taxed at their 26.7 percent ETR. The direct external comparator (Section 9).</w:t>
      </w:r>
    </w:p>
    <w:p>
      <w:pPr>
        <w:pStyle w:val="ListParagraph"/>
        <w:numPr>
          <w:ilvl w:val="0"/>
          <w:numId w:val="2"/>
        </w:numPr>
        <w:spacing w:after="60"/>
      </w:pPr>
      <w:r>
        <w:rPr>
          <w:b/>
          <w:bCs/>
          <w:i w:val="false"/>
          <w:iCs w:val="false"/>
        </w:rPr>
        <w:t xml:space="preserve">China-Shock Grind.</w:t>
      </w:r>
      <w:r>
        <w:rPr>
          <w:b w:val="false"/>
          <w:bCs w:val="false"/>
          <w:i w:val="false"/>
          <w:iCs w:val="false"/>
        </w:rPr>
        <w:t xml:space="preserve"> A moderate shock met by the labor market Autor, Dorn, and Hanson</w:t>
      </w:r>
    </w:p>
    <w:p>
      <w:pPr>
        <w:spacing w:after="120"/>
      </w:pPr>
      <w:r>
        <w:rPr>
          <w:b w:val="false"/>
          <w:bCs w:val="false"/>
          <w:i w:val="false"/>
          <w:iCs w:val="false"/>
        </w:rPr>
        <w:t xml:space="preserve">actually measured: reabsorption at 0.075/year (decade-scale adjustment), labor-force exit the dominant margin, JLS-severity scarring, and full demand amplification, over fifteen years. The mechanism preset: displacement is moderate but nothing heals.</w:t>
      </w:r>
    </w:p>
    <w:p>
      <w:pPr>
        <w:pStyle w:val="ListParagraph"/>
        <w:numPr>
          <w:ilvl w:val="0"/>
          <w:numId w:val="2"/>
        </w:numPr>
        <w:spacing w:after="60"/>
      </w:pPr>
      <w:r>
        <w:rPr>
          <w:b/>
          <w:bCs/>
          <w:i w:val="false"/>
          <w:iCs w:val="false"/>
        </w:rPr>
        <w:t xml:space="preserve">Korinek–Suh — AGI in 20 years.</w:t>
      </w:r>
      <w:r>
        <w:rPr>
          <w:b w:val="false"/>
          <w:bCs w:val="false"/>
          <w:i w:val="false"/>
          <w:iCs w:val="false"/>
        </w:rPr>
        <w:t xml:space="preserve"> Full automation over twenty years, wages collapsing before</w:t>
      </w:r>
    </w:p>
    <w:p>
      <w:pPr>
        <w:spacing w:after="120"/>
      </w:pPr>
      <w:r>
        <w:rPr>
          <w:b w:val="false"/>
          <w:bCs w:val="false"/>
          <w:i w:val="false"/>
          <w:iCs w:val="false"/>
        </w:rPr>
        <w:t xml:space="preserve">the end, capital keeping the gains, states forced onto spending cuts.</w:t>
      </w:r>
    </w:p>
    <w:p>
      <w:pPr>
        <w:pStyle w:val="ListParagraph"/>
        <w:numPr>
          <w:ilvl w:val="0"/>
          <w:numId w:val="2"/>
        </w:numPr>
        <w:spacing w:after="60"/>
      </w:pPr>
      <w:r>
        <w:rPr>
          <w:b/>
          <w:bCs/>
          <w:i w:val="false"/>
          <w:iCs w:val="false"/>
        </w:rPr>
        <w:t xml:space="preserve">Korinek–Suh — AGI in 5 years.</w:t>
      </w:r>
      <w:r>
        <w:rPr>
          <w:b w:val="false"/>
          <w:bCs w:val="false"/>
          <w:i w:val="false"/>
          <w:iCs w:val="false"/>
        </w:rPr>
        <w:t xml:space="preserve"> The aggressive transition as its own stress case: a kinked</w:t>
      </w:r>
    </w:p>
    <w:p>
      <w:pPr>
        <w:spacing w:after="120"/>
      </w:pPr>
      <w:r>
        <w:rPr>
          <w:b w:val="false"/>
          <w:bCs w:val="false"/>
          <w:i w:val="false"/>
          <w:iCs w:val="false"/>
        </w:rPr>
        <w:t xml:space="preserve">adoption path reaching full automation at year five, viewed over a ten-year fiscal window.</w:t>
      </w:r>
    </w:p>
    <w:p>
      <w:pPr>
        <w:pStyle w:val="ListParagraph"/>
        <w:numPr>
          <w:ilvl w:val="0"/>
          <w:numId w:val="2"/>
        </w:numPr>
        <w:spacing w:after="60"/>
      </w:pPr>
      <w:r>
        <w:rPr>
          <w:b/>
          <w:bCs/>
          <w:i w:val="false"/>
          <w:iCs w:val="false"/>
        </w:rPr>
        <w:t xml:space="preserve">AI 2027 — Fast takeoff.</w:t>
      </w:r>
      <w:r>
        <w:rPr>
          <w:b w:val="false"/>
          <w:bCs w:val="false"/>
          <w:i w:val="false"/>
          <w:iCs w:val="false"/>
        </w:rPr>
        <w:t xml:space="preserve"> The AI Futures Project's scenario shape: cognition maxes almost</w:t>
      </w:r>
    </w:p>
    <w:p>
      <w:pPr>
        <w:spacing w:after="120"/>
      </w:pPr>
      <w:r>
        <w:rPr>
          <w:b w:val="false"/>
          <w:bCs w:val="false"/>
          <w:i w:val="false"/>
          <w:iCs w:val="false"/>
        </w:rPr>
        <w:t xml:space="preserve">immediately, robots ramp over three years through crash build-out, heavy compute investment, an eight-year horizon.</w:t>
      </w:r>
    </w:p>
    <w:p>
      <w:pPr>
        <w:spacing w:after="120"/>
      </w:pPr>
      <w:r>
        <w:rPr>
          <w:b w:val="false"/>
          <w:bCs w:val="false"/>
          <w:i w:val="false"/>
          <w:iCs w:val="false"/>
        </w:rPr>
        <w:t xml:space="preserve">The as-shipped lever table for all seven appears in Appendix B.</w:t>
      </w:r>
    </w:p>
    <w:p>
      <w:pPr>
        <w:pStyle w:val="Heading2"/>
      </w:pPr>
      <w:r>
        <w:t xml:space="preserve">6.2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seven worlds</w:t>
      </w:r>
    </w:p>
    <w:p>
      <w:pPr>
        <w:spacing w:after="120"/>
      </w:pPr>
      <w:r>
        <w:rPr>
          <w:b w:val="false"/>
          <w:bCs w:val="false"/>
          <w:i w:val="false"/>
          <w:iCs w:val="false"/>
        </w:rPr>
        <w:t xml:space="preserve">Each subsection reports one scenario: the story its levers tell, its fiscal summary (revenue lines are signed changes, negative = lost revenue; the keystone row </w:t>
      </w:r>
      <w:r>
        <w:rPr>
          <w:b w:val="false"/>
          <w:bCs w:val="false"/>
          <w:i/>
          <w:iCs/>
        </w:rPr>
        <w:t xml:space="preserve">Net fiscal impact</w:t>
      </w:r>
      <w:r>
        <w:rPr>
          <w:b w:val="false"/>
          <w:bCs w:val="false"/>
          <w:i w:val="false"/>
          <w:iCs w:val="false"/>
        </w:rPr>
        <w:t xml:space="preserve"> equals the signed change in the federal balance and reconciles exactly to the deficit by identity C6), the Monte Carlo fan around the federal deficit path (1000 draws, ±2σ-truncated relative perturbations of spread 0.15, seed 0), and the tornado attributing final-year deficit variance to individual assumptions. Dollar figures are nominal changes against the 2024 baseline; the fiscal summary "Total" column sums flow rows over the scenario horizon.</w:t>
      </w:r>
    </w:p>
    <w:p>
      <w:pPr>
        <w:pStyle w:val="Heading2"/>
      </w:pPr>
      <w:r>
        <w:t xml:space="preserve">7.1 Acemoglu — Modest AI</w:t>
      </w:r>
    </w:p>
    <w:p>
      <w:pPr>
        <w:spacing w:after="120"/>
      </w:pPr>
      <w:r>
        <w:rPr>
          <w:b w:val="false"/>
          <w:bCs w:val="false"/>
          <w:i w:val="false"/>
          <w:iCs w:val="false"/>
        </w:rPr>
        <w:t xml:space="preserve">If AI stays inside Acemoglu's ten-year bounds, the fiscal system barely notices. Employment falls 3.0 percent by year ten; the federal balance moves by +11.5 billion dollars in the final year — the sign is worth pausing on: after a decade of modest displacement met by a healthy labor market (half of the exhausted re-employed every year at a 13 percent haircut), the capital-side recoveries — corporate offset, compute-pool tax, survivor wage taxes — have grown past the shrinking labor losses, and the deficit change turns </w:t>
      </w:r>
      <w:r>
        <w:rPr>
          <w:b w:val="false"/>
          <w:bCs w:val="false"/>
          <w:i/>
          <w:iCs/>
        </w:rPr>
        <w:t xml:space="preserve">favorable</w:t>
      </w:r>
      <w:r>
        <w:rPr>
          <w:b w:val="false"/>
          <w:bCs w:val="false"/>
          <w:i w:val="false"/>
          <w:iCs w:val="false"/>
        </w:rPr>
        <w:t xml:space="preserve">. Cumulative new debt over the decade is 33 billion dollars — a rounding error against the $1,833 billion baseline deficit. The Monte Carlo band is correspondingly tight: the final-year deficit change spans -18 to -3 billion dollars between the 10th and 90th percentiles. The strongest single driver of that residual variance is </w:t>
      </w:r>
      <w:r>
        <w:rPr>
          <w:rFonts w:ascii="Consolas" w:cs="Consolas" w:eastAsia="Consolas" w:hAnsi="Consolas"/>
          <w:b w:val="false"/>
          <w:bCs w:val="false"/>
          <w:i w:val="false"/>
          <w:iCs w:val="false"/>
        </w:rPr>
        <w:t xml:space="preserve">reabsorption_rate</w:t>
      </w:r>
      <w:r>
        <w:rPr>
          <w:b w:val="false"/>
          <w:bCs w:val="false"/>
          <w:i w:val="false"/>
          <w:iCs w:val="false"/>
        </w:rPr>
        <w:t xml:space="preserve"> (ρ = -0.64).</w:t>
      </w:r>
    </w:p>
    <w:p>
      <w:pPr>
        <w:pStyle w:val="Caption"/>
        <w:spacing w:after="60" w:before="160"/>
      </w:pPr>
      <w:r>
        <w:t xml:space="preserve">Table 2 — Acemoglu — Modest AI: fiscal summary ($B, condensed years; full table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109.5</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5,009.4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1,821.5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r>
    </w:tbl>
    <w:p>
      <w:pPr>
        <w:spacing w:after="120"/>
      </w:pPr>
    </w:p>
    <w:p>
      <w:pPr>
        <w:spacing w:before="160"/>
        <w:jc w:val="center"/>
      </w:pPr>
      <w:r>
        <w:drawing>
          <wp:inline distT="0" distB="0" distL="0" distR="0">
            <wp:extent cx="5943600" cy="3505200"/>
            <wp:effectExtent t="0" r="0" b="0" l="0"/>
            <wp:docPr id="1" name="Figure 2 — Acemoglu — Modest AI: federal deficit change, Mon" descr="Figure 2 — Acemoglu — Modest AI: federal deficit change, Monte Carlo fan (P10–P90 and P25–P75 bands, median, dashed base run)." title="Figure 2 — Acemoglu — Modest AI: federal deficit change, Monte Carlo fan (P10–P90 and P25–P75 bands, median, dashed bas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2 — Acemoglu — Modest AI: federal deficit change, Monte Carlo fan (P10–P90 and P25–P75 bands, median, dashed base run).</w:t>
      </w:r>
    </w:p>
    <w:p>
      <w:pPr>
        <w:spacing w:before="160"/>
        <w:jc w:val="center"/>
      </w:pPr>
      <w:r>
        <w:drawing>
          <wp:inline distT="0" distB="0" distL="0" distR="0">
            <wp:extent cx="5943600" cy="3962400"/>
            <wp:effectExtent t="0" r="0" b="0" l="0"/>
            <wp:docPr id="1" name="Figure 3 — Acemoglu — Modest AI: Spearman rank correlation o" descr="Figure 3 — Acemoglu — Modest AI: Spearman rank correlation of each perturbed lever with the final-year deficit change." title="Figure 3 — Acemoglu — Modest AI: Spearman rank correlation of each perturbed lever with the final-year deficit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3 — Acemoglu — Modest AI: Spearman rank correlation of each perturbed lever with the final-year deficit change.</w:t>
      </w:r>
    </w:p>
    <w:p>
      <w:pPr>
        <w:pStyle w:val="Heading2"/>
      </w:pPr>
      <w:r>
        <w:t xml:space="preserve">7.2 Brynjolfsson — Augmentation</w:t>
      </w:r>
    </w:p>
    <w:p>
      <w:pPr>
        <w:spacing w:after="120"/>
      </w:pPr>
      <w:r>
        <w:rPr>
          <w:b w:val="false"/>
          <w:bCs w:val="false"/>
          <w:i w:val="false"/>
          <w:iCs w:val="false"/>
        </w:rPr>
        <w:t xml:space="preserve">The augmentation world is the optimist's case with the optimism located in the </w:t>
      </w:r>
      <w:r>
        <w:rPr>
          <w:b w:val="false"/>
          <w:bCs w:val="false"/>
          <w:i/>
          <w:iCs/>
        </w:rPr>
        <w:t xml:space="preserve">labor market</w:t>
      </w:r>
      <w:r>
        <w:rPr>
          <w:b w:val="false"/>
          <w:bCs w:val="false"/>
          <w:i w:val="false"/>
          <w:iCs w:val="false"/>
        </w:rPr>
        <w:t xml:space="preserve"> rather than in the technology being small. Adoption reaches 30 percent of a moderately exposed economy, but survivors share a fifth of the surplus, complementarity lifts wages, scarring is mild (10 percent), and reabsorption runs at 0.6 per year. Employment falls 6.0 percent; the final-year federal balance change is +72.2 billion dollars, and the cumulative debt change is -214 billion — a net </w:t>
      </w:r>
      <w:r>
        <w:rPr>
          <w:b w:val="false"/>
          <w:bCs w:val="false"/>
          <w:i/>
          <w:iCs/>
        </w:rPr>
        <w:t xml:space="preserve">paydown</w:t>
      </w:r>
      <w:r>
        <w:rPr>
          <w:b w:val="false"/>
          <w:bCs w:val="false"/>
          <w:i w:val="false"/>
          <w:iCs w:val="false"/>
        </w:rPr>
        <w:t xml:space="preserve">: this is the one scenario in which AI improves the federal fiscal position over its whole horizon. The survivor-wage channel does real fiscal work here: raises re-taxed at full marginal rates partially rebuild the labor base that displacement erodes — the one mechanism by which the labor share of revenue defends itself.</w:t>
      </w:r>
    </w:p>
    <w:p>
      <w:pPr>
        <w:pStyle w:val="Caption"/>
        <w:spacing w:after="60" w:before="160"/>
      </w:pPr>
      <w:r>
        <w:t xml:space="preserve">Table 3 — Brynjolfsson — Augmentation: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42.4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400.2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189.8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5,000.9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5,025.2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1,832.8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1,760.8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-58.1</w:t>
            </w:r>
          </w:p>
        </w:tc>
      </w:tr>
    </w:tbl>
    <w:p>
      <w:pPr>
        <w:spacing w:after="120"/>
      </w:pPr>
    </w:p>
    <w:p>
      <w:pPr>
        <w:spacing w:before="160"/>
        <w:jc w:val="center"/>
      </w:pPr>
      <w:r>
        <w:drawing>
          <wp:inline distT="0" distB="0" distL="0" distR="0">
            <wp:extent cx="5943600" cy="3467100"/>
            <wp:effectExtent t="0" r="0" b="0" l="0"/>
            <wp:docPr id="1" name="Figure 4 — Brynjolfsson — Augmentation: federal deficit fan." descr="Figure 4 — Brynjolfsson — Augmentation: federal deficit fan." title="Figure 4 — Brynjolfsson — Augmentation: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467100"/>
                    </a:xfrm>
                    <a:prstGeom prst="rect">
                      <a:avLst/>
                    </a:prstGeom>
                  </pic:spPr>
                </pic:pic>
              </a:graphicData>
            </a:graphic>
          </wp:inline>
        </w:drawing>
      </w:r>
    </w:p>
    <w:p>
      <w:pPr>
        <w:pStyle w:val="Caption"/>
        <w:spacing w:after="160"/>
        <w:jc w:val="center"/>
      </w:pPr>
      <w:r>
        <w:t xml:space="preserve">Figure 4 — Brynjolfsson — Augmentation: federal deficit fan.</w:t>
      </w:r>
    </w:p>
    <w:p>
      <w:pPr>
        <w:spacing w:before="160"/>
        <w:jc w:val="center"/>
      </w:pPr>
      <w:r>
        <w:drawing>
          <wp:inline distT="0" distB="0" distL="0" distR="0">
            <wp:extent cx="5943600" cy="3914775"/>
            <wp:effectExtent t="0" r="0" b="0" l="0"/>
            <wp:docPr id="1" name="Figure 5 — Brynjolfsson — Augmentation: deficit tornado." descr="Figure 5 — Brynjolfsson — Augmentation: deficit tornado." title="Figure 5 — Brynjolfsson — Augmentation: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5 — Brynjolfsson — Augmentation: deficit tornado.</w:t>
      </w:r>
    </w:p>
    <w:p>
      <w:pPr>
        <w:pStyle w:val="Heading2"/>
      </w:pPr>
      <w:r>
        <w:t xml:space="preserve">7.3 Windfall Trust — Medium</w:t>
      </w:r>
    </w:p>
    <w:p>
      <w:pPr>
        <w:spacing w:after="120"/>
      </w:pPr>
      <w:r>
        <w:rPr>
          <w:b w:val="false"/>
          <w:bCs w:val="false"/>
          <w:i w:val="false"/>
          <w:iCs w:val="false"/>
        </w:rPr>
        <w:t xml:space="preserve">The comparator scenario. Sixty percent of jobs exposed, half of exposed work automated in a decade, re-employment at 70 percent of prior wage, high value capture split evenly between firms and consumers, capital taxed at their 26.7 percent ETR. Employment falls 21 percent; the final-year federal balance deteriorates by 208 billion dollars and cumulative debt reaches 1,830 billion. The ten-year total-revenue change of -1.35 percent of the combined federal-plus-state baseline is the number compared against the Windfall Trust's own −2.8 percent target in Section 9. Note the composition: the state consumption-tax line barely moves even as consumer prices fall — the taxable-to-consumer-surplus channel is quantitatively real and almost entirely untaxed.</w:t>
      </w:r>
    </w:p>
    <w:p>
      <w:pPr>
        <w:pStyle w:val="Caption"/>
        <w:spacing w:after="60" w:before="160"/>
      </w:pPr>
      <w:r>
        <w:t xml:space="preserve">Table 4 — Windfall Trust — Medium: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-1,129.1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-70.8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105.4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910.2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-208.0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-1,635.8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4,912.0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2,041.0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1,829.6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134.5</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-65.4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-558.8</w:t>
            </w:r>
          </w:p>
        </w:tc>
      </w:tr>
    </w:tbl>
    <w:p>
      <w:pPr>
        <w:spacing w:after="120"/>
      </w:pPr>
    </w:p>
    <w:p>
      <w:pPr>
        <w:spacing w:before="160"/>
        <w:jc w:val="center"/>
      </w:pPr>
      <w:r>
        <w:drawing>
          <wp:inline distT="0" distB="0" distL="0" distR="0">
            <wp:extent cx="5943600" cy="3505200"/>
            <wp:effectExtent t="0" r="0" b="0" l="0"/>
            <wp:docPr id="1" name="Figure 6 — Windfall Trust — Medium: federal deficit fan." descr="Figure 6 — Windfall Trust — Medium: federal deficit fan." title="Figure 6 — Windfall Trust — Medium: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6 — Windfall Trust — Medium: federal deficit fan.</w:t>
      </w:r>
    </w:p>
    <w:p>
      <w:pPr>
        <w:spacing w:before="160"/>
        <w:jc w:val="center"/>
      </w:pPr>
      <w:r>
        <w:drawing>
          <wp:inline distT="0" distB="0" distL="0" distR="0">
            <wp:extent cx="5943600" cy="3962400"/>
            <wp:effectExtent t="0" r="0" b="0" l="0"/>
            <wp:docPr id="1" name="Figure 7 — Windfall Trust — Medium: deficit tornado." descr="Figure 7 — Windfall Trust — Medium: deficit tornado." title="Figure 7 — Windfall Trust — Medium: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7 — Windfall Trust — Medium: deficit tornado.</w:t>
      </w: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measured: reabsorption at 0.075 per year, labor-force exit the dominant adjustment margin, a 25 percent permanent wage scar, and demand amplification at the no-monetary-offset end of the evidence. Nothing heals, so everything accumulates: employment is down 19 percent at year fifteen, the final-year deficit change is 624 billion dollars, induced layoffs stand at 6.5 million, and cumulative debt reaches 5,059 billion — the grind converts a moderate technology shock into a large fiscal one purely through adjustment failure. This is the scenario that most cleanly isolates the model's second and third theses: revenue falls much faster than output, and the state closure (123 billion dollars of gap to close in the final year) feeds austerity back into demand.</w:t>
      </w:r>
    </w:p>
    <w:p>
      <w:pPr>
        <w:pStyle w:val="Caption"/>
        <w:spacing w:after="60" w:before="160"/>
      </w:pPr>
      <w:r>
        <w:t xml:space="preserve">Table 5 — China-Shock Grind: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14</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-1,778.0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-1,747.2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-115.9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-332.3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-2,425.6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960.3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2,008.9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-624.3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-4,434.5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4,650.5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2,457.3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2,457.3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-442.8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-947.0</w:t>
            </w:r>
          </w:p>
        </w:tc>
      </w:tr>
    </w:tbl>
    <w:p>
      <w:pPr>
        <w:spacing w:after="120"/>
      </w:pPr>
    </w:p>
    <w:p>
      <w:pPr>
        <w:spacing w:before="160"/>
        <w:jc w:val="center"/>
      </w:pPr>
      <w:r>
        <w:drawing>
          <wp:inline distT="0" distB="0" distL="0" distR="0">
            <wp:extent cx="5943600" cy="3505200"/>
            <wp:effectExtent t="0" r="0" b="0" l="0"/>
            <wp:docPr id="1" name="Figure 8 — China-Shock Grind: federal deficit fan." descr="Figure 8 — China-Shock Grind: federal deficit fan." title="Figure 8 — China-Shock Grind: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505200"/>
                    </a:xfrm>
                    <a:prstGeom prst="rect">
                      <a:avLst/>
                    </a:prstGeom>
                  </pic:spPr>
                </pic:pic>
              </a:graphicData>
            </a:graphic>
          </wp:inline>
        </w:drawing>
      </w:r>
    </w:p>
    <w:p>
      <w:pPr>
        <w:pStyle w:val="Caption"/>
        <w:spacing w:after="160"/>
        <w:jc w:val="center"/>
      </w:pPr>
      <w:r>
        <w:t xml:space="preserve">Figure 8 — China-Shock Grind: federal deficit fan.</w:t>
      </w:r>
    </w:p>
    <w:p>
      <w:pPr>
        <w:spacing w:before="160"/>
        <w:jc w:val="center"/>
      </w:pPr>
      <w:r>
        <w:drawing>
          <wp:inline distT="0" distB="0" distL="0" distR="0">
            <wp:extent cx="5943600" cy="3962400"/>
            <wp:effectExtent t="0" r="0" b="0" l="0"/>
            <wp:docPr id="1" name="Figure 9 — China-Shock Grind: deficit tornado." descr="Figure 9 — China-Shock Grind: deficit tornado." title="Figure 9 — China-Shock Grind: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9 — China-Shock Grind: deficit tornado.</w:t>
      </w:r>
    </w:p>
    <w:p>
      <w:pPr>
        <w:pStyle w:val="Heading2"/>
      </w:pPr>
      <w:r>
        <w:t xml:space="preserve">7.5 Korinek–Suh — AGI in 20 years</w:t>
      </w:r>
    </w:p>
    <w:p>
      <w:pPr>
        <w:spacing w:after="120"/>
      </w:pPr>
      <w:r>
        <w:rPr>
          <w:b w:val="false"/>
          <w:bCs w:val="false"/>
          <w:i w:val="false"/>
          <w:iCs w:val="false"/>
        </w:rPr>
        <w:t xml:space="preserve">Full automation, slowly. Over twenty years the adoption ceiling climbs to one, wages collapse ahead of it (elasticity at the slider floor, a 40 percent re-employment haircut, reabsorption near zero), and capital keeps 80 percent of the net saving. By the final year employment is down 99 percent, the deficit change is 1,882 billion dollars per year, and cumulative new debt is 35,961 billion. The productivity dividend is enormous — real output ends 64 percent above baseline — which is precisely the point: </w:t>
      </w:r>
      <w:r>
        <w:rPr>
          <w:b/>
          <w:bCs/>
          <w:i w:val="false"/>
          <w:iCs w:val="false"/>
        </w:rPr>
        <w:t xml:space="preserve">the fiscal crisis and the abundance are simultaneous</w:t>
      </w:r>
      <w:r>
        <w:rPr>
          <w:b w:val="false"/>
          <w:bCs w:val="false"/>
          <w:i w:val="false"/>
          <w:iCs w:val="false"/>
        </w:rPr>
        <w:t xml:space="preserve">, because the tax system is plumbed to wages and the abundance arrives as profit, price declines, and capital income. The states close a gap of 533 billion dollars in the final year alone — half of it, by this scenario's Korinek–Lockwood-motivated configuration, through direct spending cuts whose demand consequences feed straight back into the induced-layoff channel.</w:t>
      </w:r>
    </w:p>
    <w:p>
      <w:pPr>
        <w:pStyle w:val="Caption"/>
        <w:spacing w:after="60" w:before="160"/>
      </w:pPr>
      <w:r>
        <w:t xml:space="preserve">Table 6 — Korinek–Suh — AGI in 20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-250.5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-14,186.8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-13,886.5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16,799.2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851.7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-2,518.5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110.3</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-109.8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-338.4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-507.3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-12,733.4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7,199.5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1,103.0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757.3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5,909.4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331.6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1,374.3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14,211.8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-205.9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-537.6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-1,881.6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-26,945.3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4,959.9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4,644.4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4,419.6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4,475.5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3,714.6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3,714.6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291.4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35,960.6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-3,505.2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-1,322.4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-317.0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2,056.9</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-137.5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-532.8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-7,201.5</w:t>
            </w:r>
          </w:p>
        </w:tc>
      </w:tr>
    </w:tbl>
    <w:p>
      <w:pPr>
        <w:spacing w:after="120"/>
      </w:pPr>
    </w:p>
    <w:p>
      <w:pPr>
        <w:spacing w:before="160"/>
        <w:jc w:val="center"/>
      </w:pPr>
      <w:r>
        <w:drawing>
          <wp:inline distT="0" distB="0" distL="0" distR="0">
            <wp:extent cx="5943600" cy="3457575"/>
            <wp:effectExtent t="0" r="0" b="0" l="0"/>
            <wp:docPr id="1" name="Figure 10 — AGI in 20 years: federal deficit fan." descr="Figure 10 — AGI in 20 years: federal deficit fan." title="Figure 10 — AGI in 20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57575"/>
                    </a:xfrm>
                    <a:prstGeom prst="rect">
                      <a:avLst/>
                    </a:prstGeom>
                  </pic:spPr>
                </pic:pic>
              </a:graphicData>
            </a:graphic>
          </wp:inline>
        </w:drawing>
      </w:r>
    </w:p>
    <w:p>
      <w:pPr>
        <w:pStyle w:val="Caption"/>
        <w:spacing w:after="160"/>
        <w:jc w:val="center"/>
      </w:pPr>
      <w:r>
        <w:t xml:space="preserve">Figure 10 — AGI in 20 years: federal deficit fan.</w:t>
      </w:r>
    </w:p>
    <w:p>
      <w:pPr>
        <w:spacing w:before="160"/>
        <w:jc w:val="center"/>
      </w:pPr>
      <w:r>
        <w:drawing>
          <wp:inline distT="0" distB="0" distL="0" distR="0">
            <wp:extent cx="5943600" cy="3962400"/>
            <wp:effectExtent t="0" r="0" b="0" l="0"/>
            <wp:docPr id="1" name="Figure 11 — AGI in 20 years: deficit tornado." descr="Figure 11 — AGI in 20 years: deficit tornado." title="Figure 11 — AGI in 20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11 — AGI in 20 years: deficit tornado.</w:t>
      </w:r>
    </w:p>
    <w:p>
      <w:pPr>
        <w:pStyle w:val="Heading2"/>
      </w:pPr>
      <w:r>
        <w:t xml:space="preserve">7.6 Korinek–Suh — AGI in 5 years</w:t>
      </w:r>
    </w:p>
    <w:p>
      <w:pPr>
        <w:spacing w:after="120"/>
      </w:pPr>
      <w:r>
        <w:rPr>
          <w:b w:val="false"/>
          <w:bCs w:val="false"/>
          <w:i w:val="false"/>
          <w:iCs w:val="false"/>
        </w:rPr>
        <w:t xml:space="preserve">The stress case: the same destination reached at year five (a kinked adoption path — linear to full automation at year five, flat thereafter — viewed over a ten-year fiscal window), with crash robotics build-out, mass labor-force exit, and crisis-regime demand amplification. Employment effectively ceases to be the tax base: down 100 percent, with the final-year deficit change at 2,567 billion dollars and cumulative debt of 23,245 billion — against a GDP that is simultaneously 67 percent larger in real terms. No plausible parameter perturbation changes the qualitative picture: the P10–P90 band on the final-year deficit change runs from 2,257 to 2,889 billion dollars — the </w:t>
      </w:r>
      <w:r>
        <w:rPr>
          <w:b w:val="false"/>
          <w:bCs w:val="false"/>
          <w:i/>
          <w:iCs/>
        </w:rPr>
        <w:t xml:space="preserve">best</w:t>
      </w:r>
      <w:r>
        <w:rPr>
          <w:b w:val="false"/>
          <w:bCs w:val="false"/>
          <w:i w:val="false"/>
          <w:iCs w:val="false"/>
        </w:rPr>
        <w:t xml:space="preserve"> decile of this world is fiscally worse than the worst decile of every scenario outside the AGI-and-takeoff class.</w:t>
      </w:r>
    </w:p>
    <w:p>
      <w:pPr>
        <w:pStyle w:val="Caption"/>
        <w:spacing w:after="60" w:before="160"/>
      </w:pPr>
      <w:r>
        <w:t xml:space="preserve">Table 7 — Korinek–Suh — AGI in 5 years: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-1,364.8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-10,336.0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-447.5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-1,355.9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-10,244.7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1,404.1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11,469.7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823.8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-414.5</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115.8</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-103.1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-453.2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-1,233.3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-820.4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-8,481.8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5,375.7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1,158.3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1,082.6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5,042.3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237.2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440.2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1,005.4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1,381.8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1,747.0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11,576.4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-340.3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-893.5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-2,238.7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-2,568.1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-2,567.4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-20,058.2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4,879.7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3,749.5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3,796.5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4,162.4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4,162.4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2,726.5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4,071.7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4,400.4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5,302.9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11,071.5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23,244.9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-337.2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-970.7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209.6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1,550.2</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-83.0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-226.3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-576.2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-675.8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-627.5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-5,136.5</w:t>
            </w:r>
          </w:p>
        </w:tc>
      </w:tr>
    </w:tbl>
    <w:p>
      <w:pPr>
        <w:spacing w:after="120"/>
      </w:pPr>
    </w:p>
    <w:p>
      <w:pPr>
        <w:spacing w:before="160"/>
        <w:jc w:val="center"/>
      </w:pPr>
      <w:r>
        <w:drawing>
          <wp:inline distT="0" distB="0" distL="0" distR="0">
            <wp:extent cx="5943600" cy="3448050"/>
            <wp:effectExtent t="0" r="0" b="0" l="0"/>
            <wp:docPr id="1" name="Figure 12 — AGI in 5 years: federal deficit fan." descr="Figure 12 — AGI in 5 years: federal deficit fan." title="Figure 12 — AGI in 5 years: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12 — AGI in 5 years: federal deficit fan.</w:t>
      </w:r>
    </w:p>
    <w:p>
      <w:pPr>
        <w:spacing w:before="160"/>
        <w:jc w:val="center"/>
      </w:pPr>
      <w:r>
        <w:drawing>
          <wp:inline distT="0" distB="0" distL="0" distR="0">
            <wp:extent cx="5943600" cy="3914775"/>
            <wp:effectExtent t="0" r="0" b="0" l="0"/>
            <wp:docPr id="1" name="Figure 13 — AGI in 5 years: deficit tornado." descr="Figure 13 — AGI in 5 years: deficit tornado." title="Figure 13 — AGI in 5 years: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14775"/>
                    </a:xfrm>
                    <a:prstGeom prst="rect">
                      <a:avLst/>
                    </a:prstGeom>
                  </pic:spPr>
                </pic:pic>
              </a:graphicData>
            </a:graphic>
          </wp:inline>
        </w:drawing>
      </w:r>
    </w:p>
    <w:p>
      <w:pPr>
        <w:pStyle w:val="Caption"/>
        <w:spacing w:after="160"/>
        <w:jc w:val="center"/>
      </w:pPr>
      <w:r>
        <w:t xml:space="preserve">Figure 13 — AGI in 5 years: deficit tornado.</w:t>
      </w:r>
    </w:p>
    <w:p>
      <w:pPr>
        <w:pStyle w:val="Heading2"/>
      </w:pPr>
      <w:r>
        <w:t xml:space="preserve">7.7 AI 2027 — Fast takeoff</w:t>
      </w:r>
    </w:p>
    <w:p>
      <w:pPr>
        <w:spacing w:after="120"/>
      </w:pPr>
      <w:r>
        <w:rPr>
          <w:b w:val="false"/>
          <w:bCs w:val="false"/>
          <w:i w:val="false"/>
          <w:iCs w:val="false"/>
        </w:rPr>
        <w:t xml:space="preserve">The AI Futures shape: cognitive feasibility maxes almost immediately, robots ramp over three years of crash build-out, and nearly a third of the saved bill flows to compute investment. Over its eight-year window employment falls 99 percent and cumulative debt reaches 12,549 billion dollars. The heavy </w:t>
      </w:r>
      <w:r>
        <w:rPr>
          <w:rFonts w:ascii="Consolas" w:cs="Consolas" w:eastAsia="Consolas" w:hAnsi="Consolas"/>
          <w:b w:val="false"/>
          <w:bCs w:val="false"/>
          <w:i w:val="false"/>
          <w:iCs w:val="false"/>
        </w:rPr>
        <w:t xml:space="preserve">auto_cost</w:t>
      </w:r>
      <w:r>
        <w:rPr>
          <w:b w:val="false"/>
          <w:bCs w:val="false"/>
          <w:i w:val="false"/>
          <w:iCs w:val="false"/>
        </w:rPr>
        <w:t xml:space="preserve"> matters fiscally: a large automation-input bill shrinks the net saving available for profit (and therefore the corporate offset) while the compute pool it feeds is taxed at 5 percent — the fast-takeoff world is one where an unusually large share of the migrated base lands at the </w:t>
      </w:r>
      <w:r>
        <w:rPr>
          <w:b w:val="false"/>
          <w:bCs w:val="false"/>
          <w:i/>
          <w:iCs/>
        </w:rPr>
        <w:t xml:space="preserve">lowest</w:t>
      </w:r>
      <w:r>
        <w:rPr>
          <w:b w:val="false"/>
          <w:bCs w:val="false"/>
          <w:i w:val="false"/>
          <w:iCs w:val="false"/>
        </w:rPr>
        <w:t xml:space="preserve">-taxed destination, which is what makes the compute-parity overlay bind hardest here (Section 8).</w:t>
      </w:r>
    </w:p>
    <w:p>
      <w:pPr>
        <w:pStyle w:val="Caption"/>
        <w:spacing w:after="60" w:before="160"/>
      </w:pPr>
      <w:r>
        <w:t xml:space="preserve">Table 8 — AI 2027 — Fast takeoff: fiscal summary ($B, condensed).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7</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-691.3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-1,060.8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-1,265.1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-5,928.6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-1,231.8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-5,830.0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89.2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1,120.3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4,996.3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703.6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-166.2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-476.9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71.8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108.6</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-67.9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-283.4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-878.2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-1,170.5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-1,131.6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-6,355.2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2,970.1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127.4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1,085.6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338.0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992.4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118.6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252.6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599.9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867.3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1,072.4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5,048.0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-186.5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-536.0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-1,478.2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-2,037.8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-2,204.0</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-11,403.2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4,914.9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4,104.6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3,812.3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3,851.2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3,851.2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2,369.0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3,311.2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3,870.8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4,037.0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4,037.0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729.9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3,298.7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7,488.3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12,548.9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12,548.9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-310.4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-1,466.7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-117.3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-543.1</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154.3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847.5</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-40.7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-124.3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-356.9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-524.6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-606.1</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-2,917.6</w:t>
            </w:r>
          </w:p>
        </w:tc>
      </w:tr>
    </w:tbl>
    <w:p>
      <w:pPr>
        <w:spacing w:after="120"/>
      </w:pPr>
    </w:p>
    <w:p>
      <w:pPr>
        <w:spacing w:before="160"/>
        <w:jc w:val="center"/>
      </w:pPr>
      <w:r>
        <w:drawing>
          <wp:inline distT="0" distB="0" distL="0" distR="0">
            <wp:extent cx="5943600" cy="3448050"/>
            <wp:effectExtent t="0" r="0" b="0" l="0"/>
            <wp:docPr id="1" name="Figure 14 — AI 2027 — Fast takeoff: federal deficit fan." descr="Figure 14 — AI 2027 — Fast takeoff: federal deficit fan." title="Figure 14 — AI 2027 — Fast takeoff: federal deficit f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48050"/>
                    </a:xfrm>
                    <a:prstGeom prst="rect">
                      <a:avLst/>
                    </a:prstGeom>
                  </pic:spPr>
                </pic:pic>
              </a:graphicData>
            </a:graphic>
          </wp:inline>
        </w:drawing>
      </w:r>
    </w:p>
    <w:p>
      <w:pPr>
        <w:pStyle w:val="Caption"/>
        <w:spacing w:after="160"/>
        <w:jc w:val="center"/>
      </w:pPr>
      <w:r>
        <w:t xml:space="preserve">Figure 14 — AI 2027 — Fast takeoff: federal deficit fan.</w:t>
      </w:r>
    </w:p>
    <w:p>
      <w:pPr>
        <w:spacing w:before="160"/>
        <w:jc w:val="center"/>
      </w:pPr>
      <w:r>
        <w:drawing>
          <wp:inline distT="0" distB="0" distL="0" distR="0">
            <wp:extent cx="5943600" cy="3962400"/>
            <wp:effectExtent t="0" r="0" b="0" l="0"/>
            <wp:docPr id="1" name="Figure 15 — AI 2027 — Fast takeoff: deficit tornado." descr="Figure 15 — AI 2027 — Fast takeoff: deficit tornado." title="Figure 15 — AI 2027 — Fast takeoff: deficit tor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62400"/>
                    </a:xfrm>
                    <a:prstGeom prst="rect">
                      <a:avLst/>
                    </a:prstGeom>
                  </pic:spPr>
                </pic:pic>
              </a:graphicData>
            </a:graphic>
          </wp:inline>
        </w:drawing>
      </w:r>
    </w:p>
    <w:p>
      <w:pPr>
        <w:pStyle w:val="Caption"/>
        <w:spacing w:after="160"/>
        <w:jc w:val="center"/>
      </w:pPr>
      <w:r>
        <w:t xml:space="preserve">Figure 15 — AI 2027 — Fast takeoff: deficit tornado.</w:t>
      </w:r>
    </w:p>
    <w:p>
      <w:pPr>
        <w:pStyle w:val="Heading2"/>
      </w:pPr>
      <w:r>
        <w:t xml:space="preserve">7.8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appears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world)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9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 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 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 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+59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-12,615 (-771%)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 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-16,890 (-381%)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 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+360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+680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-21,148 (-78%)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+3,748 (14%)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 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+348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+658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-11,620 (-58%)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+3,625 (18%)</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 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+562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-8,877 (-78%)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+3,096 (27%)</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1895475"/>
            <wp:effectExtent t="0" r="0" b="0" l="0"/>
            <wp:docPr id="1" name="Figure 16 — Reprise: the scenario space the overlays operate" descr="Figure 16 — Reprise: the scenario space the overlays operate in. No overlay moves a scenario across the bands separating the modest, grinding, and AGI worlds." title="Figure 16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95475"/>
                    </a:xfrm>
                    <a:prstGeom prst="rect">
                      <a:avLst/>
                    </a:prstGeom>
                  </pic:spPr>
                </pic:pic>
              </a:graphicData>
            </a:graphic>
          </wp:inline>
        </w:drawing>
      </w:r>
    </w:p>
    <w:p>
      <w:pPr>
        <w:pStyle w:val="Caption"/>
        <w:spacing w:after="160"/>
        <w:jc w:val="center"/>
      </w:pPr>
      <w:r>
        <w:t xml:space="preserve">Figure 16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10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-0.46%</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-0.73%</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-1.35%</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-1.96%</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-2.42%</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-3.36%</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3.7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-7.8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4.6)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⑤⑥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seven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Latin-hypercube global sensitivity screening on top of the local Monte Carlo;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seven scenarios, as shipped</w:t>
      </w:r>
    </w:p>
    <w:p>
      <w:pPr>
        <w:spacing w:after="120"/>
      </w:pPr>
      <w:r>
        <w:rPr>
          <w:b w:val="false"/>
          <w:bCs w:val="false"/>
          <w:i w:val="false"/>
          <w:iCs w:val="false"/>
        </w:rPr>
        <w:t xml:space="preserve">Values not shown inherit the shipped defaults. All presets run the service-floor reabsorption engine; the AGI-5y adoption path is kinked (full automation at year 5, flat thereafter). Two values are grid-snapped from their sources (Windfall lfp 0.033→0.03, capital ETR 0.267→0.27); provenance for every value is carried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Lever</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①Acemoglu</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②Brynjolfsson</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③Windfall</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④China-Shock</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⑤AGI-20y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⑥AGI-5y</w:t>
            </w:r>
          </w:p>
        </w:tc>
        <w:tc>
          <w:tcPr>
            <w:tcW w:type="dxa" w:w="16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⑦AI-2027</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cognitive / physical feasibility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robotics_lag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start→end</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.02→.23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horizon (years)</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 haircut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.50/.13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.05/.40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.10/.40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lfp_exit / attrition</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.10/.025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.05/.025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retained/price/survivor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.60/.35/.05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.55/.25/.20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.50/.50/.00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.80/.15/.05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.70/.20/.10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auto_cost / compute ETR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.10/.27</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.20/.05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.30/.05</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elasticity</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productivity / price passthrough</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.90/.50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demand multiplier</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1.20</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baseline growth / interest</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.08/.04</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cut share / hike cap</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.5/.5</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r>
      <w:tr>
        <w:trPr>
          <w:tblHeader w:val="false"/>
        </w:trPr>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automation_tax_rate</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6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r>
    </w:tbl>
    <w:p>
      <w:pPr>
        <w:spacing w:after="120"/>
      </w:pPr>
    </w:p>
    <w:p>
      <w:r>
        <w:br w:type="page"/>
      </w:r>
    </w:p>
    <w:p>
      <w:pPr>
        <w:pStyle w:val="Heading1"/>
      </w:pPr>
      <w:r>
        <w:t xml:space="preserve">Appendix C — Full fiscal summaries (all years)</w:t>
      </w:r>
    </w:p>
    <w:p>
      <w:pPr>
        <w:spacing w:after="120"/>
      </w:pPr>
      <w:r>
        <w:rPr>
          <w:b w:val="false"/>
          <w:bCs w:val="false"/>
          <w:i w:val="false"/>
          <w:iCs w:val="false"/>
        </w:rPr>
        <w:t xml:space="preserve">The condensed tables in Section 7 omit intermediate years and memo rows; these are complete. The channel-view decomposition (labour→capital / resident→non-resident / consumer surplus / spending) is shown for the Windfall comparator.</w:t>
      </w:r>
    </w:p>
    <w:p>
      <w:pPr>
        <w:pStyle w:val="Caption"/>
        <w:spacing w:after="60" w:before="160"/>
      </w:pPr>
      <w:r>
        <w:t xml:space="preserve">Table 11 — Acemoglu — Modest AI,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5,009.4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12 — Brynjolfsson — Augmentation,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42.4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400.2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189.8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5,000.9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5,012.6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5,025.2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5,038.5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1,760.8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13 — Windfall Trust — Medium,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-1,129.1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910.2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-198.6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-201.2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-1,635.8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4,912.0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2,041.0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1,829.6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558.8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14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-2,649.3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1,821.9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-128.2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1,018.1</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-272.8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-288.0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-295.6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-2,194.6</w:t>
            </w:r>
          </w:p>
        </w:tc>
      </w:tr>
    </w:tbl>
    <w:p>
      <w:pPr>
        <w:spacing w:after="120"/>
      </w:pPr>
    </w:p>
    <w:p>
      <w:pPr>
        <w:pStyle w:val="Caption"/>
        <w:spacing w:after="60" w:before="160"/>
      </w:pPr>
      <w:r>
        <w:t xml:space="preserve">Table 15 — China-Shock Grind,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632"/>
        <w:gridCol w:w="632"/>
        <w:gridCol w:w="632"/>
        <w:gridCol w:w="632"/>
        <w:gridCol w:w="632"/>
        <w:gridCol w:w="632"/>
        <w:gridCol w:w="632"/>
        <w:gridCol w:w="632"/>
        <w:gridCol w:w="632"/>
        <w:gridCol w:w="632"/>
        <w:gridCol w:w="632"/>
        <w:gridCol w:w="632"/>
        <w:gridCol w:w="632"/>
        <w:gridCol w:w="632"/>
        <w:gridCol w:w="632"/>
        <w:gridCol w:w="62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63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62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-162.6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-231.9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-1,778.0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-144.3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-1,747.2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-115.9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-159.8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-251.7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-277.3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-304.2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-332.3</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-2,425.6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960.3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102.7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188.2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212.4</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264.3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292.1</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2,008.9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-241.1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-282.3</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-324.8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-369.1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-415.5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-464.1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-515.1</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-568.5</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-624.3</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-4,434.5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4,976.5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4,957.9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4,938.0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4,866.9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4,844.5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4,823.0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4,801.3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4,755.5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4,650.5</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4,650.5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1,880.6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1,913.3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2,202.1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2,248.5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2,297.1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2,348.1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2,401.5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2,457.3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919.8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1,591.3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2,008.1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3,022.5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3,628.3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5,059.2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5,059.2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-57.7</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-442.8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-38.6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-55.2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-70.8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-78.9</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-87.2</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-95.7</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-104.6</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-113.8</w:t>
            </w:r>
          </w:p>
        </w:tc>
        <w:tc>
          <w:tcPr>
            <w:tcW w:type="dxa" w:w="63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-123.3</w:t>
            </w:r>
          </w:p>
        </w:tc>
        <w:tc>
          <w:tcPr>
            <w:tcW w:type="dxa" w:w="62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-947.0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947.0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78.9</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87.2</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95.7</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104.6</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113.8</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123.3</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947.0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3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62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16 — Korinek–Suh AGI-20y,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10</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11</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12</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13</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14</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15</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16</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17</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18</w:t>
            </w:r>
          </w:p>
        </w:tc>
        <w:tc>
          <w:tcPr>
            <w:tcW w:type="dxa" w:w="48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19</w:t>
            </w:r>
          </w:p>
        </w:tc>
        <w:tc>
          <w:tcPr>
            <w:tcW w:type="dxa" w:w="48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-1,179.6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-1,127.1</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-14,186.8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-986.5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-1,086.5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-13,886.5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1,571.6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16,799.2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-248.2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-2,518.5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110.3</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-338.4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-563.2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-661.5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-747.3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-818.8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-874.5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-913.1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-937.4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-931.0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-909.6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-875.2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-800.0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-761.8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-456.8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-507.3</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-12,733.4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552.4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64.7</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1,103.0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485.3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757.3</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5,909.4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262.1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331.6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489.5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577.2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670.3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768.5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837.9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923.5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1,008.1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1,092.5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1,176.6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1,256.1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1,300.9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1,236.5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1,374.3</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14,211.8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-82.2</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-363.8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-537.6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-716.5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-894.8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-1,069.1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-1,236.8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-1,396.0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-1,544.9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-1,681.7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-1,775.3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-1,854.6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-1,917.7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-1,967.8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-2,056.1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-2,062.7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-1,693.3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-1,881.6</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-26,945.3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4,959.9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4,644.4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4,528.4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4,419.6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4,321.3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4,235.5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4,164.0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4,045.4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4,051.8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4,182.8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4,221.0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4,475.5</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4,475.5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2,038.9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2,196.8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2,549.5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2,727.8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3,069.8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3,229.0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3,750.7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3,800.8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3,895.7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3,526.3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3,714.6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3,714.6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4,159.6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5,562.8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7,181.3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9,013.4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13,273.2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15,658.7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18,202.7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20,898.6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23,741.4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26,747.1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29,879.7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32,768.2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35,960.6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35,960.6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-222.0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-275.4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-1,322.4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-317.0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170.1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2,056.9</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-270.0</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-313.4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-355.8</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-396.9</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-436.6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-467.1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-491.3</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-512.5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-531.4</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-548.6</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-567.7</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-573.5</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-489.1</w:t>
            </w:r>
          </w:p>
        </w:tc>
        <w:tc>
          <w:tcPr>
            <w:tcW w:type="dxa" w:w="48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-532.8</w:t>
            </w:r>
          </w:p>
        </w:tc>
        <w:tc>
          <w:tcPr>
            <w:tcW w:type="dxa" w:w="48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-7,201.5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270.0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396.9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436.6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467.1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512.5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531.4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567.7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489.1</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532.8</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7,201.5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135.0</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177.9</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218.3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233.5</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256.2</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265.7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274.3</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283.8</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286.7</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244.6</w:t>
            </w:r>
          </w:p>
        </w:tc>
        <w:tc>
          <w:tcPr>
            <w:tcW w:type="dxa" w:w="48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266.4</w:t>
            </w:r>
          </w:p>
        </w:tc>
        <w:tc>
          <w:tcPr>
            <w:tcW w:type="dxa" w:w="48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3,600.7</w:t>
            </w:r>
          </w:p>
        </w:tc>
      </w:tr>
    </w:tbl>
    <w:p>
      <w:pPr>
        <w:spacing w:after="120"/>
      </w:pPr>
    </w:p>
    <w:p>
      <w:pPr>
        <w:pStyle w:val="Caption"/>
        <w:spacing w:after="60" w:before="160"/>
      </w:pPr>
      <w:r>
        <w:t xml:space="preserve">Table 17 — Korinek–Suh AGI-5y,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-1,364.8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-10,336.0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-10,244.7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1,318.2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1,404.1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11,469.7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823.8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115.8</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-880.3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-1,233.3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-1,338.8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-944.6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-680.8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-820.4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5,375.7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1,158.3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753.4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5,042.3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440.2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1,005.4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1,322.5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1,381.8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1,445.9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1,600.7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1,627.0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1,747.0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11,576.4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-340.3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-893.5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-1,649.1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-2,661.3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-2,568.1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-2,286.8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-2,545.3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-2,307.8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-2,567.4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-20,058.2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4,879.7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4,302.0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4,162.4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4,494.3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4,378.3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4,140.8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4,400.4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5,302.9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8,176.3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11,071.5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13,801.1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16,898.4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19,882.1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23,244.9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23,244.9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-970.7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181.1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1,550.2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-83.0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-226.3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-415.0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-693.9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-599.2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-655.5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-584.1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-627.5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-5,136.5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599.2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627.5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5,136.5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2,569.1</w:t>
            </w:r>
          </w:p>
        </w:tc>
      </w:tr>
    </w:tbl>
    <w:p>
      <w:pPr>
        <w:spacing w:after="120"/>
      </w:pPr>
    </w:p>
    <w:p>
      <w:pPr>
        <w:pStyle w:val="Caption"/>
        <w:spacing w:after="60" w:before="160"/>
      </w:pPr>
      <w:r>
        <w:t xml:space="preserve">Table 18 — AI 2027 — Fast takeoff, full fiscal summary ($B).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1123"/>
        <w:gridCol w:w="1123"/>
        <w:gridCol w:w="1123"/>
        <w:gridCol w:w="1123"/>
        <w:gridCol w:w="1123"/>
        <w:gridCol w:w="1123"/>
        <w:gridCol w:w="1123"/>
        <w:gridCol w:w="1123"/>
        <w:gridCol w:w="1125"/>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1123"/>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112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-459.7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-1,060.8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-1,209.9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-1,265.1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-5,928.6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-95.6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-877.2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-1,044.0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-1,184.5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-1,231.8</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-5,830.0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384.8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568.5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1,120.3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4,996.3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703.6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-476.9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69.7</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71.8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108.6</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-283.4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-582.2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-878.2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-1,094.0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-1,170.5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-1,147.4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-1,131.6</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-6,355.2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454.0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539.4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609.2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634.0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2,970.1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1,085.6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182.5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257.2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338.0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992.4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118.6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252.6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409.2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599.9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716.3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867.3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1,011.7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1,072.4</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5,048.0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-186.5</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-536.0</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-991.4</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-1,478.2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-1,810.3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-2,037.8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-2,159.1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-2,204.0</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-11,403.2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4,914.9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4,699.4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4,400.6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4,104.6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3,888.8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3,812.3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3,835.4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3,851.2</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3,851.2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2,019.5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2,369.0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2,824.4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3,311.2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3,643.3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3,870.8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3,992.1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4,037.0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4,037.0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186.5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729.9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1,750.5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3,298.7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5,240.9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7,488.3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9,947.0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12,548.9</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12,548.9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5.5</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-172.3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-310.4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-1,466.7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-117.3</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-543.1</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100.6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173.4</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179.4</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847.5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-40.7</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-124.3</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-235.2</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-356.9</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-453.8</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-524.6</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-576.1</w:t>
            </w:r>
          </w:p>
        </w:tc>
        <w:tc>
          <w:tcPr>
            <w:tcW w:type="dxa" w:w="1123"/>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-606.1</w:t>
            </w:r>
          </w:p>
        </w:tc>
        <w:tc>
          <w:tcPr>
            <w:tcW w:type="dxa" w:w="1125"/>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-2,917.6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453.8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40.7</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124.3</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235.2</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356.9</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453.8</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524.6</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576.1</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606.1</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2,917.6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3"/>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112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6a01216 · 2026-07-07 22:05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6a01216 · 2026-07-07 22:05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6a01216 · 2026-07-07 22:05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07684f4fe1c30fd9f77f0fcddc5c2eb2964aa0a9.png"/><Relationship Id="rId11" Type="http://schemas.openxmlformats.org/officeDocument/2006/relationships/image" Target="media/863013f2964b7fa6ba3c0e519dea3d24ed1155ef.png"/><Relationship Id="rId12" Type="http://schemas.openxmlformats.org/officeDocument/2006/relationships/image" Target="media/8dfe0175c0c41ef784a1abab3854b74a3df73134.png"/><Relationship Id="rId13" Type="http://schemas.openxmlformats.org/officeDocument/2006/relationships/image" Target="media/2184e083a2d9015f16e9139e68720c56c85312a6.png"/><Relationship Id="rId14" Type="http://schemas.openxmlformats.org/officeDocument/2006/relationships/image" Target="media/430d7a99e2d281d235adc5c95bdc1c47b2e16401.png"/><Relationship Id="rId15" Type="http://schemas.openxmlformats.org/officeDocument/2006/relationships/image" Target="media/05b958cc994502f51c1bfc9ccdb3b8451bc1a9b1.png"/><Relationship Id="rId16" Type="http://schemas.openxmlformats.org/officeDocument/2006/relationships/image" Target="media/0696651becae01272d5fc1705fe7dad839028aad.png"/><Relationship Id="rId17" Type="http://schemas.openxmlformats.org/officeDocument/2006/relationships/image" Target="media/0007d7b18203236a25d3faa1419e16aaca89b931.png"/><Relationship Id="rId18" Type="http://schemas.openxmlformats.org/officeDocument/2006/relationships/image" Target="media/8114899910da81dc2409e8c293bcbda632560e86.png"/><Relationship Id="rId19" Type="http://schemas.openxmlformats.org/officeDocument/2006/relationships/image" Target="media/326aaf5047a6cd93d81c324ccfc4c1c69a733bca.png"/><Relationship Id="rId20" Type="http://schemas.openxmlformats.org/officeDocument/2006/relationships/image" Target="media/3424e75b5b5569eeab602e1e1d75ab451171bfe4.png"/><Relationship Id="rId21" Type="http://schemas.openxmlformats.org/officeDocument/2006/relationships/image" Target="media/2e10df1b9a0b752d1203af5cc94b79ebabfdd1aa.png"/><Relationship Id="rId22" Type="http://schemas.openxmlformats.org/officeDocument/2006/relationships/image" Target="media/86bf807a3cb93c6aeac3fe6268f59cc1c48602fb.png"/><Relationship Id="rId23" Type="http://schemas.openxmlformats.org/officeDocument/2006/relationships/image" Target="media/2c89f150f16ea2d85eb51ef4582255b62b0cee27.png"/><Relationship Id="rId24" Type="http://schemas.openxmlformats.org/officeDocument/2006/relationships/image" Target="media/486418e43235d07bba2866382a7abe254d5916f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2026-07-08T05:14:55.326Z</dcterms:created>
  <dcterms:modified xsi:type="dcterms:W3CDTF">2026-07-08T05:14:55.330Z</dcterms:modified>
</cp:coreProperties>
</file>

<file path=docProps/custom.xml><?xml version="1.0" encoding="utf-8"?>
<Properties xmlns="http://schemas.openxmlformats.org/officeDocument/2006/custom-properties" xmlns:vt="http://schemas.openxmlformats.org/officeDocument/2006/docPropsVTypes"/>
</file>