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Fiscal Consequences of AI Automation</w:t>
      </w:r>
    </w:p>
    <w:p>
      <w:pPr>
        <w:spacing w:after="120"/>
      </w:pPr>
      <w:r>
        <w:rPr>
          <w:b w:val="false"/>
          <w:bCs w:val="false"/>
          <w:i w:val="false"/>
          <w:iCs w:val="false"/>
        </w:rPr>
        <w:t xml:space="preserve">A multi-actor accounting model of United States federal and state revenue under labor-displacing artificial intelligence: data, equations, and findings across twelve literature-anchored scenarios.</w:t>
      </w:r>
    </w:p>
    <w:p>
      <w:pPr>
        <w:pBdr>
          <w:left w:val="single" w:color="9BB7D4" w:sz="12" w:space="8"/>
        </w:pBdr>
        <w:spacing w:after="120"/>
        <w:ind w:left="540"/>
      </w:pPr>
      <w:r>
        <w:rPr>
          <w:b/>
          <w:bCs/>
          <w:i w:val="false"/>
          <w:iCs w:val="false"/>
          <w:sz w:val="21"/>
          <w:szCs w:val="21"/>
        </w:rPr>
        <w:t xml:space="preserve">Abstract.</w:t>
      </w:r>
      <w:r>
        <w:rPr>
          <w:b w:val="false"/>
          <w:bCs w:val="false"/>
          <w:i w:val="false"/>
          <w:iCs w:val="false"/>
          <w:sz w:val="21"/>
          <w:szCs w:val="21"/>
        </w:rPr>
        <w:t xml:space="preserve"> This is a bottom-up accounting model of what AI-driven labor displacement does to United States public finances. Displacement is priced one occupation-by-state cell at a time across roughly 33,000 cells, with exact re-evaluation of federal and state income-tax schedules, payroll tax under the OASDI cap, means-tested transfer cliffs integrated over within-cell wage distributions, and two unemployment-insurance phases. Those per-worker fiscal deltas drive a dynamic multi-actor system: a seven-state worker stock-flow machine; a firm disposition router that allocates the saved wage bill to retained profit, price reductions, survivor raises, and automation spending; a compute-capital pool taxed at capital rates; a shareholder channel that prices the equity claim the undistributed remainder capitalizes and taxes it only as measured realization draws it down; a federal debt ledger; a fifty-one-state balanced-budget closure; and a lagged demand channel converting standing income withdrawal into induced layoffs.  Correctness is enforced two ways. Nine conservation identities are asserted on every period of every run, including every Monte Carlo draw reported here, so workers and dollars cannot multiply or vanish. With all behavioral levers at their off values, the dynamic system reproduces the static kernel bit for bit.  The model is run through twelve scenarios anchored lever by lever to published forecasts, from Acemoglu's deliberately modest bounds to a five-year transition to artificial general intelligence, each with Monte Carlo uncertainty bands, and through four composable policy overlays. Three results organize the findings. The tax base migrates from labor to capital faster than output falls, as every destination of the saved wage bill is taxed below the 25 to 40 percent combined marginal wedge on the wages it replaces. Revenue falls faster than employment, as exposure concentrates in above-median-wage occupations and progressive schedules do the rest. And state balanced-budget rules act as an asymmetric amplifier, with rate increases running to their feasibility caps before forced spending cuts absorb the remainder, both of which withdraw demand from an economy already shedding jobs. Robot taxes at the rates the optimal-taxation literature recommends recover only a small share of the fiscal gap in every scenario where the gap is large.  All numbers are generated by a seeded, reproducible pipeline. The build stamp appears in the footer.</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and summary of findings</w:t>
      </w:r>
    </w:p>
    <w:p>
      <w:pPr>
        <w:spacing w:after="120"/>
      </w:pPr>
      <w:r>
        <w:rPr>
          <w:b w:val="false"/>
          <w:bCs w:val="false"/>
          <w:i w:val="false"/>
          <w:iCs w:val="false"/>
        </w:rPr>
        <w:t xml:space="preserve">The useful question is not what AI will do to the economy, as that question is too large to answer and too vague to test. It is narrower and more concrete: if AI automates some share of the work Americans currently do, what happens to the public finances that depend on that work being done by taxed humans? The United States raises roughly $4,983 billion of federal revenue and $3,515 billion of state and local revenue against a $15.0 trillion compensation base, and eighty-four percent of federal receipts come from individual income and payroll taxes, which are taxes on people being employed. When a job is automated the wage leaves that base, but the value the job produced does not leave with it. It re-emerges as corporate profit, as lower prices, or as capital income, each taxed at a different and usually lower effective rate, and sometimes at no rate at all. The fiscal question is therefore an accounting question about base migration, which is why this model is built as an accounting machine first: every dollar of displaced compensation is tracked to a destination, every destination has a tax treatment, and the books are forced to balance by construction.</w:t>
      </w:r>
    </w:p>
    <w:p>
      <w:pPr>
        <w:spacing w:after="120"/>
      </w:pPr>
      <w:r>
        <w:rPr>
          <w:b w:val="false"/>
          <w:bCs w:val="false"/>
          <w:i w:val="false"/>
          <w:iCs w:val="false"/>
        </w:rPr>
        <w:t xml:space="preserve">Three theses organize everything that follows. The first is that </w:t>
      </w:r>
      <w:r>
        <w:rPr>
          <w:b/>
          <w:bCs/>
          <w:i w:val="false"/>
          <w:iCs w:val="false"/>
        </w:rPr>
        <w:t xml:space="preserve">the tax base migrates from labor to capital</w:t>
      </w:r>
      <w:r>
        <w:rPr>
          <w:b w:val="false"/>
          <w:bCs w:val="false"/>
          <w:i w:val="false"/>
          <w:iCs w:val="false"/>
        </w:rPr>
        <w:t xml:space="preserve">. The saved wage bill flows to retained profit, taxed at effective corporate rates near 17 to 18 percent; to price reductions, taxed at roughly 2 percent through state consumption taxes and not at all federally; to compute capital, taxed at an effective rate near 5 percent post-TCJA; and, for the undistributed remainder that capitalizes into equity value, to shareholders, who are reached at a fraction of a cent per dollar per year once the taxable-holder share and measured realization rates are applied. Every one of those destinations yields the government less than the 25 to 40 percent combined marginal wedge on the wages they replace. The second is that </w:t>
      </w:r>
      <w:r>
        <w:rPr>
          <w:b/>
          <w:bCs/>
          <w:i w:val="false"/>
          <w:iCs w:val="false"/>
        </w:rPr>
        <w:t xml:space="preserve">revenue falls faster than employment</w:t>
      </w:r>
      <w:r>
        <w:rPr>
          <w:b w:val="false"/>
          <w:bCs w:val="false"/>
          <w:i w:val="false"/>
          <w:iCs w:val="false"/>
        </w:rPr>
        <w:t xml:space="preserve">, as displacement is not uniform: AI exposure concentrates in above-median-wage occupations, so the workers displaced first carry more than their per-capita share of income tax, and progressive rate schedules do the rest. The third is that </w:t>
      </w:r>
      <w:r>
        <w:rPr>
          <w:b/>
          <w:bCs/>
          <w:i w:val="false"/>
          <w:iCs w:val="false"/>
        </w:rPr>
        <w:t xml:space="preserve">the states are the asymmetric amplifier</w:t>
      </w:r>
      <w:r>
        <w:rPr>
          <w:b w:val="false"/>
          <w:bCs w:val="false"/>
          <w:i w:val="false"/>
          <w:iCs w:val="false"/>
        </w:rPr>
        <w:t xml:space="preserve">. The federal government meets lost revenue with deficits and the states cannot, as nearly all of them must close their gaps within the year by raising rates on a shrinking base or cutting spending, and both responses withdraw demand from the same economy that is shedding jobs, which feeds back into further displacement.</w:t>
      </w:r>
    </w:p>
    <w:p>
      <w:pPr>
        <w:pStyle w:val="Heading2"/>
      </w:pPr>
      <w:r>
        <w:t xml:space="preserve">1.1 The model is an accounting machine first</w:t>
      </w:r>
    </w:p>
    <w:p>
      <w:pPr>
        <w:spacing w:after="120"/>
      </w:pPr>
      <w:r>
        <w:rPr>
          <w:b w:val="false"/>
          <w:bCs w:val="false"/>
          <w:i w:val="false"/>
          <w:iCs w:val="false"/>
        </w:rPr>
        <w:t xml:space="preserve">The model is a two-layer system. The static kernel computes, for each of roughly 33,000 occupation-by-state cells, the exact fiscal delta of removing one worker: federal and state income tax from hand-rolled bracket schedules, payroll tax with the OASDI cap, means-tested transfers (Medicaid, SNAP, EITC, CTC, ACA, SSI, TANF) from an offline PolicyEngine bake integrated over the within-cell wage distribution, a consumption-tax channel, and a corporate offset. The dynamic layer turns those deltas into a multi-actor simulation: a seven-state worker stock-flow machine, a firm disposition router, a compute-capital pool, survivor wage dynamics, a shareholder channel that prices the undistributed corporate earnings the surplus capitalizes, a price and productivity macro block, the federal debt ledger, a fifty-one-state balanced-budget closure, and a lagged demand feedback. Section 4 walks the within-period sequence and Appendix A carries the full equation reference.</w:t>
      </w:r>
    </w:p>
    <w:p>
      <w:pPr>
        <w:spacing w:after="120"/>
      </w:pPr>
      <w:r>
        <w:rPr>
          <w:b w:val="false"/>
          <w:bCs w:val="false"/>
          <w:i w:val="false"/>
          <w:iCs w:val="false"/>
        </w:rPr>
        <w:t xml:space="preserve">Two design disciplines distinguish the exercise. The first is conservation. Nine identities are asserted on every period of every run, including every Monte Carlo draw sampled for this report: worker headcounts partition the baseline, the disposition of the saved bill sums exactly, the federal deficit reconciles to its labeled components, state gaps close to numerical residual zero, and so on. A run that violates any of them raises rather than reporting a number. The second is reduction. With every behavioral lever switched off, the dynamic system reproduces the static kernel bit for bit, so every result in this document can be traced back to a base case that is small enough to check by hand. Section 5 states the identities precisely.</w:t>
      </w:r>
    </w:p>
    <w:p>
      <w:pPr>
        <w:pStyle w:val="Heading2"/>
      </w:pPr>
      <w:r>
        <w:t xml:space="preserve">1.2 What the model deliberately leaves out</w:t>
      </w:r>
    </w:p>
    <w:p>
      <w:pPr>
        <w:spacing w:after="120"/>
      </w:pPr>
      <w:r>
        <w:rPr>
          <w:b w:val="false"/>
          <w:bCs w:val="false"/>
          <w:i w:val="false"/>
          <w:iCs w:val="false"/>
        </w:rPr>
        <w:t xml:space="preserve">It is not a general-equilibrium forecast. There is no monetary policy block, no endogenous interest rate, no behavioral response of automation investment to taxation, and no representation of within-job augmentation, meaning a worker made more productive but not displaced. Prices deflate reported real aggregates but are never injected into nominal tax computations.</w:t>
      </w:r>
    </w:p>
    <w:p>
      <w:pPr>
        <w:spacing w:after="120"/>
      </w:pPr>
      <w:r>
        <w:rPr>
          <w:b w:val="false"/>
          <w:bCs w:val="false"/>
          <w:i w:val="false"/>
          <w:iCs w:val="false"/>
        </w:rPr>
        <w:t xml:space="preserve">Two of these omissions are large enough to name here rather than leave to Section 10. Capital income does not spend: retained profit reaches the economy only through corporate tax, as there is no shareholder-consumption or investment channel, and the latter is likely a significant source of growth. And there is no task creation, as displaced workers re-enter only through a fixed re-employment rate into a finite set of low-exposure occupations, so automation never endogenously creates new kinds of work. Both decisions are deliberate. The history of automation says offsets eventually arrive, but the question here is what the fiscal path looks like if they arrive late or never, because fiscal authorities have to be able to respond to that world too. The numbers should be read as a world with no offsets. Section 10 lists every known simplification with its direction of bias, and the external validations in Section 9 quantify how far these choices move the results against models that made the opposite ones.</w:t>
      </w:r>
    </w:p>
    <w:p>
      <w:pPr>
        <w:pStyle w:val="Heading2"/>
      </w:pPr>
      <w:r>
        <w:t xml:space="preserve">1.3 The range is the finding</w:t>
      </w:r>
    </w:p>
    <w:p>
      <w:pPr>
        <w:spacing w:after="120"/>
      </w:pPr>
      <w:r>
        <w:rPr>
          <w:b w:val="false"/>
          <w:bCs w:val="false"/>
          <w:i w:val="false"/>
          <w:iCs w:val="false"/>
        </w:rPr>
        <w:t xml:space="preserve">Rather than defend one forecast, the model ships twelve scenario presets, each anchored lever by lever to a specific literature, and Section 7 introduces each where its results are reported: Acemoglu's deliberately modest bounds; an augmentation-leaning reading of the Brynjolfsson micro-evidence; the Windfall Trust's medium displacement scenario, which is the closest external comparator this model has; a China-shock grind that pairs a moderate shock with the slow, scarring labor-market adjustment Autor, Dorn, and Hanson actually measured; Korinek and Suh's twenty-year and five-year AGI transitions; the AI Futures Project's fast takeoff and the two branches of their managed-versus-race successor scenario; the rapid branch of an NBER expert elicitation at its own 14 percent probability; a forecasting crowd's 2035 median; and OpenAI's own map of displacement pressure. Government policy composes separately as overlays, namely two robot taxes at literature-optimal rates, a universal basic income with recapture, and compute-pool tax parity, so that each scenario answers what the world does to the budget while each overlay answers what policy recovers.</w:t>
      </w:r>
    </w:p>
    <w:p>
      <w:pPr>
        <w:pStyle w:val="Caption"/>
        <w:spacing w:after="60" w:before="160"/>
      </w:pPr>
      <w:r>
        <w:t xml:space="preserve">Table 1 — Cross-scenario comparison: final-year outcomes with Monte Carlo P10–P90 bands (N=1000, seed 0). Net fiscal impact is the signed change in the federal balance (negative = worse); the band applies to the final-year federal deficit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655"/>
        <w:gridCol w:w="1030"/>
        <w:gridCol w:w="1310"/>
        <w:gridCol w:w="936"/>
        <w:gridCol w:w="936"/>
        <w:gridCol w:w="936"/>
        <w:gridCol w:w="1498"/>
      </w:tblGrid>
      <w:tr>
        <w:trPr>
          <w:tblHeader/>
        </w:trPr>
        <w:tc>
          <w:tcPr>
            <w:tcW w:type="dxa" w:w="205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18"/>
                <w:szCs w:val="18"/>
              </w:rPr>
              <w:t xml:space="preserve">Preset</w:t>
            </w:r>
          </w:p>
        </w:tc>
        <w:tc>
          <w:tcPr>
            <w:tcW w:type="dxa" w:w="655"/>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Horizon</w:t>
            </w:r>
          </w:p>
        </w:tc>
        <w:tc>
          <w:tcPr>
            <w:tcW w:type="dxa" w:w="103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Employment</w:t>
            </w:r>
          </w:p>
        </w:tc>
        <w:tc>
          <w:tcPr>
            <w:tcW w:type="dxa" w:w="131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Net fiscal (final yr)</w:t>
            </w:r>
          </w:p>
        </w:tc>
        <w:tc>
          <w:tcPr>
            <w:tcW w:type="dxa" w:w="936"/>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Deficit %GDP</w:t>
            </w:r>
          </w:p>
        </w:tc>
        <w:tc>
          <w:tcPr>
            <w:tcW w:type="dxa" w:w="936"/>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Debt Δ</w:t>
            </w:r>
          </w:p>
        </w:tc>
        <w:tc>
          <w:tcPr>
            <w:tcW w:type="dxa" w:w="936"/>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State gap</w:t>
            </w:r>
          </w:p>
        </w:tc>
        <w:tc>
          <w:tcPr>
            <w:tcW w:type="dxa" w:w="1498"/>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Final deficit P10–P90</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Acemoglu — Modest AI</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4.4%</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28</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 … -4</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Brynjolfsson — Augmentation</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+73</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3.9%</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-219</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-96 … -53</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Windfall Trust — Medium</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−21%</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-219</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4.8%</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1,858</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91</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145 … 291</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Autor et al. — China-shock dynamics</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−19%</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-628</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5.1%</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5,063</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124</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377 … 812</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Korinek-Suh — AGI in 20 years</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−100%</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-2,284</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3.0%</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38,227</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605</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1,904 … 2,483</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Korinek-Suh — AGI in 5 years</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−100%</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-3,091</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5.3%</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25,961</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684</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2,755 … 3,369</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AI 2027 — Fast takeoff</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8y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−100%</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-2,415</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5.3%</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15,786</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661</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1,988 … 2,552</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AI 2040 — Plan A (The Deal)</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14y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−100%</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-2,318</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3.3%</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18,198</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588</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1,268 … 2,343</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AI 2040 — Plan D (The Race)</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−100%</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-2,859</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4.9%</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13,724</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738</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2,652 … 3,097</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Karger et al. — Expert survey, rapid (P≈14%)</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+16</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3.8%</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111</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-33 … 3</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Metaculus — Crowd median, 2035</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+69</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4.1%</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-152</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8</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-91 … -46</w:t>
            </w:r>
          </w:p>
        </w:tc>
      </w:tr>
      <w:tr>
        <w:trPr>
          <w:tblHeader w:val="false"/>
        </w:trPr>
        <w:tc>
          <w:tcPr>
            <w:tcW w:type="dxa" w:w="205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OpenAI — Jobs transition framework</w:t>
            </w:r>
          </w:p>
        </w:tc>
        <w:tc>
          <w:tcPr>
            <w:tcW w:type="dxa" w:w="65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10y</w:t>
            </w:r>
          </w:p>
        </w:tc>
        <w:tc>
          <w:tcPr>
            <w:tcW w:type="dxa" w:w="103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w:t>
            </w:r>
          </w:p>
        </w:tc>
        <w:tc>
          <w:tcPr>
            <w:tcW w:type="dxa" w:w="131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+114</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4.0%</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-225</w:t>
            </w:r>
          </w:p>
        </w:tc>
        <w:tc>
          <w:tcPr>
            <w:tcW w:type="dxa" w:w="936"/>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w:t>
            </w:r>
          </w:p>
        </w:tc>
        <w:tc>
          <w:tcPr>
            <w:tcW w:type="dxa" w:w="149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-148 … -82</w:t>
            </w:r>
          </w:p>
        </w:tc>
      </w:tr>
    </w:tbl>
    <w:p>
      <w:pPr>
        <w:spacing w:after="120"/>
      </w:pPr>
    </w:p>
    <w:p>
      <w:pPr>
        <w:spacing w:before="160"/>
        <w:jc w:val="center"/>
      </w:pPr>
      <w:r>
        <w:drawing>
          <wp:inline distT="0" distB="0" distL="0" distR="0">
            <wp:extent cx="5943600" cy="2914650"/>
            <wp:effectExtent t="0" r="0" b="0" l="0"/>
            <wp:docPr id="1" name="Figure 1 — Final-year federal deficit change by scenario: P1" descr="Figure 1 — Final-year federal deficit change by scenario: P10–P90 range (rule) and median (dot) across 1000 Monte Carlo draws per scenario." title="Figure 1 — Final-year federal deficit change by scenario: P10–P90 range (rule) and median (dot) across 1000 Monte Carlo draws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14650"/>
                    </a:xfrm>
                    <a:prstGeom prst="rect">
                      <a:avLst/>
                    </a:prstGeom>
                  </pic:spPr>
                </pic:pic>
              </a:graphicData>
            </a:graphic>
          </wp:inline>
        </w:drawing>
      </w:r>
    </w:p>
    <w:p>
      <w:pPr>
        <w:pStyle w:val="Caption"/>
        <w:spacing w:after="160"/>
        <w:jc w:val="center"/>
      </w:pPr>
      <w:r>
        <w:t xml:space="preserve">Figure 1 — Final-year federal deficit change by scenario: P10–P90 range (rule) and median (dot) across 1000 Monte Carlo draws per scenario.</w:t>
      </w:r>
    </w:p>
    <w:p>
      <w:pPr>
        <w:spacing w:after="120"/>
      </w:pPr>
      <w:r>
        <w:rPr>
          <w:b w:val="false"/>
          <w:bCs w:val="false"/>
          <w:i w:val="false"/>
          <w:iCs w:val="false"/>
        </w:rPr>
        <w:t xml:space="preserve">The range is the finding, and it is wide enough that any single headline number taken from this document without its scenario label is being misused. A world that stays inside Acemoglu's bounds is fiscally almost invisible, as the deficit change turns negative by the end of the decade, a small improvement, once capital-side recoveries outgrow modest labor losses. A world in which the Korinek–Suh five-year transition happens is a fiscal regime change: employment falls 100 percent, the federal deficit widens by $3,091 billion in the final year alone, and cumulative new federal debt reaches $25,961 billion inside ten years.</w:t>
      </w:r>
    </w:p>
    <w:p>
      <w:pPr>
        <w:spacing w:after="120"/>
      </w:pPr>
      <w:r>
        <w:rPr>
          <w:b w:val="false"/>
          <w:bCs w:val="false"/>
          <w:i w:val="false"/>
          <w:iCs w:val="false"/>
        </w:rPr>
        <w:t xml:space="preserve">What separates those poles is the more useful result. Between them, the scenarios differ not mainly in how much work is automated but in what the labor market and the firms do with it, as reabsorption rates, wage scarring, and the disposition of the saved wage bill move the fiscal outcome as much as the displacement share does. This matters for policy in a way the headline range does not, since the displacement share is largely not a policy variable while the disposition of the saved bill largely is. The Monte Carlo tornados in Section 7 make that attribution precise, and the policy analysis in Section 8 shows that the taxes the optimal-taxation literature actually recommends recover only a small fraction of the gap in every scenario where the gap is large.</w:t>
      </w:r>
    </w:p>
    <w:p>
      <w:pPr>
        <w:pStyle w:val="Heading2"/>
      </w:pPr>
      <w:r>
        <w:t xml:space="preserve">1.4 How to read this document</w:t>
      </w:r>
    </w:p>
    <w:p>
      <w:pPr>
        <w:spacing w:after="120"/>
      </w:pPr>
      <w:r>
        <w:rPr>
          <w:b w:val="false"/>
          <w:bCs w:val="false"/>
          <w:i w:val="false"/>
          <w:iCs w:val="false"/>
        </w:rPr>
        <w:t xml:space="preserve">Sections 2 through 5 are the model: data, kernel, dynamics, and the correctness discipline. Section 6 is calibration. Sections 7 through 9 are results, covering the twelve scenarios, the policy overlays, and validation against external models (RAND, the Windfall Trust, Acemoglu). Section 10 is the honest-limitations table, and it is the section a skeptical reader should probably read second. Every model-derived number in the text, including those in this introduction, is resolved at build time from a manifest generated by a seeded pipeline (Appendix D), so the numbers cannot drift from the model without breaking the build.</w:t>
      </w:r>
    </w:p>
    <w:p>
      <w:r>
        <w:br w:type="page"/>
      </w:r>
    </w:p>
    <w:p>
      <w:pPr>
        <w:pStyle w:val="Heading1"/>
      </w:pPr>
      <w:r>
        <w:t xml:space="preserve">2. Data</w:t>
      </w:r>
    </w:p>
    <w:p>
      <w:pPr>
        <w:spacing w:after="120"/>
      </w:pPr>
      <w:r>
        <w:rPr>
          <w:b w:val="false"/>
          <w:bCs w:val="false"/>
          <w:i w:val="false"/>
          <w:iCs w:val="false"/>
        </w:rPr>
        <w:t xml:space="preserve">The model is anchored to the 2024 United States economy as the statistical agencies measured it. Every input file carries control totals that the loader asserts on every run, so a load that does not reconcile to the published aggregates fails before a single scenario is computed.</w:t>
      </w:r>
    </w:p>
    <w:p>
      <w:pPr>
        <w:pStyle w:val="Heading2"/>
      </w:pPr>
      <w:r>
        <w:t xml:space="preserve">2.1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18"/>
                <w:szCs w:val="18"/>
              </w:rPr>
              <w:t xml:space="preserve">Input</w:t>
            </w:r>
          </w:p>
        </w:tc>
        <w:tc>
          <w:tcPr>
            <w:tcW w:type="dxa" w:w="312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Source and vintage</w:t>
            </w:r>
          </w:p>
        </w:tc>
        <w:tc>
          <w:tcPr>
            <w:tcW w:type="dxa" w:w="312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Role</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Employment × industry matrix</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BLS OEWS 2024, interior aligned to BEA 2024 industry totals</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833 occupations × 71 industries; employment and compensation</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State wage distributions</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BLS OEWS May 2025</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51 jurisdictions × 822 occupations; mean wages and p10–p90 percentiles</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AI exposure</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Yale Budget Lab PCA</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standardized cognitive-exposure score per occupation</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Robot exposure</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Webb (2020) robot-patent measure</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physical-automation feasibility per occupation</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Capital income by sector</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BEA 2024 NIPA</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value added, capital share, corporate profits, effective corporate rates</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Government fiscal accounts</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BEA 2024 national accounts</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receipts by stream (federal and state-local), 17 transfer programs, base-linkage effective rates</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Consumption tax base</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state PCE and taxable-base analysis</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effective consumption tax rate per state</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Household archetypes</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ACS PUMS 2024 (WGTP-weighted)</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filing-status mix and household income by occupation × state; children distribution</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Tax schedules</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2025 federal / 2026 state brackets; FICA parameters</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the hand-rolled tax engine</w:t>
            </w:r>
          </w:p>
        </w:tc>
      </w:tr>
      <w:tr>
        <w:trPr>
          <w:tblHeader w:val="false"/>
        </w:trPr>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Benefit lookup</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PolicyEngine-US, baked offline</w:t>
            </w:r>
          </w:p>
        </w:tc>
        <w:tc>
          <w:tcPr>
            <w:tcW w:type="dxa" w:w="312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means-tested benefits as a function of (state, filing, children, income)</w:t>
            </w:r>
          </w:p>
        </w:tc>
      </w:tr>
    </w:tbl>
    <w:p>
      <w:pPr>
        <w:spacing w:after="120"/>
      </w:pPr>
    </w:p>
    <w:p>
      <w:pPr>
        <w:pStyle w:val="Heading2"/>
      </w:pPr>
      <w:r>
        <w:t xml:space="preserve">2.2 Control totals</w:t>
      </w:r>
    </w:p>
    <w:p>
      <w:pPr>
        <w:spacing w:after="120"/>
      </w:pPr>
      <w:r>
        <w:rPr>
          <w:b w:val="false"/>
          <w:bCs w:val="false"/>
          <w:i w:val="false"/>
          <w:iCs w:val="false"/>
        </w:rPr>
        <w:t xml:space="preserve">The loader asserts, among others: total employment 163.2 million; total compensation $15,049 billion; value added (GDP proxy) $29,298 billion; federal receipts $4,982.8 billion; state and local receipts $3,515.0 billion; Medicaid outlays $938.2 billion; corporate profits before tax $3,722 billion. The baseline federal deficit is anchored at $1,833 billion. These are the denominators for every percentage in this report.</w:t>
      </w:r>
    </w:p>
    <w:p>
      <w:pPr>
        <w:spacing w:after="120"/>
      </w:pPr>
      <w:r>
        <w:rPr>
          <w:b w:val="false"/>
          <w:bCs w:val="false"/>
          <w:i w:val="false"/>
          <w:iCs w:val="false"/>
        </w:rPr>
        <w:t xml:space="preserve">The dynamic model runs on the 33,369 occupation × state cells with complete data, meaning wages, exposure scores, household archetypes, and state tax rules all present, which covers 154.0 million of the 163.2 million measured workers, or 94 percent. The remainder sit in suppressed or unmatched cells and are excluded rather than imputed, as an imputed cell would carry a fiscal delta that no data supports while being indistinguishable in the output from one that is measured. Every modeled percentage therefore uses the 154.0 million baseline, not the 163.2 million published one.</w:t>
      </w:r>
    </w:p>
    <w:p>
      <w:pPr>
        <w:pStyle w:val="Heading2"/>
      </w:pPr>
      <w:r>
        <w:t xml:space="preserve">2.3 Validation gates</w:t>
      </w:r>
    </w:p>
    <w:p>
      <w:pPr>
        <w:spacing w:after="120"/>
      </w:pPr>
      <w:r>
        <w:rPr>
          <w:b w:val="false"/>
          <w:bCs w:val="false"/>
          <w:i w:val="false"/>
          <w:iCs w:val="false"/>
        </w:rPr>
        <w:t xml:space="preserve">Four checks connect the constructed inputs to independent references, and the second of them is the reason the kernel is built the way it is.</w:t>
      </w:r>
    </w:p>
    <w:p>
      <w:pPr>
        <w:spacing w:after="120"/>
      </w:pPr>
      <w:r>
        <w:rPr>
          <w:b w:val="false"/>
          <w:bCs w:val="false"/>
          <w:i w:val="false"/>
          <w:iCs w:val="false"/>
        </w:rPr>
        <w:t xml:space="preserve">The tax cross-check compares the hand-rolled bracket engine to PolicyEngine-US on a grid of incomes, states, and filing statuses. Income tax agrees within 2.5 percent, a gap explained by the 2024 versus 2025 bracket vintages, and payroll tax agrees exactly, excluding state disability insurance, which the model does not levy.</w:t>
      </w:r>
    </w:p>
    <w:p>
      <w:pPr>
        <w:spacing w:after="120"/>
      </w:pPr>
      <w:r>
        <w:rPr>
          <w:b w:val="false"/>
          <w:bCs w:val="false"/>
          <w:i w:val="false"/>
          <w:iCs w:val="false"/>
        </w:rPr>
        <w:t xml:space="preserve">The kink test measures what is lost by evaluating a cell at its average worker. Fiscal deltas computed at the within-cell mean wage understate the integrated delta by a factor of 2.7 to 7.8 in cells whose wage distribution straddles a means-tested eligibility threshold. This is the empirical justification for the within-cell integration of Section 3: the EITC hump, the SNAP phase-out, and the Medicaid cliff sit exactly where displacement lands, and evaluating at the mean steps over them without leaving any trace in the output that it has done so.</w:t>
      </w:r>
    </w:p>
    <w:p>
      <w:pPr>
        <w:spacing w:after="120"/>
      </w:pPr>
      <w:r>
        <w:rPr>
          <w:b w:val="false"/>
          <w:bCs w:val="false"/>
          <w:i w:val="false"/>
          <w:iCs w:val="false"/>
        </w:rPr>
        <w:t xml:space="preserve">Aggregate transfer reconciliation population-weights the baked benefit entitlements and reproduces the working-family program aggregates, with EITC plus refundable CTC at $228.8 billion against the actual, while deliberately undershooting the aged- and disabled-dominated programs, namely Medicaid and SSI, which a working-household bake does not represent. The reconciliation validates marginal mechanics rather than program levels, and Section 10 carries the caveat.</w:t>
      </w:r>
    </w:p>
    <w:p>
      <w:pPr>
        <w:spacing w:after="120"/>
      </w:pPr>
      <w:r>
        <w:rPr>
          <w:b w:val="false"/>
          <w:bCs w:val="false"/>
          <w:i w:val="false"/>
          <w:iCs w:val="false"/>
        </w:rPr>
        <w:t xml:space="preserve">The t = 0 base-rate gate requires that, before any displacement, the dynamic model reproduce the published base-linkage effective rates: individual income receipts at 19.5 percent of the wage base, with payroll and corporate rates matched to their published rows. This ties the simulated economy's starting point to the national accounts rather than to the model's own internal consistency.</w:t>
      </w:r>
    </w:p>
    <w:p>
      <w:pPr>
        <w:pStyle w:val="Heading2"/>
      </w:pPr>
      <w:r>
        <w:t xml:space="preserve">2.4 From files to per-worker deltas</w:t>
      </w:r>
    </w:p>
    <w:p>
      <w:pPr>
        <w:spacing w:after="120"/>
      </w:pPr>
      <w:r>
        <w:rPr>
          <w:b w:val="false"/>
          <w:bCs w:val="false"/>
          <w:i w:val="false"/>
          <w:iCs w:val="false"/>
        </w:rPr>
        <w:t xml:space="preserve">The construction pipeline joins occupation × state wage distributions to household archetypes, taking filing status, household income, and number of children from ACS PUMS, then evaluates the five kernel channels of Section 3 on a frozen quadrature grid over each cell's lognormal wage distribution, and caches the result as one vector of per-worker fiscal deltas per occupation-state cell, by channel and by benefit program.</w:t>
      </w:r>
    </w:p>
    <w:p>
      <w:pPr>
        <w:spacing w:after="120"/>
      </w:pPr>
      <w:r>
        <w:rPr>
          <w:b w:val="false"/>
          <w:bCs w:val="false"/>
          <w:i w:val="false"/>
          <w:iCs w:val="false"/>
        </w:rPr>
        <w:t xml:space="preserve">The dynamic layer never re-derives those deltas. It prices worker stocks against the frozen per-worker values and recomputes only what the levers actually move, which is survivor wages, re-employment wages, and the government ledgers. That split is what lets a 33,000-cell model run a full scenario in a quarter of a second, and the speed is not cosmetic, as it is what makes the Monte Carlo sampling in Section 7 affordable at all.</w:t>
      </w:r>
    </w:p>
    <w:p>
      <w:r>
        <w:br w:type="page"/>
      </w:r>
    </w:p>
    <w:p>
      <w:pPr>
        <w:pStyle w:val="Heading1"/>
      </w:pPr>
      <w:r>
        <w:t xml:space="preserve">3. The static kernel: pricing one displaced worker</w:t>
      </w:r>
    </w:p>
    <w:p>
      <w:pPr>
        <w:spacing w:after="120"/>
      </w:pPr>
      <w:r>
        <w:rPr>
          <w:b w:val="false"/>
          <w:bCs w:val="false"/>
          <w:i w:val="false"/>
          <w:iCs w:val="false"/>
        </w:rPr>
        <w:t xml:space="preserve">The kernel answers a single question exactly: if this worker, in this occupation and this state, loses this wage, what happens to every level of government? The answer is five additive channels, each an independently inspectable ledger line.</w:t>
      </w:r>
    </w:p>
    <w:p>
      <w:pPr>
        <w:shd w:fill="F4F4F4" w:val="clear"/>
        <w:spacing w:after="120" w:before="120"/>
      </w:pPr>
      <w:r>
        <w:rPr>
          <w:rFonts w:ascii="Consolas" w:cs="Consolas" w:eastAsia="Consolas" w:hAnsi="Consolas"/>
          <w:sz w:val="18"/>
          <w:szCs w:val="18"/>
        </w:rPr>
        <w:t xml:space="preserve">Δfiscal(cell) = Δincome_tax + Δpayroll + Δtransfers + Δconsumption_tax + Δcorporate_offset</w:t>
      </w:r>
    </w:p>
    <w:p>
      <w:pPr>
        <w:spacing w:after="120"/>
      </w:pPr>
      <w:r>
        <w:rPr>
          <w:b w:val="false"/>
          <w:bCs w:val="false"/>
          <w:i w:val="false"/>
          <w:iCs w:val="false"/>
        </w:rPr>
        <w:t xml:space="preserve">Income tax is computed by exact re-evaluation of the bracket schedules, federal 2025 and state 2026, stratified by filing status, at household income with and without the worker's wage: T(HH) − T(HH − w). There are no elasticities and no average rates, as the marginal dollars come off the top brackets first, which is precisely why revenue falls faster than employment when displacement skews high-wage. Using an average rate here would erase the second thesis of this report before the model had a chance to produce it.</w:t>
      </w:r>
    </w:p>
    <w:p>
      <w:pPr>
        <w:spacing w:after="120"/>
      </w:pPr>
      <w:r>
        <w:rPr>
          <w:b w:val="false"/>
          <w:bCs w:val="false"/>
          <w:i w:val="false"/>
          <w:iCs w:val="false"/>
        </w:rPr>
        <w:t xml:space="preserve">Payroll applies the FICA schedule to the worker's own wage with the OASDI cap and the additional Medicare rate, exactly rather than linearized, as the cap makes the schedule kinked in the same wage range where AI exposure peaks.</w:t>
      </w:r>
    </w:p>
    <w:p>
      <w:pPr>
        <w:spacing w:after="120"/>
      </w:pPr>
      <w:r>
        <w:rPr>
          <w:b w:val="false"/>
          <w:bCs w:val="false"/>
          <w:i w:val="false"/>
          <w:iCs w:val="false"/>
        </w:rPr>
        <w:t xml:space="preserve">Transfers are the reason the kernel integrates rather than averages. Means-tested programs are step functions and humps: Medicaid eligibility is a cliff, SNAP phases out, the EITC rises and then falls. The kernel evaluates the baked PolicyEngine entitlement schedules twice, at household income including unemployment insurance during the UI window and at zero worker earnings after exhaustion, because these are two distinct fiscal phases and the Medicaid and SNAP step-up mostly arrives at exhaustion rather than at displacement. It then evaluates them as an expectation over the within-cell lognormal wage distribution fitted to the OEWS percentiles, not at the cell mean. The kink test of Section 2.3 is what forces this: the at-mean shortcut understates transfer deltas by up to a factor of eight in threshold-straddling cells, and does so silently.</w:t>
      </w:r>
    </w:p>
    <w:p>
      <w:pPr>
        <w:spacing w:after="120"/>
      </w:pPr>
      <w:r>
        <w:rPr>
          <w:b w:val="false"/>
          <w:bCs w:val="false"/>
          <w:i w:val="false"/>
          <w:iCs w:val="false"/>
        </w:rPr>
        <w:t xml:space="preserve">Consumption tax applies each state's effective consumption tax rate to the change in taxable consumption implied by the change in disposable income, with a marginal propensity to consume of 0.95 and a stickiness parameter governing the transition.</w:t>
      </w:r>
    </w:p>
    <w:p>
      <w:pPr>
        <w:spacing w:after="120"/>
      </w:pPr>
      <w:r>
        <w:rPr>
          <w:b w:val="false"/>
          <w:bCs w:val="false"/>
          <w:i w:val="false"/>
          <w:iCs w:val="false"/>
        </w:rPr>
        <w:t xml:space="preserve">The corporate offset is the first appearance of the base-migration thesis. The compensation a firm stops paying does not vanish, as absent other dispositions it becomes operating surplus, taxed at the sector's effective corporate rate. The kernel books this at the most generous plausible rate, meaning full conversion of saved compensation into taxable surplus, and the generosity is deliberate. The concession on this side is that this is not what firms actually do, since real firms spend some of the saving on automation and pass some through to prices, both of which are taxed less than surplus. Booking the optimistic case anyway means the result does not depend on a pessimistic disposition assumption: even with the most favourable corporate recapture available, the wedge between labor and capital taxation leaves the government short.</w:t>
      </w:r>
    </w:p>
    <w:p>
      <w:pPr>
        <w:spacing w:after="120"/>
      </w:pPr>
      <w:r>
        <w:rPr>
          <w:b w:val="false"/>
          <w:bCs w:val="false"/>
          <w:i w:val="false"/>
          <w:iCs w:val="false"/>
        </w:rPr>
        <w:t xml:space="preserve">The per-worker deltas from these five channels, across 33,000 cells, seven benefit programs, and two UI phases, are precomputed once and cached. Everything dynamic in the next section is stock-flow arithmetic on top of them.</w:t>
      </w:r>
    </w:p>
    <w:p>
      <w:r>
        <w:br w:type="page"/>
      </w:r>
    </w:p>
    <w:p>
      <w:pPr>
        <w:pStyle w:val="Heading1"/>
      </w:pPr>
      <w:r>
        <w:t xml:space="preserve">4. The dynamic multi-actor model</w:t>
      </w:r>
    </w:p>
    <w:p>
      <w:pPr>
        <w:spacing w:after="120"/>
      </w:pPr>
      <w:r>
        <w:rPr>
          <w:b w:val="false"/>
          <w:bCs w:val="false"/>
          <w:i w:val="false"/>
          <w:iCs w:val="false"/>
        </w:rPr>
        <w:t xml:space="preserve">The dynamic layer runs the economy forward one year at a time. Workers move through seven states, firms route the saved wage bill, the compute pool accumulates, survivor wages update under an explicit budget constraint, the federal government borrows, the states balance, shareholders accrue a claim they realize only slowly, and the demand consequences of all of it come back one period later as induced layoffs. This section walks one period in execution order and states the load-bearing mechanics; Appendix A carries the complete equation reference.</w:t>
      </w:r>
    </w:p>
    <w:p>
      <w:pPr>
        <w:pStyle w:val="Heading2"/>
      </w:pPr>
      <w:r>
        <w:t xml:space="preserve">4.1 Workers: a ceiling, not a rate</w:t>
      </w:r>
    </w:p>
    <w:p>
      <w:pPr>
        <w:spacing w:after="120"/>
      </w:pPr>
      <w:r>
        <w:rPr>
          <w:b w:val="false"/>
          <w:bCs w:val="false"/>
          <w:i w:val="false"/>
          <w:iCs w:val="false"/>
        </w:rPr>
        <w:t xml:space="preserve">Each occupation × state cell tracks seven mutually exclusive stocks: employed, on unemployment insurance, exhausted after UI, reabsorbed into re-employment at a lower wage, exited from the labor force onto SSDI, induced out by second-round demand, and retired through natural attrition of the long-term unemployed. The retired stock is fiscally delta-neutral, as the baseline counterfactual retires too. Their sum equals baseline employment in every cell in every period, which is conservation identity C1.</w:t>
      </w:r>
    </w:p>
    <w:p>
      <w:pPr>
        <w:spacing w:after="120"/>
      </w:pPr>
      <w:r>
        <w:rPr>
          <w:b w:val="false"/>
          <w:bCs w:val="false"/>
          <w:i w:val="false"/>
          <w:iCs w:val="false"/>
        </w:rPr>
        <w:t xml:space="preserve">Automation displacement follows a cumulative diffusion ceiling rather than a compounding rate:</w:t>
      </w:r>
    </w:p>
    <w:p>
      <w:pPr>
        <w:shd w:fill="F4F4F4" w:val="clear"/>
        <w:spacing w:after="0" w:before="120"/>
      </w:pPr>
      <w:r>
        <w:rPr>
          <w:rFonts w:ascii="Consolas" w:cs="Consolas" w:eastAsia="Consolas" w:hAnsi="Consolas"/>
          <w:sz w:val="18"/>
          <w:szCs w:val="18"/>
        </w:rPr>
        <w:t xml:space="preserve">g_cell(t) = 1 − (1 − cog·cf) · (1 − rob·pf · min(1, t/robotics_lag))</w:t>
      </w:r>
    </w:p>
    <w:p>
      <w:pPr>
        <w:shd w:fill="F4F4F4" w:val="clear"/>
        <w:spacing w:after="0" w:before="0"/>
      </w:pPr>
      <w:r>
        <w:rPr>
          <w:rFonts w:ascii="Consolas" w:cs="Consolas" w:eastAsia="Consolas" w:hAnsi="Consolas"/>
          <w:sz w:val="18"/>
          <w:szCs w:val="18"/>
        </w:rPr>
        <w:t xml:space="preserve">target(t) = clip(g_cell(t) · adoption(t), 0, 1) · emp0</w:t>
      </w:r>
    </w:p>
    <w:p>
      <w:pPr>
        <w:shd w:fill="F4F4F4" w:val="clear"/>
        <w:spacing w:after="120" w:before="0"/>
      </w:pPr>
      <w:r>
        <w:rPr>
          <w:rFonts w:ascii="Consolas" w:cs="Consolas" w:eastAsia="Consolas" w:hAnsi="Consolas"/>
          <w:sz w:val="18"/>
          <w:szCs w:val="18"/>
        </w:rPr>
        <w:t xml:space="preserve">flow(t)   = clip(target(t) − auto_disp, 0, employed)</w:t>
      </w:r>
    </w:p>
    <w:p>
      <w:pPr>
        <w:spacing w:after="120"/>
      </w:pPr>
      <w:r>
        <w:rPr>
          <w:b w:val="false"/>
          <w:bCs w:val="false"/>
          <w:i w:val="false"/>
          <w:iCs w:val="false"/>
        </w:rPr>
        <w:t xml:space="preserve">Here </w:t>
      </w:r>
      <w:r>
        <w:rPr>
          <w:rFonts w:ascii="Consolas" w:cs="Consolas" w:eastAsia="Consolas" w:hAnsi="Consolas"/>
          <w:b w:val="false"/>
          <w:bCs w:val="false"/>
          <w:i w:val="false"/>
          <w:iCs w:val="false"/>
        </w:rPr>
        <w:t xml:space="preserve">adoption(t)</w:t>
      </w:r>
      <w:r>
        <w:rPr>
          <w:b w:val="false"/>
          <w:bCs w:val="false"/>
          <w:i w:val="false"/>
          <w:iCs w:val="false"/>
        </w:rPr>
        <w:t xml:space="preserve"> is the cumulative share of feasible work automated by year t, measured as a ceiling against baseline employment, so "60 percent by year ten" means exactly that rather than 60 percent per year compounding on a shrinking base. The distinction is not cosmetic, as the compounding reading of the same headline number produces a materially larger shock from an identical source quote. The two feasibility channels, cognitive (Yale exposure × cognitive feasibility) and physical (Webb robot exposure × robotics feasibility), combine multiplicatively, and the physical channel ramps in linearly over </w:t>
      </w:r>
      <w:r>
        <w:rPr>
          <w:rFonts w:ascii="Consolas" w:cs="Consolas" w:eastAsia="Consolas" w:hAnsi="Consolas"/>
          <w:b w:val="false"/>
          <w:bCs w:val="false"/>
          <w:i w:val="false"/>
          <w:iCs w:val="false"/>
        </w:rPr>
        <w:t xml:space="preserve">robotics_lag</w:t>
      </w:r>
      <w:r>
        <w:rPr>
          <w:b w:val="false"/>
          <w:bCs w:val="false"/>
          <w:i w:val="false"/>
          <w:iCs w:val="false"/>
        </w:rPr>
        <w:t xml:space="preserve"> years, as physical automation waits for AI-built industrial capacity.</w:t>
      </w:r>
    </w:p>
    <w:p>
      <w:pPr>
        <w:spacing w:after="120"/>
      </w:pPr>
      <w:r>
        <w:rPr>
          <w:b w:val="false"/>
          <w:bCs w:val="false"/>
          <w:i w:val="false"/>
          <w:iCs w:val="false"/>
        </w:rPr>
        <w:t xml:space="preserve">The path of </w:t>
      </w:r>
      <w:r>
        <w:rPr>
          <w:rFonts w:ascii="Consolas" w:cs="Consolas" w:eastAsia="Consolas" w:hAnsi="Consolas"/>
          <w:b w:val="false"/>
          <w:bCs w:val="false"/>
          <w:i w:val="false"/>
          <w:iCs w:val="false"/>
        </w:rPr>
        <w:t xml:space="preserve">adoption(t)</w:t>
      </w:r>
      <w:r>
        <w:rPr>
          <w:b w:val="false"/>
          <w:bCs w:val="false"/>
          <w:i w:val="false"/>
          <w:iCs w:val="false"/>
        </w:rPr>
        <w:t xml:space="preserve"> is linear between anchored points. Where a source publishes only endpoints, such as half of exposed work automated over a decade, a straight ramp is the minimal-assumption reading, as smooth S-shaped families fitted to those same endpoints require shape constants no source pins down, and the families the diffusion literature suggests were measured to move mid-path adoption more than any defensible choice among them could justify. Section 10 quantifies what the linear convention costs. Where a source publishes its own trajectory, the ramp threads piecewise-linearly through the published points instead, so every knot is a number in the source text and none is a fitting parameter.</w:t>
      </w:r>
    </w:p>
    <w:p>
      <w:pPr>
        <w:spacing w:after="120"/>
      </w:pPr>
      <w:r>
        <w:rPr>
          <w:b w:val="false"/>
          <w:bCs w:val="false"/>
          <w:i w:val="false"/>
          <w:iCs w:val="false"/>
        </w:rPr>
        <w:t xml:space="preserve">Displaced workers draw UI for the statutory window and then exhaust. The exhausted are reabsorbed at </w:t>
      </w:r>
      <w:r>
        <w:rPr>
          <w:rFonts w:ascii="Consolas" w:cs="Consolas" w:eastAsia="Consolas" w:hAnsi="Consolas"/>
          <w:b w:val="false"/>
          <w:bCs w:val="false"/>
          <w:i w:val="false"/>
          <w:iCs w:val="false"/>
        </w:rPr>
        <w:t xml:space="preserve">reabsorption_rate</w:t>
      </w:r>
      <w:r>
        <w:rPr>
          <w:b w:val="false"/>
          <w:bCs w:val="false"/>
          <w:i w:val="false"/>
          <w:iCs w:val="false"/>
        </w:rPr>
        <w:t xml:space="preserve"> per year into re-employment at </w:t>
      </w:r>
      <w:r>
        <w:rPr>
          <w:rFonts w:ascii="Consolas" w:cs="Consolas" w:eastAsia="Consolas" w:hAnsi="Consolas"/>
          <w:b w:val="false"/>
          <w:bCs w:val="false"/>
          <w:i w:val="false"/>
          <w:iCs w:val="false"/>
        </w:rPr>
        <w:t xml:space="preserve">max(origin_wage·(1−haircut), service_floor)</w:t>
      </w:r>
      <w:r>
        <w:rPr>
          <w:b w:val="false"/>
          <w:bCs w:val="false"/>
          <w:i w:val="false"/>
          <w:iCs w:val="false"/>
        </w:rPr>
        <w:t xml:space="preserve">, which is the permanent scar the displacement literature measures, or they exit the labor force at </w:t>
      </w:r>
      <w:r>
        <w:rPr>
          <w:rFonts w:ascii="Consolas" w:cs="Consolas" w:eastAsia="Consolas" w:hAnsi="Consolas"/>
          <w:b w:val="false"/>
          <w:bCs w:val="false"/>
          <w:i w:val="false"/>
          <w:iCs w:val="false"/>
        </w:rPr>
        <w:t xml:space="preserve">lfp_exit_rate</w:t>
      </w:r>
      <w:r>
        <w:rPr>
          <w:b w:val="false"/>
          <w:bCs w:val="false"/>
          <w:i w:val="false"/>
          <w:iCs w:val="false"/>
        </w:rPr>
        <w:t xml:space="preserve"> onto SSDI at $18,000 per year.</w:t>
      </w:r>
    </w:p>
    <w:p>
      <w:pPr>
        <w:spacing w:after="120"/>
      </w:pPr>
      <w:r>
        <w:rPr>
          <w:b w:val="false"/>
          <w:bCs w:val="false"/>
          <w:i w:val="false"/>
          <w:iCs w:val="false"/>
        </w:rPr>
        <w:t xml:space="preserve">The refuge those workers move into is finite, and this is one of the few places where the model's own structure produces a result rather than carrying an assumption. The re-employed move into low-exposure service work, which is the same occupation set the service floor prices, and that work is itself automatable. The effective reabsorption rate therefore scales by the un-automated share of low-exposure employment, so under AGI-grade scenarios the refuge shrinks and reabsorption chokes off, with capacity falling toward the share of care and dexterity work that even full-feasibility robotics cannot reach.</w:t>
      </w:r>
    </w:p>
    <w:p>
      <w:pPr>
        <w:spacing w:after="120"/>
      </w:pPr>
      <w:r>
        <w:rPr>
          <w:b w:val="false"/>
          <w:bCs w:val="false"/>
          <w:i w:val="false"/>
          <w:iCs w:val="false"/>
        </w:rPr>
        <w:t xml:space="preserve">The refuge wage is also contested, as two optional forces move the re-employed wage index each year. A Baumol pull (</w:t>
      </w:r>
      <w:r>
        <w:rPr>
          <w:rFonts w:ascii="Consolas" w:cs="Consolas" w:eastAsia="Consolas" w:hAnsi="Consolas"/>
          <w:b w:val="false"/>
          <w:bCs w:val="false"/>
          <w:i w:val="false"/>
          <w:iCs w:val="false"/>
        </w:rPr>
        <w:t xml:space="preserve">reab_wage_baumol</w:t>
      </w:r>
      <w:r>
        <w:rPr>
          <w:b w:val="false"/>
          <w:bCs w:val="false"/>
          <w:i w:val="false"/>
          <w:iCs w:val="false"/>
        </w:rPr>
        <w:t xml:space="preserve">) makes the work humans still do expensive as everything else gets cheap, while a crowding pressure (</w:t>
      </w:r>
      <w:r>
        <w:rPr>
          <w:rFonts w:ascii="Consolas" w:cs="Consolas" w:eastAsia="Consolas" w:hAnsi="Consolas"/>
          <w:b w:val="false"/>
          <w:bCs w:val="false"/>
          <w:i w:val="false"/>
          <w:iCs w:val="false"/>
        </w:rPr>
        <w:t xml:space="preserve">reab_wage_crowding</w:t>
      </w:r>
      <w:r>
        <w:rPr>
          <w:b w:val="false"/>
          <w:bCs w:val="false"/>
          <w:i w:val="false"/>
          <w:iCs w:val="false"/>
        </w:rPr>
        <w:t xml:space="preserve">) has displaced supply flooding into service work bid its wage down against last year's slack. When the Baumol pull dominates, re-employed wages rise even amid mass displacement, which is abundance reaching labor through the price of human service work. Both ship at zero, as the presets are calibrated without them, and the fiscal side re-prices all six channels at the shifted wage, cliffs included.</w:t>
      </w:r>
    </w:p>
    <w:p>
      <w:pPr>
        <w:pStyle w:val="Heading2"/>
      </w:pPr>
      <w:r>
        <w:t xml:space="preserve">4.2 Firms: where the saved wage bill actually goes</w:t>
      </w:r>
    </w:p>
    <w:p>
      <w:pPr>
        <w:spacing w:after="120"/>
      </w:pPr>
      <w:r>
        <w:rPr>
          <w:b w:val="false"/>
          <w:bCs w:val="false"/>
          <w:i w:val="false"/>
          <w:iCs w:val="false"/>
        </w:rPr>
        <w:t xml:space="preserve">The firm side is keyed to the cumulative automated stock rather than to worker states, as a job stays automated when its former holder finds other work. Each period the automated stock's compensation defines the saved bill, and an explicit partition routes it:</w:t>
      </w:r>
    </w:p>
    <w:p>
      <w:pPr>
        <w:shd w:fill="F4F4F4" w:val="clear"/>
        <w:spacing w:after="0" w:before="120"/>
      </w:pPr>
      <w:r>
        <w:rPr>
          <w:rFonts w:ascii="Consolas" w:cs="Consolas" w:eastAsia="Consolas" w:hAnsi="Consolas"/>
          <w:sz w:val="18"/>
          <w:szCs w:val="18"/>
        </w:rPr>
        <w:t xml:space="preserve">saved_bill      = Σ_automated comp_per_worker</w:t>
      </w:r>
    </w:p>
    <w:p>
      <w:pPr>
        <w:shd w:fill="F4F4F4" w:val="clear"/>
        <w:spacing w:after="0" w:before="0"/>
      </w:pPr>
      <w:r>
        <w:rPr>
          <w:rFonts w:ascii="Consolas" w:cs="Consolas" w:eastAsia="Consolas" w:hAnsi="Consolas"/>
          <w:sz w:val="18"/>
          <w:szCs w:val="18"/>
        </w:rPr>
        <w:t xml:space="preserve">automation_spend = auto_cost · saved_bill              → the compute-capital pool</w:t>
      </w:r>
    </w:p>
    <w:p>
      <w:pPr>
        <w:shd w:fill="F4F4F4" w:val="clear"/>
        <w:spacing w:after="0" w:before="0"/>
      </w:pPr>
      <w:r>
        <w:rPr>
          <w:rFonts w:ascii="Consolas" w:cs="Consolas" w:eastAsia="Consolas" w:hAnsi="Consolas"/>
          <w:sz w:val="18"/>
          <w:szCs w:val="18"/>
        </w:rPr>
        <w:t xml:space="preserve">net_saving      = saved_bill − automation_spend        (≥ 0 by construction)</w:t>
      </w:r>
    </w:p>
    <w:p>
      <w:pPr>
        <w:shd w:fill="F4F4F4" w:val="clear"/>
        <w:spacing w:after="120" w:before="0"/>
      </w:pPr>
      <w:r>
        <w:rPr>
          <w:rFonts w:ascii="Consolas" w:cs="Consolas" w:eastAsia="Consolas" w:hAnsi="Consolas"/>
          <w:sz w:val="18"/>
          <w:szCs w:val="18"/>
        </w:rPr>
        <w:t xml:space="preserve">net_saving      = retained_profit + price_reduction + survivor_gains     (shares sum to 1)</w:t>
      </w:r>
    </w:p>
    <w:p>
      <w:pPr>
        <w:spacing w:after="120"/>
      </w:pPr>
      <w:r>
        <w:rPr>
          <w:b w:val="false"/>
          <w:bCs w:val="false"/>
          <w:i w:val="false"/>
          <w:iCs w:val="false"/>
        </w:rPr>
        <w:t xml:space="preserve">Retained profit is taxed at sector effective corporate rates. Price reductions accrue to consumers and are taxed only through the roughly 2 percent state consumption channel, which makes them the quantitatively dominant leak in the base-migration story. Survivor gains fund wage raises for the still-employed, treated below. The compute pool is taxed at </w:t>
      </w:r>
      <w:r>
        <w:rPr>
          <w:rFonts w:ascii="Consolas" w:cs="Consolas" w:eastAsia="Consolas" w:hAnsi="Consolas"/>
          <w:b w:val="false"/>
          <w:bCs w:val="false"/>
          <w:i w:val="false"/>
          <w:iCs w:val="false"/>
        </w:rPr>
        <w:t xml:space="preserve">compute_effective_rate</w:t>
      </w:r>
      <w:r>
        <w:rPr>
          <w:b w:val="false"/>
          <w:bCs w:val="false"/>
          <w:i w:val="false"/>
          <w:iCs w:val="false"/>
        </w:rPr>
        <w:t xml:space="preserve">, set to 5 percent in the AGI presets after the effective post-TCJA rate on equipment and software capital, with an optional offshore leakage share that is zero in every shipped scenario.</w:t>
      </w:r>
    </w:p>
    <w:p>
      <w:pPr>
        <w:pStyle w:val="Heading2"/>
      </w:pPr>
      <w:r>
        <w:t xml:space="preserve">4.3 Survivors: raises have to be paid for</w:t>
      </w:r>
    </w:p>
    <w:p>
      <w:pPr>
        <w:spacing w:after="120"/>
      </w:pPr>
      <w:r>
        <w:rPr>
          <w:b w:val="false"/>
          <w:bCs w:val="false"/>
          <w:i w:val="false"/>
          <w:iCs w:val="false"/>
        </w:rPr>
        <w:t xml:space="preserve">Workers who keep their jobs may capture part of the surplus, but the mechanical component is funded rather than assumed. The routed </w:t>
      </w:r>
      <w:r>
        <w:rPr>
          <w:rFonts w:ascii="Consolas" w:cs="Consolas" w:eastAsia="Consolas" w:hAnsi="Consolas"/>
          <w:b w:val="false"/>
          <w:bCs w:val="false"/>
          <w:i w:val="false"/>
          <w:iCs w:val="false"/>
        </w:rPr>
        <w:t xml:space="preserve">survivor_gains</w:t>
      </w:r>
      <w:r>
        <w:rPr>
          <w:b w:val="false"/>
          <w:bCs w:val="false"/>
          <w:i w:val="false"/>
          <w:iCs w:val="false"/>
        </w:rPr>
        <w:t xml:space="preserve"> flow must first pay the maintenance cost of the standing raise before any increment, and unfundable raises snap back:</w:t>
      </w:r>
    </w:p>
    <w:p>
      <w:pPr>
        <w:shd w:fill="F4F4F4" w:val="clear"/>
        <w:spacing w:after="0" w:before="120"/>
      </w:pPr>
      <w:r>
        <w:rPr>
          <w:rFonts w:ascii="Consolas" w:cs="Consolas" w:eastAsia="Consolas" w:hAnsi="Consolas"/>
          <w:sz w:val="18"/>
          <w:szCs w:val="18"/>
        </w:rPr>
        <w:t xml:space="preserve">maintenance = ℓ · wage_bill · (W − 1)          ℓ = compensation loading ≈ 1.4</w:t>
      </w:r>
    </w:p>
    <w:p>
      <w:pPr>
        <w:shd w:fill="F4F4F4" w:val="clear"/>
        <w:spacing w:after="0" w:before="0"/>
      </w:pPr>
      <w:r>
        <w:rPr>
          <w:rFonts w:ascii="Consolas" w:cs="Consolas" w:eastAsia="Consolas" w:hAnsi="Consolas"/>
          <w:sz w:val="18"/>
          <w:szCs w:val="18"/>
        </w:rPr>
        <w:t xml:space="preserve">available   = survivor_gains − maintenance</w:t>
      </w:r>
    </w:p>
    <w:p>
      <w:pPr>
        <w:shd w:fill="F4F4F4" w:val="clear"/>
        <w:spacing w:after="120" w:before="0"/>
      </w:pPr>
      <w:r>
        <w:rPr>
          <w:rFonts w:ascii="Consolas" w:cs="Consolas" w:eastAsia="Consolas" w:hAnsi="Consolas"/>
          <w:sz w:val="18"/>
          <w:szCs w:val="18"/>
        </w:rPr>
        <w:t xml:space="preserve">W ← W + min(available, room)/(ℓ·wage_bill)     room = ℓ·wage_bill·(ceiling − W)</w:t>
      </w:r>
    </w:p>
    <w:p>
      <w:pPr>
        <w:spacing w:after="120"/>
      </w:pPr>
      <w:r>
        <w:rPr>
          <w:b w:val="false"/>
          <w:bCs w:val="false"/>
          <w:i w:val="false"/>
          <w:iCs w:val="false"/>
        </w:rPr>
        <w:t xml:space="preserve">Overflow above the raise ceiling routes to profit or prices through the spillover lever. A market component responds to labor-market slack with elasticity </w:t>
      </w:r>
      <w:r>
        <w:rPr>
          <w:rFonts w:ascii="Consolas" w:cs="Consolas" w:eastAsia="Consolas" w:hAnsi="Consolas"/>
          <w:b w:val="false"/>
          <w:bCs w:val="false"/>
          <w:i w:val="false"/>
          <w:iCs w:val="false"/>
        </w:rPr>
        <w:t xml:space="preserve">survivor_elasticity</w:t>
      </w:r>
      <w:r>
        <w:rPr>
          <w:b w:val="false"/>
          <w:bCs w:val="false"/>
          <w:i w:val="false"/>
          <w:iCs w:val="false"/>
        </w:rPr>
        <w:t xml:space="preserve">, negative when substitution pushes wages down and positive when complementarity pulls them up, evaluated on lagged slack so the system never solves a within-period fixed point. Survivor raises are re-taxed through the exact bracket schedules, which makes this the one channel where displacement creates labor-side revenue rather than destroying it.</w:t>
      </w:r>
    </w:p>
    <w:p>
      <w:pPr>
        <w:pStyle w:val="Heading2"/>
      </w:pPr>
      <w:r>
        <w:t xml:space="preserve">4.4 Government: one borrower, fifty-one balancers</w:t>
      </w:r>
    </w:p>
    <w:p>
      <w:pPr>
        <w:spacing w:after="120"/>
      </w:pPr>
      <w:r>
        <w:rPr>
          <w:b w:val="false"/>
          <w:bCs w:val="false"/>
          <w:i w:val="false"/>
          <w:iCs w:val="false"/>
        </w:rPr>
        <w:t xml:space="preserve">The federal ledger nets every labeled flow into a deficit that accumulates into debt at the federal interest rate: income and payroll losses, transfer and UI outlays, UI benefit taxation, the corporate offset, survivor wage taxes, compute-pool tax, robot tax, UBI gross and recapture, and SSDI. The reconciliation of that deficit to its components is asserted every period as identity C6.</w:t>
      </w:r>
    </w:p>
    <w:p>
      <w:pPr>
        <w:spacing w:after="120"/>
      </w:pPr>
      <w:r>
        <w:rPr>
          <w:b w:val="false"/>
          <w:bCs w:val="false"/>
          <w:i w:val="false"/>
          <w:iCs w:val="false"/>
        </w:rPr>
        <w:t xml:space="preserve">The states cannot borrow. Each period, each state's revenue loss net of its recoveries defines a gap that must close, met by rate increases on the remaining labor-income base up to a feasibility cap and then by forced spending cuts for whatever the cap leaves. The closure is solved per state with one Newton step on the post-recomputation base, with the residual asserted at approximately zero as identity C7. Its real-economy consequences are not free: spending cuts enter at a government spending multiplier and rate hikes at the household MPC, and both feed the demand channel below in the state where they happen.</w:t>
      </w:r>
    </w:p>
    <w:p>
      <w:pPr>
        <w:pStyle w:val="Heading2"/>
      </w:pPr>
      <w:r>
        <w:t xml:space="preserve">4.5 Shareholders: a claim taxed only when someone sells</w:t>
      </w:r>
    </w:p>
    <w:p>
      <w:pPr>
        <w:spacing w:after="120"/>
      </w:pPr>
      <w:r>
        <w:rPr>
          <w:b w:val="false"/>
          <w:bCs w:val="false"/>
          <w:i w:val="false"/>
          <w:iCs w:val="false"/>
        </w:rPr>
        <w:t xml:space="preserve">The disposition router books corporate tax, dividend tax, and pass-through individual tax on the routed surplus. What it leaves at zero is the undistributed share: after-corporate-tax retained earnings that never flow out as dividends, capitalize into equity value, and are taxed only when somebody sells. That is a first-order federal revenue line, and this channel prices it.</w:t>
      </w:r>
    </w:p>
    <w:p>
      <w:pPr>
        <w:spacing w:after="120"/>
      </w:pPr>
      <w:r>
        <w:rPr>
          <w:b w:val="false"/>
          <w:bCs w:val="false"/>
          <w:i w:val="false"/>
          <w:iCs w:val="false"/>
        </w:rPr>
        <w:t xml:space="preserve">The obvious objection is that equity prices cannot be projected, and this channel never projects them. It prices the incremental claim conditionally, in the same way the corporate offset already steelmans full conversion of saved compensation into taxable surplus. The undistributed earnings the automated stock adds are computed per cell on the corporate offset's own construction with taxes and payout removed; automation-tax and sovereign-fund instruments are conservatively paid from that same pool; a capitalization multiple converts each increment to the permanent earnings level, never the standing stream, into paper wealth; and realizations draw the accrued stock down at a measured rate:</w:t>
      </w:r>
    </w:p>
    <w:p>
      <w:pPr>
        <w:shd w:fill="F4F4F4" w:val="clear"/>
        <w:spacing w:after="0" w:before="120"/>
      </w:pPr>
      <w:r>
        <w:rPr>
          <w:rFonts w:ascii="Consolas" w:cs="Consolas" w:eastAsia="Consolas" w:hAnsi="Consolas"/>
          <w:sz w:val="18"/>
          <w:szCs w:val="18"/>
        </w:rPr>
        <w:t xml:space="preserve">E_t      = max(0, undistributed_t − automation_tax − swf_revenue)</w:t>
      </w:r>
    </w:p>
    <w:p>
      <w:pPr>
        <w:shd w:fill="F4F4F4" w:val="clear"/>
        <w:spacing w:after="0" w:before="0"/>
      </w:pPr>
      <w:r>
        <w:rPr>
          <w:rFonts w:ascii="Consolas" w:cs="Consolas" w:eastAsia="Consolas" w:hAnsi="Consolas"/>
          <w:sz w:val="18"/>
          <w:szCs w:val="18"/>
        </w:rPr>
        <w:t xml:space="preserve">R_t      = cg_realization_rate · G_{t−1}                      (t = 0 realizes nothing)</w:t>
      </w:r>
    </w:p>
    <w:p>
      <w:pPr>
        <w:shd w:fill="F4F4F4" w:val="clear"/>
        <w:spacing w:after="0" w:before="0"/>
      </w:pPr>
      <w:r>
        <w:rPr>
          <w:rFonts w:ascii="Consolas" w:cs="Consolas" w:eastAsia="Consolas" w:hAnsi="Consolas"/>
          <w:sz w:val="18"/>
          <w:szCs w:val="18"/>
        </w:rPr>
        <w:t xml:space="preserve">G_t      = G_{t−1} + equity_taxable_share · equity_pe_multiple · max(0, E_t − E_{t−1}) − R_t</w:t>
      </w:r>
    </w:p>
    <w:p>
      <w:pPr>
        <w:shd w:fill="F4F4F4" w:val="clear"/>
        <w:spacing w:after="120" w:before="0"/>
      </w:pPr>
      <w:r>
        <w:rPr>
          <w:rFonts w:ascii="Consolas" w:cs="Consolas" w:eastAsia="Consolas" w:hAnsi="Consolas"/>
          <w:sz w:val="18"/>
          <w:szCs w:val="18"/>
        </w:rPr>
        <w:t xml:space="preserve">cg_tax_t = shareholder_eff_rate · R_t                         → federal revenue (C6)</w:t>
      </w:r>
    </w:p>
    <w:p>
      <w:pPr>
        <w:spacing w:after="120"/>
      </w:pPr>
      <w:r>
        <w:rPr>
          <w:b w:val="false"/>
          <w:bCs w:val="false"/>
          <w:i w:val="false"/>
          <w:iCs w:val="false"/>
        </w:rPr>
        <w:t xml:space="preserve">Every parameter is externally measured: the long-run market price-to-earnings mean rather than today's richer multiple, which is the conservative convention; the taxable-account share of US corporate equity; the measured fraction of the accrued gain stock realized per year; and the average effective rate on realized gains. None is calibrated against anything the model targets. The multiple is the one input no source can pin, and it is not where the answer comes from, as the bottleneck is the measured leakage chain, which is why the finding survives generous multiples. The result is conditional accounting rather than a forecast: if the surplus lands as permanent corporate earnings, this is what the current shareholder-side regime collects on it. Section 7.13 reports the magnitude and why it is small.</w:t>
      </w:r>
    </w:p>
    <w:p>
      <w:pPr>
        <w:pStyle w:val="Heading2"/>
      </w:pPr>
      <w:r>
        <w:t xml:space="preserve">4.6 Demand: a stock, not a ratchet</w:t>
      </w:r>
    </w:p>
    <w:p>
      <w:pPr>
        <w:spacing w:after="120"/>
      </w:pPr>
      <w:r>
        <w:rPr>
          <w:b w:val="false"/>
          <w:bCs w:val="false"/>
          <w:i w:val="false"/>
          <w:iCs w:val="false"/>
        </w:rPr>
        <w:t xml:space="preserve">Second-round demand is modeled as a level rather than a one-way accumulation. The standing net income withdrawal, meaning take-home pay lost by every non-employed stock less UI and transfers actually received, less UBI net of recapture, less survivor raises, defines a target level of induced layoffs through an Okun-style multiplier. The induced stock adjusts toward that target with a one-period lag and releases workers back when the withdrawal shrinks, which is why a UBI visibly re-employs induced workers rather than merely offsetting their income. The loop gain is provably below one at every shipped configuration, so the feedback converges geometrically instead of spiraling, and the model asserts this at construction rather than trusting it.</w:t>
      </w:r>
    </w:p>
    <w:p>
      <w:pPr>
        <w:pStyle w:val="Heading2"/>
      </w:pPr>
      <w:r>
        <w:t xml:space="preserve">4.7 Prices and productivity stay in the reporting layer</w:t>
      </w:r>
    </w:p>
    <w:p>
      <w:pPr>
        <w:spacing w:after="120"/>
      </w:pPr>
      <w:r>
        <w:rPr>
          <w:b w:val="false"/>
          <w:bCs w:val="false"/>
          <w:i w:val="false"/>
          <w:iCs w:val="false"/>
        </w:rPr>
        <w:t xml:space="preserve">Automation deflates prices through the price-reduction disposition, with pass-through configurable, and raises real output through an output-weighted productivity dividend, under which full automation of the compensation bill raises GDP by </w:t>
      </w:r>
      <w:r>
        <w:rPr>
          <w:rFonts w:ascii="Consolas" w:cs="Consolas" w:eastAsia="Consolas" w:hAnsi="Consolas"/>
          <w:b w:val="false"/>
          <w:bCs w:val="false"/>
          <w:i w:val="false"/>
          <w:iCs w:val="false"/>
        </w:rPr>
        <w:t xml:space="preserve">productivity_passthrough</w:t>
      </w:r>
      <w:r>
        <w:rPr>
          <w:b w:val="false"/>
          <w:bCs w:val="false"/>
          <w:i w:val="false"/>
          <w:iCs w:val="false"/>
        </w:rPr>
        <w:t xml:space="preserve">. Both are reporting-layer effects by design: the price level deflates real and percent-of-GDP columns but is never injected into nominal tax computations. This discipline, the A2 rule, prevents double-counting deflation through bracket schedules that are nominally indexed in reality. The concession on this side is that it also means the model cannot represent bracket creep or its reverse, which is a real fiscal channel in a deflationary scenario. Section 9 quantifies what the choice costs in external comparability.</w:t>
      </w:r>
    </w:p>
    <w:p>
      <w:r>
        <w:br w:type="page"/>
      </w:r>
    </w:p>
    <w:p>
      <w:pPr>
        <w:pStyle w:val="Heading1"/>
      </w:pPr>
      <w:r>
        <w:t xml:space="preserve">5. Correctness discipline</w:t>
      </w:r>
    </w:p>
    <w:p>
      <w:pPr>
        <w:spacing w:after="120"/>
      </w:pPr>
      <w:r>
        <w:rPr>
          <w:b w:val="false"/>
          <w:bCs w:val="false"/>
          <w:i w:val="false"/>
          <w:iCs w:val="false"/>
        </w:rPr>
        <w:t xml:space="preserve">A model whose output is an accounting claim should be held to accounting standards. Two mechanisms do that here: conservation identities asserted at runtime, and an exact reduction anchor.</w:t>
      </w:r>
    </w:p>
    <w:p>
      <w:pPr>
        <w:pStyle w:val="Heading2"/>
      </w:pPr>
      <w:r>
        <w:t xml:space="preserve">5.1 The conservation battery</w:t>
      </w:r>
    </w:p>
    <w:p>
      <w:pPr>
        <w:spacing w:after="120"/>
      </w:pPr>
      <w:r>
        <w:rPr>
          <w:b w:val="false"/>
          <w:bCs w:val="false"/>
          <w:i w:val="false"/>
          <w:iCs w:val="false"/>
        </w:rPr>
        <w:t xml:space="preserve">Nine identities hold on every period of every run, including every Monte Carlo draw sampled for this report, and including the presentation layer, as the fiscal summary tables in Section 7 assert their own reconciliation before rendering.</w:t>
      </w:r>
    </w:p>
    <w:p>
      <w:pPr>
        <w:spacing w:after="120"/>
      </w:pPr>
      <w:r>
        <w:rPr>
          <w:b w:val="false"/>
          <w:bCs w:val="false"/>
          <w:i w:val="false"/>
          <w:iCs w:val="false"/>
        </w:rPr>
        <w:t xml:space="preserve">C1, headcount, requires the seven worker stocks to sum to baseline employment in every occupation × state cell in every period, so no worker is created, destroyed, or double-counted. C2, the disposition partition, requires that </w:t>
      </w:r>
      <w:r>
        <w:rPr>
          <w:rFonts w:ascii="Consolas" w:cs="Consolas" w:eastAsia="Consolas" w:hAnsi="Consolas"/>
          <w:b w:val="false"/>
          <w:bCs w:val="false"/>
          <w:i w:val="false"/>
          <w:iCs w:val="false"/>
        </w:rPr>
        <w:t xml:space="preserve">automation_spend + retained_profit + price_reduction + survivor_gains = saved_bill</w:t>
      </w:r>
      <w:r>
        <w:rPr>
          <w:b w:val="false"/>
          <w:bCs w:val="false"/>
          <w:i w:val="false"/>
          <w:iCs w:val="false"/>
        </w:rPr>
        <w:t xml:space="preserve"> per sector per period, so every saved dollar has exactly one destination. C3 requires pool tax to equal the domestic inflow times the effective rate, which meters leakage rather than losing it. C4 requires real aggregates to equal nominal divided by the price level, so the price channel cannot double-apply. C5c requires survivor wage cost plus overflows to equal the routed survivor gains exactly, in every branch of the funding logic, so raises cannot be paid out of nothing.</w:t>
      </w:r>
    </w:p>
    <w:p>
      <w:pPr>
        <w:spacing w:after="120"/>
      </w:pPr>
      <w:r>
        <w:rPr>
          <w:b w:val="false"/>
          <w:bCs w:val="false"/>
          <w:i w:val="false"/>
          <w:iCs w:val="false"/>
        </w:rPr>
        <w:t xml:space="preserve">C6, federal reconciliation, requires the federal deficit to equal the signed sum of its nineteen labeled components. Any new fiscal flow not added to the reconciliation breaks the build, which is the point, as the ledger cannot silently drop a leg. The shareholder windfall line of Section 4.5 was added under exactly that constraint. C-sh extends the same treatment to the shareholder stock ledger: the accrued windfall stock moves by capitalized increment minus realizations, realizations are the measured rate times last period's stock, and the tax is the effective rate times realizations, all asserted per period, so the channel cannot book revenue without a stock to draw it from and the stock cannot go negative. C6-state and C7 require each state's revenue change to be composed from its labeled parts before the balanced-budget solve, and require the solve to close the gap to numerical residual zero.</w:t>
      </w:r>
    </w:p>
    <w:p>
      <w:pPr>
        <w:spacing w:after="120"/>
      </w:pPr>
      <w:r>
        <w:rPr>
          <w:b w:val="false"/>
          <w:bCs w:val="false"/>
          <w:i w:val="false"/>
          <w:iCs w:val="false"/>
        </w:rPr>
        <w:t xml:space="preserve">C8, reduction, requires that with every behavioral lever at its off value the full multi-actor system reproduce the static kernel's dynamic wrapper bit for bit. Not approximately: the test is exact float equality across output columns, and it is differential, running v2 against v1 on the same inputs, so a shared re-base cannot mask a divergence.</w:t>
      </w:r>
    </w:p>
    <w:p>
      <w:pPr>
        <w:pStyle w:val="Heading2"/>
      </w:pPr>
      <w:r>
        <w:t xml:space="preserve">5.2 Why C8 is the load-bearing one</w:t>
      </w:r>
    </w:p>
    <w:p>
      <w:pPr>
        <w:spacing w:after="120"/>
      </w:pPr>
      <w:r>
        <w:rPr>
          <w:b w:val="false"/>
          <w:bCs w:val="false"/>
          <w:i w:val="false"/>
          <w:iCs w:val="false"/>
        </w:rPr>
        <w:t xml:space="preserve">Every behavioral mechanism in Section 4 is gated by a lever whose off value removes it exactly. That means the elaborate system is pinned, at a reachable point of its own configuration space, to a small model that can be checked by hand against the national accounts through the t = 0 base-rate gate of Section 2.3. Complexity added above that anchor has to justify itself lever by lever, and a regression anywhere in the machinery is caught as a bit-level diff, including refactors that merely change floating-point operation order.</w:t>
      </w:r>
    </w:p>
    <w:p>
      <w:pPr>
        <w:spacing w:after="120"/>
      </w:pPr>
      <w:r>
        <w:rPr>
          <w:b w:val="false"/>
          <w:bCs w:val="false"/>
          <w:i w:val="false"/>
          <w:iCs w:val="false"/>
        </w:rPr>
        <w:t xml:space="preserve">The Monte Carlo machinery is held to the same standard. The fast path that re-binds lever values onto a prebuilt model is verified to reproduce fresh construction exactly, so the uncertainty bands in this report are a thousand real model runs rather than an approximation of a thousand runs.</w:t>
      </w:r>
    </w:p>
    <w:p>
      <w:pPr>
        <w:pStyle w:val="Heading2"/>
      </w:pPr>
      <w:r>
        <w:t xml:space="preserve">5.3 Test surface</w:t>
      </w:r>
    </w:p>
    <w:p>
      <w:pPr>
        <w:spacing w:after="120"/>
      </w:pPr>
      <w:r>
        <w:rPr>
          <w:b w:val="false"/>
          <w:bCs w:val="false"/>
          <w:i w:val="false"/>
          <w:iCs w:val="false"/>
        </w:rPr>
        <w:t xml:space="preserve">The repository carries 434 regression tests: the conservation battery across lever sweeps, numeric anchors for each kernel channel, the displacement-literature behavioral pins (attrition lowers the deficit; a job stays automated after its worker is reabsorbed; a stationary shock produces a stationary induced-layoff stock), sampler domain properties for the Monte Carlo, UI-grid representability and provenance completeness for every scenario preset, and the C8 sweep. The artifact pipeline that generated every number in this document is seeded and re-runs deterministically, and its build stamp appears in the footer of every page.</w:t>
      </w:r>
    </w:p>
    <w:p>
      <w:r>
        <w:br w:type="page"/>
      </w:r>
    </w:p>
    <w:p>
      <w:pPr>
        <w:pStyle w:val="Heading1"/>
      </w:pPr>
      <w:r>
        <w:t xml:space="preserve">6. Calibration: scenarios and policy overlays</w:t>
      </w:r>
    </w:p>
    <w:p>
      <w:pPr>
        <w:spacing w:after="120"/>
      </w:pPr>
      <w:r>
        <w:rPr>
          <w:b w:val="false"/>
          <w:bCs w:val="false"/>
          <w:i w:val="false"/>
          <w:iCs w:val="false"/>
        </w:rPr>
        <w:t xml:space="preserve">The model has roughly thirty continuous levers. Rather than defend one setting, the levers are anchored to the literature, with every anchor fetch-verified against the source text and the verbatim quotes and URLs preserved in the repository's evidence base, and coherent configurations are packaged as presets.</w:t>
      </w:r>
    </w:p>
    <w:p>
      <w:pPr>
        <w:spacing w:after="120"/>
      </w:pPr>
      <w:r>
        <w:rPr>
          <w:b w:val="false"/>
          <w:bCs w:val="false"/>
          <w:i w:val="false"/>
          <w:iCs w:val="false"/>
        </w:rPr>
        <w:t xml:space="preserve">Three unit conversions recur, and they are worth stating once, as getting any of them wrong changes answers by an order of magnitude rather than at the margin.</w:t>
      </w:r>
    </w:p>
    <w:p>
      <w:pPr>
        <w:spacing w:after="120"/>
      </w:pPr>
      <w:r>
        <w:rPr>
          <w:b w:val="false"/>
          <w:bCs w:val="false"/>
          <w:i w:val="false"/>
          <w:iCs w:val="false"/>
        </w:rPr>
        <w:t xml:space="preserve">The first is that exposure is not feasibility and feasibility is not adoption. Task-exposure measures, such as Eloundou et al.'s "GPTs are GPTs," are time-savings potentials, agnostic between augmentation and substitution. They are treated here as upper bounds on feasibility, with adoption carrying realized automation on its own cumulative timeline. Collapsing the three into one is the most common way a headline exposure percentage becomes an unjustifiably large displacement number.</w:t>
      </w:r>
    </w:p>
    <w:p>
      <w:pPr>
        <w:spacing w:after="120"/>
      </w:pPr>
      <w:r>
        <w:rPr>
          <w:b w:val="false"/>
          <w:bCs w:val="false"/>
          <w:i w:val="false"/>
          <w:iCs w:val="false"/>
        </w:rPr>
        <w:t xml:space="preserve">The second is that ad-valorem robot taxes are levied on robot spending, not on saved wages. The optimal-taxation literature's 1 to 3.7 percent robot tax, from Costinot and Werning, applies to the price of automation inputs. On this model's saved-compensation base the equivalent rate is that number times </w:t>
      </w:r>
      <w:r>
        <w:rPr>
          <w:rFonts w:ascii="Consolas" w:cs="Consolas" w:eastAsia="Consolas" w:hAnsi="Consolas"/>
          <w:b w:val="false"/>
          <w:bCs w:val="false"/>
          <w:i w:val="false"/>
          <w:iCs w:val="false"/>
        </w:rPr>
        <w:t xml:space="preserve">auto_cost</w:t>
      </w:r>
      <w:r>
        <w:rPr>
          <w:b w:val="false"/>
          <w:bCs w:val="false"/>
          <w:i w:val="false"/>
          <w:iCs w:val="false"/>
        </w:rPr>
        <w:t xml:space="preserve">, which is roughly 0.3 to 1 percent rather than 3 percent. A preset that skips this conversion overstates optimal robot-tax revenue by a factor of 10 to 25, which is large enough to reverse a policy conclusion.</w:t>
      </w:r>
    </w:p>
    <w:p>
      <w:pPr>
        <w:spacing w:after="120"/>
      </w:pPr>
      <w:r>
        <w:rPr>
          <w:b w:val="false"/>
          <w:bCs w:val="false"/>
          <w:i w:val="false"/>
          <w:iCs w:val="false"/>
        </w:rPr>
        <w:t xml:space="preserve">The third is that present-value earnings losses bundle spells with scars. Davis and von Wachter's 1.4 to 2.8 years of pre-displacement earnings include unemployment time this model already prices separately through UI and reabsorption, so only the long-run annual loss, 10 to 20 percent at ten years and beyond, maps to the permanent re-employment haircut. Using the present-value figure directly would double-count the spell.</w:t>
      </w:r>
    </w:p>
    <w:p>
      <w:pPr>
        <w:spacing w:after="120"/>
      </w:pPr>
      <w:r>
        <w:rPr>
          <w:b w:val="false"/>
          <w:bCs w:val="false"/>
          <w:i w:val="false"/>
          <w:iCs w:val="false"/>
        </w:rPr>
        <w:t xml:space="preserve">Each preset is a full lever configuration with per-lever provenance, as the application surfaces the anchor sentence for every value and the evidence document carries the quotes. Because a scenario's anchoring story and its results are one subject, each preset is introduced where its numbers are reported, in Section 7. The as-shipped lever table for all twelve appears in Appendix B.</w:t>
      </w:r>
    </w:p>
    <w:p>
      <w:pPr>
        <w:pStyle w:val="Heading2"/>
      </w:pPr>
      <w:r>
        <w:t xml:space="preserve">6.1 The four policy overlays</w:t>
      </w:r>
    </w:p>
    <w:p>
      <w:pPr>
        <w:spacing w:after="120"/>
      </w:pPr>
      <w:r>
        <w:rPr>
          <w:b w:val="false"/>
          <w:bCs w:val="false"/>
          <w:i w:val="false"/>
          <w:iCs w:val="false"/>
        </w:rPr>
        <w:t xml:space="preserve">Policy composes on top of any scenario and overrides the corresponding levers.</w:t>
      </w:r>
    </w:p>
    <w:p>
      <w:pPr>
        <w:spacing w:after="120"/>
      </w:pPr>
      <w:r>
        <w:rPr>
          <w:b w:val="false"/>
          <w:bCs w:val="false"/>
          <w:i w:val="false"/>
          <w:iCs w:val="false"/>
        </w:rPr>
        <w:t xml:space="preserve">The Costinot–Werning optimal robot tax is 2.7 percent ad-valorem on robot spending, their sufficient-statistic central value, converted through </w:t>
      </w:r>
      <w:r>
        <w:rPr>
          <w:rFonts w:ascii="Consolas" w:cs="Consolas" w:eastAsia="Consolas" w:hAnsi="Consolas"/>
          <w:b w:val="false"/>
          <w:bCs w:val="false"/>
          <w:i w:val="false"/>
          <w:iCs w:val="false"/>
        </w:rPr>
        <w:t xml:space="preserve">auto_cost</w:t>
      </w:r>
      <w:r>
        <w:rPr>
          <w:b w:val="false"/>
          <w:bCs w:val="false"/>
          <w:i w:val="false"/>
          <w:iCs w:val="false"/>
        </w:rPr>
        <w:t xml:space="preserve">. The Guerreiro, Rebelo, and Teles transitional robot tax is their 5.1 percent decade-one Mirrleesian rate; their steady state is zero, and the overlay flags that holding the decade-one rate constant overstates the tax beyond year ten. The UBI overlay pays $12,000 per worker per year with 30 percent recapture, an income-tax clawback within Korinek and Lockwood's 0.25 to 0.375 range. Compute-pool parity taxes the compute-capital pool like domestic capital, at 26.7 percent, the Windfall capital effective rate, instead of the 5 percent post-TCJA effective rate.</w:t>
      </w:r>
    </w:p>
    <w:p>
      <w:pPr>
        <w:spacing w:after="120"/>
      </w:pPr>
      <w:r>
        <w:rPr>
          <w:b w:val="false"/>
          <w:bCs w:val="false"/>
          <w:i w:val="false"/>
          <w:iCs w:val="false"/>
        </w:rPr>
        <w:t xml:space="preserve">Scenarios ship with the robot tax at zero deliberately. The separation keeps the question clean: Section 7 reports what each world does to the budget, and Section 8 reports what policy recovers.</w:t>
      </w:r>
    </w:p>
    <w:p>
      <w:r>
        <w:br w:type="page"/>
      </w:r>
    </w:p>
    <w:p>
      <w:pPr>
        <w:pStyle w:val="Heading1"/>
      </w:pPr>
      <w:r>
        <w:t xml:space="preserve">7. Findings: twelve worlds</w:t>
      </w:r>
    </w:p>
    <w:p>
      <w:pPr>
        <w:spacing w:after="120"/>
      </w:pPr>
      <w:r>
        <w:rPr>
          <w:b w:val="false"/>
          <w:bCs w:val="false"/>
          <w:i w:val="false"/>
          <w:iCs w:val="false"/>
        </w:rPr>
        <w:t xml:space="preserve">Each unit below is one scenario: the anchor its levers encode, its headline numbers, and the one thing it shows that the others do not. Dollar figures are nominal changes against the 2024 baseline, and net fiscal impact is the signed change in the federal balance, which reconciles to the deficit by identity C6. Two small-multiples grids carry the paths and attributions for all twelve at once, while the cross-scenario table and dot plot in Section 1.3 carry the levels. Per-year fiscal summaries, channel decompositions, and full lever rankings live in the artifact CSVs and the web application.</w:t>
      </w:r>
    </w:p>
    <w:p>
      <w:pPr>
        <w:spacing w:before="160"/>
        <w:jc w:val="center"/>
      </w:pPr>
      <w:r>
        <w:drawing>
          <wp:inline distT="0" distB="0" distL="0" distR="0">
            <wp:extent cx="5943600" cy="3409950"/>
            <wp:effectExtent t="0" r="0" b="0" l="0"/>
            <wp:docPr id="1" name="Figure 2 — Federal deficit change by scenario, 1000-draw Mon" descr="Figure 2 — Federal deficit change by scenario, 1000-draw Monte Carlo fans (P10–P90 and P25–P75 bands, median line, dashed base run). Axes are $B per year against years from scenario start, **scaled per panel**: horizons run eight to twenty years and final-year deficits span three orders of magnitude, so the grid compares path *shape*. Levels are in the cross-scenario table." title="Figure 2 — Federal deficit change by scenario, 1000-draw Monte Carlo fans (P10–P90 and P25–P75 bands, median line, dashed base run). Axes are $B per year against years from scenario start, **scaled per panel**: horizons run eight to twenty years and final-year deficits span three orders of magnitude, so the grid compares path *shape*. Levels are in the cross-scenario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09950"/>
                    </a:xfrm>
                    <a:prstGeom prst="rect">
                      <a:avLst/>
                    </a:prstGeom>
                  </pic:spPr>
                </pic:pic>
              </a:graphicData>
            </a:graphic>
          </wp:inline>
        </w:drawing>
      </w:r>
    </w:p>
    <w:p>
      <w:pPr>
        <w:pStyle w:val="Caption"/>
        <w:spacing w:after="160"/>
        <w:jc w:val="center"/>
      </w:pPr>
      <w:r>
        <w:t xml:space="preserve">Figure 2 — Federal deficit change by scenario, 1000-draw Monte Carlo fans (P10–P90 and P25–P75 bands, median line, dashed base run). Axes are $B per year against years from scenario start, **scaled per panel**: horizons run eight to twenty years and final-year deficits span three orders of magnitude, so the grid compares path *shape*. Levels are in the cross-scenario table.</w:t>
      </w:r>
    </w:p>
    <w:p>
      <w:pPr>
        <w:spacing w:before="160"/>
        <w:jc w:val="center"/>
      </w:pPr>
      <w:r>
        <w:drawing>
          <wp:inline distT="0" distB="0" distL="0" distR="0">
            <wp:extent cx="5943600" cy="4810125"/>
            <wp:effectExtent t="0" r="0" b="0" l="0"/>
            <wp:docPr id="1" name="Figure 3 — Deficit attribution by scenario: Spearman rank co" descr="Figure 3 — Deficit attribution by scenario: Spearman rank correlation of each perturbed lever with the final-year deficit change, top six levers per scenario. Which assumptions matter is itself scenario-dependent — that dependence is the figure's content." title="Figure 3 — Deficit attribution by scenario: Spearman rank correlation of each perturbed lever with the final-year deficit change, top six levers per scenario. Which assumptions matter is itself scenario-dependent — that dependence is the figure's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810125"/>
                    </a:xfrm>
                    <a:prstGeom prst="rect">
                      <a:avLst/>
                    </a:prstGeom>
                  </pic:spPr>
                </pic:pic>
              </a:graphicData>
            </a:graphic>
          </wp:inline>
        </w:drawing>
      </w:r>
    </w:p>
    <w:p>
      <w:pPr>
        <w:pStyle w:val="Caption"/>
        <w:spacing w:after="160"/>
        <w:jc w:val="center"/>
      </w:pPr>
      <w:r>
        <w:t xml:space="preserve">Figure 3 — Deficit attribution by scenario: Spearman rank correlation of each perturbed lever with the final-year deficit change, top six levers per scenario. Which assumptions matter is itself scenario-dependent — that dependence is the figure's content.</w:t>
      </w:r>
    </w:p>
    <w:p>
      <w:pPr>
        <w:spacing w:after="120"/>
      </w:pPr>
      <w:r>
        <w:rPr>
          <w:b w:val="false"/>
          <w:bCs w:val="false"/>
          <w:i w:val="false"/>
          <w:iCs w:val="false"/>
        </w:rPr>
        <w:t xml:space="preserve">The bands need a word, as they are easy to over-read. The Monte Carlo perturbs each lever independently by ±15 percent around its scenario setting, so a band measures robustness to lever mis-calibration within a world, meaning how wrong the headline could be if each anchor is somewhat off. It is not a calibrated probability interval, as the perturbation spread is a convention rather than an estimated distribution. The model's honest uncertainty statement is the spread across the twelve scenarios, carried by the cross-scenario table and comparison dot plot in Section 1.3, which is driven by genuinely contested quantities: how much work AI can do, how fast firms adopt it, and whether the labor market heals or scars. Which of those matter anywhere in the lever space rather than only near a preset is the subject of the global screening in Section 7.14.</w:t>
      </w:r>
    </w:p>
    <w:p>
      <w:pPr>
        <w:spacing w:after="120"/>
      </w:pPr>
      <w:r>
        <w:rPr>
          <w:b w:val="false"/>
          <w:bCs w:val="false"/>
          <w:i w:val="false"/>
          <w:iCs w:val="false"/>
        </w:rPr>
        <w:t xml:space="preserve">Two structural features of the set are visible before any individual world. The first is that five of the twelve end with the federal balance better than baseline, and three of those are cumulative paydowns across the whole horizon, as capital-side recoveries do overtake labor-side losses inside a decade where displacement is modest and the labor market functions. The fiscal problem is not automatic, and a report that only carried the severe worlds would be making a selection rather than a finding.</w:t>
      </w:r>
    </w:p>
    <w:p>
      <w:pPr>
        <w:spacing w:after="120"/>
      </w:pPr>
      <w:r>
        <w:rPr>
          <w:b w:val="false"/>
          <w:bCs w:val="false"/>
          <w:i w:val="false"/>
          <w:iCs w:val="false"/>
        </w:rPr>
        <w:t xml:space="preserve">The second is that the twelve do not spread evenly. They cluster, with final-year deficit changes sitting either below roughly $628 billion or above $2,284 billion, and nothing anchored between them. No published scenario found for this exercise lands in the middle, as the literature offers manageable worlds and regime changes with no gradual path between. The concession on this side is that this is a fact about the literature and not necessarily about the world: it may reflect what is publishable rather than what is likely, since a scenario that is neither reassuring nor alarming is harder to write.</w:t>
      </w:r>
    </w:p>
    <w:p>
      <w:pPr>
        <w:pStyle w:val="Heading2"/>
      </w:pPr>
      <w:r>
        <w:t xml:space="preserve">7.1 Acemoglu — Modest AI</w:t>
      </w:r>
    </w:p>
    <w:p>
      <w:pPr>
        <w:spacing w:after="120"/>
      </w:pPr>
      <w:r>
        <w:rPr>
          <w:b w:val="false"/>
          <w:bCs w:val="false"/>
          <w:i w:val="false"/>
          <w:iCs w:val="false"/>
        </w:rPr>
        <w:t xml:space="preserve">His ten-year upper bounds at face value: a fifth of the wage bill exposed, 23 percent of that profitably automatable within the decade, a 0.15 productivity pass-through from his own TFP arithmetic, no wage response, and a normal labor market. Employment falls 3.0 percent by year ten and the federal balance moves by +12.3 billion dollars, favorably. That sign is the finding: given modest displacement and a functioning labor market, the capital-side recoveries outgrow the shrinking labor losses within a decade. Cumulative new debt is 28 billion against a $1,833 billion baseline deficit. This scenario sets the floor of the set, as inside Acemoglu's bounds the fiscal system barely notices.</w:t>
      </w:r>
    </w:p>
    <w:p>
      <w:pPr>
        <w:pStyle w:val="Heading2"/>
      </w:pPr>
      <w:r>
        <w:t xml:space="preserve">7.2 Brynjolfsson — Augmentation</w:t>
      </w:r>
    </w:p>
    <w:p>
      <w:pPr>
        <w:spacing w:after="120"/>
      </w:pPr>
      <w:r>
        <w:rPr>
          <w:b w:val="false"/>
          <w:bCs w:val="false"/>
          <w:i w:val="false"/>
          <w:iCs w:val="false"/>
        </w:rPr>
        <w:t xml:space="preserve">AI complements more than it substitutes: adoption starts at the roughly 2 percent cumulative pace early payroll data actually measured, survivors capture a fifth of the surplus with positive wage complementarity, scarring is mild, and productivity pass-through is strong. Employment falls 6.0 percent, the final-year balance changes by +72.9 billion dollars, and the cumulative debt change is -219 billion, a net paydown. The distinctive mechanism is the survivor-wage channel doing real fiscal work, as raises re-taxed at full marginal rates rebuild part of the base displacement erodes. It is the one channel by which the labor share of revenue defends itself, and this is the world built to show it working.</w:t>
      </w:r>
    </w:p>
    <w:p>
      <w:pPr>
        <w:pStyle w:val="Heading2"/>
      </w:pPr>
      <w:r>
        <w:t xml:space="preserve">7.3 Windfall Trust — Medium</w:t>
      </w:r>
    </w:p>
    <w:p>
      <w:pPr>
        <w:spacing w:after="120"/>
      </w:pPr>
      <w:r>
        <w:rPr>
          <w:b w:val="false"/>
          <w:bCs w:val="false"/>
          <w:i w:val="false"/>
          <w:iCs w:val="false"/>
        </w:rPr>
        <w:t xml:space="preserve">The comparator, and the only scenario whose target comes from another model's published output: 60 percent of jobs exposed, half of exposed work automated in a decade, re-employment at 70 percent of prior wage, value capture split evenly between firms and consumers, capital at their 26.7 percent effective rate. Employment falls 21 percent, the final-year balance deteriorates by 219 billion dollars, and cumulative debt reaches 1,858 billion. The ten-year total-revenue change of -1.38 percent is what Section 9.1 sets against their −2.8 percent. The composition is worth noting: the state consumption-tax line barely moves even as prices fall, which is the taxable-to-consumer-surplus channel showing up as quantitatively real and almost entirely untaxed.</w:t>
      </w:r>
    </w:p>
    <w:p>
      <w:pPr>
        <w:pStyle w:val="Caption"/>
        <w:spacing w:after="60" w:before="160"/>
      </w:pPr>
      <w:r>
        <w:t xml:space="preserve">Table 2 — Windfall Trust — Medium: fiscal summary ($B, condensed years; the full table and the four-channel decomposition are in Appendix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092"/>
        <w:gridCol w:w="1092"/>
        <w:gridCol w:w="1092"/>
        <w:gridCol w:w="1092"/>
        <w:gridCol w:w="1092"/>
        <w:gridCol w:w="1092"/>
      </w:tblGrid>
      <w:tr>
        <w:trPr>
          <w:tblHeader/>
        </w:trPr>
        <w:tc>
          <w:tcPr>
            <w:tcW w:type="dxa" w:w="2808"/>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18"/>
                <w:szCs w:val="18"/>
              </w:rPr>
              <w:t xml:space="preserve">Line</w:t>
            </w:r>
          </w:p>
        </w:tc>
        <w:tc>
          <w:tcPr>
            <w:tcW w:type="dxa" w:w="1092"/>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Year 0</w:t>
            </w:r>
          </w:p>
        </w:tc>
        <w:tc>
          <w:tcPr>
            <w:tcW w:type="dxa" w:w="1092"/>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Year 1</w:t>
            </w:r>
          </w:p>
        </w:tc>
        <w:tc>
          <w:tcPr>
            <w:tcW w:type="dxa" w:w="1092"/>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Year 3</w:t>
            </w:r>
          </w:p>
        </w:tc>
        <w:tc>
          <w:tcPr>
            <w:tcW w:type="dxa" w:w="1092"/>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Year 5</w:t>
            </w:r>
          </w:p>
        </w:tc>
        <w:tc>
          <w:tcPr>
            <w:tcW w:type="dxa" w:w="1092"/>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Year 9</w:t>
            </w:r>
          </w:p>
        </w:tc>
        <w:tc>
          <w:tcPr>
            <w:tcW w:type="dxa" w:w="1092"/>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Total</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Income tax</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-26.9</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-52.5</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-98.3</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-141.9</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-205.3</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-1,242.9</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Payroll (FICA)</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-26.3</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-50.8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-93.2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-132.3</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-184.1</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-1,147.9</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Corporate recovery</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22.5</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46.6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99.4</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158.5</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264.2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1,425.9</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Windfall capital gains</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26.6</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Compute-pool tax</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6.3</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13.0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27.7</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44.0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73.3</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395.9</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Survivor wage taxes</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-19.9</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-27.8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-33.2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-223.3</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Overflow corporate tax</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Automation (robot) tax</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UBI recapture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SWF profit share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Federal VAT</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Tax on UI benefits</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2.4</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2.7</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26.6</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Income tax surcharge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Capital tax surcharge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Excise surcharge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8"/>
                <w:szCs w:val="18"/>
              </w:rPr>
              <w:t xml:space="preserve">Δ Federal revenue</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-22.2</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-48.7</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-79.7</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-93.3</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-77.2</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-739.0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Means-tested transfers</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10.9</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22.8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42.5</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60.1</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79.3</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510.9</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Unemployment insurance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21.7</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23.7</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27.6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31.6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26.6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266.2</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SSDI</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14.8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35.7</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147.3</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UBI (gross)</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8"/>
                <w:szCs w:val="18"/>
              </w:rPr>
              <w:t xml:space="preserve">Δ Federal outlays</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32.6</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47.7</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76.7</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106.5</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141.6</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924.4</w:t>
            </w:r>
          </w:p>
        </w:tc>
      </w:tr>
      <w:tr>
        <w:trPr>
          <w:tblHeader w:val="false"/>
        </w:trPr>
        <w:tc>
          <w:tcPr>
            <w:tcW w:type="dxa" w:w="2808"/>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8"/>
                <w:szCs w:val="18"/>
              </w:rPr>
              <w:t xml:space="preserve">Net fiscal impact (federal)</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-54.8</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-96.4</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-156.5</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-199.9</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-218.7</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-1,663.4</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Federal revenue (absolute)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4,960.6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4,934.1</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4,903.1</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4,889.5</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4,905.6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4,905.6</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Federal deficit (absolute)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1,887.8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1,929.4</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1,989.5</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2,032.9</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2,051.7</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2,051.7</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Federal debt (Δ cumulative)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54.8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152.8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452.1</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864.2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1,857.8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1,857.8</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Deficit (% of GDP)</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6.4</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6.3</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4.8</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State income tax</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-23.8</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-34.2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-48.6</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-297.9</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State consumption tax</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-2.1</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-4.4</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-8.4</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-12.1</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-17.1</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-105.0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Survivor wage taxes (state)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-2.5</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-3.5</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-4.2</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-28.2</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State income surcharge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State corporate surcharge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State consumption surcharge</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2808"/>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State transfers (outlay)</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3.1</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6.5</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11.9</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16.4</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20.7</w:t>
            </w:r>
          </w:p>
        </w:tc>
        <w:tc>
          <w:tcPr>
            <w:tcW w:type="dxa" w:w="1092"/>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138.4</w:t>
            </w:r>
          </w:p>
        </w:tc>
      </w:tr>
      <w:tr>
        <w:trPr>
          <w:tblHeader w:val="false"/>
        </w:trPr>
        <w:tc>
          <w:tcPr>
            <w:tcW w:type="dxa" w:w="2808"/>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8"/>
                <w:szCs w:val="18"/>
              </w:rPr>
              <w:t xml:space="preserve">Net fiscal impact (state)</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-11.7</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-24.7</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-46.6</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-66.2</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-90.6</w:t>
            </w:r>
          </w:p>
        </w:tc>
        <w:tc>
          <w:tcPr>
            <w:tcW w:type="dxa" w:w="1092"/>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8"/>
                <w:szCs w:val="18"/>
              </w:rPr>
              <w:t xml:space="preserve">-569.5</w:t>
            </w:r>
          </w:p>
        </w:tc>
      </w:tr>
    </w:tbl>
    <w:p>
      <w:pPr>
        <w:spacing w:after="120"/>
      </w:pPr>
    </w:p>
    <w:p>
      <w:pPr>
        <w:pStyle w:val="Heading2"/>
      </w:pPr>
      <w:r>
        <w:t xml:space="preserve">7.4 Autor et al. — China-shock dynamics</w:t>
      </w:r>
    </w:p>
    <w:p>
      <w:pPr>
        <w:spacing w:after="120"/>
      </w:pPr>
      <w:r>
        <w:rPr>
          <w:b w:val="false"/>
          <w:bCs w:val="false"/>
          <w:i w:val="false"/>
          <w:iCs w:val="false"/>
        </w:rPr>
        <w:t xml:space="preserve">The displacement here is smaller than Windfall-Medium's, at 40 percent of a moderately exposed economy over fifteen years, but the labor market is the one Autor, Dorn, and Hanson actually measured: reabsorption at 0.075 per year, labor-force exit as the dominant margin, a 25 percent permanent scar, and demand amplification at the no-monetary-offset end of the evidence. Nothing heals, so everything accumulates. Employment ends 19 percent down, the final-year deficit change is 628 billion dollars, induced layoffs stand at 6.6 million, and cumulative debt reaches 5,063 billion. This is the mechanism scenario, as it converts a moderate technology shock into a large fiscal one purely through adjustment failure.</w:t>
      </w:r>
    </w:p>
    <w:p>
      <w:pPr>
        <w:pStyle w:val="Heading2"/>
      </w:pPr>
      <w:r>
        <w:t xml:space="preserve">7.5 Korinek–Suh — AGI in 20 years</w:t>
      </w:r>
    </w:p>
    <w:p>
      <w:pPr>
        <w:spacing w:after="120"/>
      </w:pPr>
      <w:r>
        <w:rPr>
          <w:b w:val="false"/>
          <w:bCs w:val="false"/>
          <w:i w:val="false"/>
          <w:iCs w:val="false"/>
        </w:rPr>
        <w:t xml:space="preserve">Full automation, slowly: over twenty years the ceiling climbs to one, wages collapse ahead of it, and capital keeps 80 percent of the net saving. Employment ends 100 percent down, the deficit change is 2,284 billion dollars per year, and cumulative new debt is 38,227 billion, the largest in the set, as twenty years of near-total automation is simply more years of it. Real output ends 60 percent above baseline, which is the point: the fiscal crisis and the abundance are simultaneous, as the tax system is plumbed to wages while the abundance arrives as profit, price declines, and capital income. The states close 605 billion in the final year alone, half of it by spending cuts that feed back into demand.</w:t>
      </w:r>
    </w:p>
    <w:p>
      <w:pPr>
        <w:pStyle w:val="Heading2"/>
      </w:pPr>
      <w:r>
        <w:t xml:space="preserve">7.6 Korinek–Suh — AGI in 5 years</w:t>
      </w:r>
    </w:p>
    <w:p>
      <w:pPr>
        <w:spacing w:after="120"/>
      </w:pPr>
      <w:r>
        <w:rPr>
          <w:b w:val="false"/>
          <w:bCs w:val="false"/>
          <w:i w:val="false"/>
          <w:iCs w:val="false"/>
        </w:rPr>
        <w:t xml:space="preserve">The same destination at year five, linear to full automation and flat thereafter over a ten-year fiscal window, with crash robotics build-out, mass labor-force exit, and crisis-regime demand. Employment effectively ceases to be the tax base: down 100 percent, final-year deficit change 3,091 billion dollars, cumulative debt 25,961 billion, against a GDP simultaneously 60 percent larger in real terms. The distinctive result is insensitivity: the final-year P10–P90 band spans 2,755 to 3,369 billion, so the best decile of this world is worse than the worst decile of everything outside the AGI-and-takeoff class. It is also where the state caps bind hardest, with 38 states at their ceiling in the final year.</w:t>
      </w:r>
    </w:p>
    <w:p>
      <w:pPr>
        <w:pStyle w:val="Heading2"/>
      </w:pPr>
      <w:r>
        <w:t xml:space="preserve">7.7 AI 2027 — Fast takeoff</w:t>
      </w:r>
    </w:p>
    <w:p>
      <w:pPr>
        <w:spacing w:after="120"/>
      </w:pPr>
      <w:r>
        <w:rPr>
          <w:b w:val="false"/>
          <w:bCs w:val="false"/>
          <w:i w:val="false"/>
          <w:iCs w:val="false"/>
        </w:rPr>
        <w:t xml:space="preserve">The AI Futures shape: cognition maxes almost immediately, robots ramp over three years of crash build-out, and nearly a third of the saved bill goes to compute. The path starts at the scenario's own 20-percent-AI milestone and saturates at year five, three years inside the eight-year window. Employment falls 100 percent and cumulative debt reaches 15,786 billion. The finding is where the base lands rather than how much of it moves: the heavy automation-input bill shrinks the net saving available for profit, and so shrinks the corporate offset, while swelling a compute pool taxed at 5 percent. Fast takeoff routes an unusually large share of the migrated base to the lowest-taxed destination available, which is why compute parity binds hardest here, as Section 8 shows.</w:t>
      </w:r>
    </w:p>
    <w:p>
      <w:pPr>
        <w:pStyle w:val="Heading2"/>
      </w:pPr>
      <w:r>
        <w:t xml:space="preserve">7.8 AI 2040 — Plan A (The Deal)</w:t>
      </w:r>
    </w:p>
    <w:p>
      <w:pPr>
        <w:spacing w:after="120"/>
      </w:pPr>
      <w:r>
        <w:rPr>
          <w:b w:val="false"/>
          <w:bCs w:val="false"/>
          <w:i w:val="false"/>
          <w:iCs w:val="false"/>
        </w:rPr>
        <w:t xml:space="preserve">The AI Futures Project's managed transition: a 2029 US–China deal slows the takeoff, 95 percent of tasks are automatable by 2035–36, and employment falls from 62 to 12 percent over 2032–2040. The adoption path is knotted to their published trajectory, 20 percent of value-weighted labor by 2032 and 85 percent by 2035, so its shape is theirs rather than a fitted curve. Employment ends 100 percent down over fourteen years, the final-year deficit change is 2,318 billion dollars, and cumulative debt is 18,198 billion. What earns it a place is the exclusion: their permit-fee regime and Citizen's Dividend are policy rather than world state, so this prices Plan A's world under current US law, and the gap it reports measures the hole their policy was designed to fill.</w:t>
      </w:r>
    </w:p>
    <w:p>
      <w:pPr>
        <w:pStyle w:val="Heading2"/>
      </w:pPr>
      <w:r>
        <w:t xml:space="preserve">7.9 AI 2040 — Plan D (The Race)</w:t>
      </w:r>
    </w:p>
    <w:p>
      <w:pPr>
        <w:spacing w:after="120"/>
      </w:pPr>
      <w:r>
        <w:rPr>
          <w:b w:val="false"/>
          <w:bCs w:val="false"/>
          <w:i w:val="false"/>
          <w:iCs w:val="false"/>
        </w:rPr>
        <w:t xml:space="preserve">The same authors' no-deal branch, with identical technology and opposite governance, which makes it a controlled comparison. Superintelligence arrives in early 2031 and integration then runs as fast as markets and laws allow: the path holds at its starting level through year four, as nothing integrates before takeoff, then runs to full automation by year seven, the steepest ramp in the set. Employment ends 100 percent down, the final-year deficit change is 2,859 billion dollars, and 45 states hit their rate-hike caps. The comparison is the finding: the deferred-then-vertical path buys four quiet years and spends them all at once, reaching a worse annual deficit than Plan A on a horizon four years shorter. Speed, not eventual extent, is what the fiscal system cannot absorb.</w:t>
      </w:r>
    </w:p>
    <w:p>
      <w:pPr>
        <w:pStyle w:val="Heading2"/>
      </w:pPr>
      <w:r>
        <w:t xml:space="preserve">7.10 Karger et al. — Expert survey, rapid</w:t>
      </w:r>
    </w:p>
    <w:p>
      <w:pPr>
        <w:spacing w:after="120"/>
      </w:pPr>
      <w:r>
        <w:rPr>
          <w:b w:val="false"/>
          <w:bCs w:val="false"/>
          <w:i w:val="false"/>
          <w:iCs w:val="false"/>
        </w:rPr>
        <w:t xml:space="preserve">The NBER expert survey's rapid branch at its elicited 14 percent probability, and the first preset anchored to an elicited distribution rather than an authored scenario. It carries the survey's signature, which is that unemployment stays at 5 to 6 percent because displacement exits the labor force instead of joining the unemployment rolls. Employment falls 6.1 percent, the final-year balance moves by +15.5 billion dollars, and the cumulative change is -85 billion, which is a world that costs money on the way through and ends better than it started. It is also the first to switch on the Baumol pull, as the work humans still do gets expensive while everything else gets cheap, which is how the survey's rising median income reaches labor in this accounting.</w:t>
      </w:r>
    </w:p>
    <w:p>
      <w:pPr>
        <w:pStyle w:val="Heading2"/>
      </w:pPr>
      <w:r>
        <w:t xml:space="preserve">7.11 Metaculus — Crowd median, 2035</w:t>
      </w:r>
    </w:p>
    <w:p>
      <w:pPr>
        <w:spacing w:after="120"/>
      </w:pPr>
      <w:r>
        <w:rPr>
          <w:b w:val="false"/>
          <w:bCs w:val="false"/>
          <w:i w:val="false"/>
          <w:iCs w:val="false"/>
        </w:rPr>
        <w:t xml:space="preserve">The Labor Automation Hub's community medians: employment roughly 7.5 percent below the no-AI baseline by 2035, labor share down four to five points, and survivor wages up, which is displacement without a doom loop. It is also the only anchor here that is a live, revisable forecast rather than a fixed publication. Employment falls 7.3 percent, the final-year balance moves by +69.3 billion dollars, and cumulative debt changes by -152 billion. It is the only scenario running both refuge-wage forces, a Baumol pull and a crowding pressure, because that is what the crowd's simultaneous forecasts of falling labor share and rising real wages require: the two reconcile only if the gains concentrate in the work that stays human.</w:t>
      </w:r>
    </w:p>
    <w:p>
      <w:pPr>
        <w:pStyle w:val="Heading2"/>
      </w:pPr>
      <w:r>
        <w:t xml:space="preserve">7.12 OpenAI — Jobs transition framework</w:t>
      </w:r>
    </w:p>
    <w:p>
      <w:pPr>
        <w:spacing w:after="120"/>
      </w:pPr>
      <w:r>
        <w:rPr>
          <w:b w:val="false"/>
          <w:bCs w:val="false"/>
          <w:i w:val="false"/>
          <w:iCs w:val="false"/>
        </w:rPr>
        <w:t xml:space="preserve">Their four archetypes read as a decade of displacement pressure, being the 18 percent high-risk cohort plus partial staffing compression where jobs reorganize. Their framing is explicit that this maps pressure rather than job losses, and the preset honors that by pairing substantial cognitive exposure with the healthiest labor market in the set, meaning reabsorption at 0.55 with the grow-with-AI bucket absorbing, and a physical channel near zero. Employment falls 8.6 percent, which is more than in either survey-anchored world, yet the final-year balance improves by +114 billion dollars and the horizon is a cumulative paydown of +241 billion, the largest here. That inversion is the cleanest demonstration of the recurring result, which is that how the labor market responds moves the fiscal outcome more than how much work is automated. The same displacement met by the China-shock labor market is a crisis.</w:t>
      </w:r>
    </w:p>
    <w:p>
      <w:pPr>
        <w:pStyle w:val="Heading2"/>
      </w:pPr>
      <w:r>
        <w:t xml:space="preserve">7.13 The three theses, across worlds</w:t>
      </w:r>
    </w:p>
    <w:p>
      <w:pPr>
        <w:spacing w:after="120"/>
      </w:pPr>
      <w:r>
        <w:rPr>
          <w:b w:val="false"/>
          <w:bCs w:val="false"/>
          <w:i w:val="false"/>
          <w:iCs w:val="false"/>
        </w:rPr>
        <w:t xml:space="preserve">Base migration holds in every scenario with substantial displacement, and the channel decomposition shows the same anatomy each time, with the four-channel view for the Windfall comparator in Appendix C: labor taxes lost at combined marginal rates, partially recovered through capital-side channels at roughly half those rates or less, and the consumer-surplus channel, meaning price declines, recovered at roughly two cents on the dollar through state consumption taxes.</w:t>
      </w:r>
    </w:p>
    <w:p>
      <w:pPr>
        <w:spacing w:after="120"/>
      </w:pPr>
      <w:r>
        <w:rPr>
          <w:b w:val="false"/>
          <w:bCs w:val="false"/>
          <w:i w:val="false"/>
          <w:iCs w:val="false"/>
        </w:rPr>
        <w:t xml:space="preserve">The shareholder leg completes the capital-side picture and is the smallest of them. In the five-year AGI world the windfall capital-gains line raises 28.9 billion dollars in the final year against a standing unrealized stock of $3,656 billion, so the accrued equity claim the automation surplus creates is real and large while current law reaches almost none of it inside the fiscal window. Deferral, the taxable-holder share, and step-up at death do that work. Pricing the channel rather than assuming it is what licenses the conclusion that the equity windfall is fiscally near-mute, and Section 4.5 sets out the construction.</w:t>
      </w:r>
    </w:p>
    <w:p>
      <w:pPr>
        <w:spacing w:after="120"/>
      </w:pPr>
      <w:r>
        <w:rPr>
          <w:b w:val="false"/>
          <w:bCs w:val="false"/>
          <w:i w:val="false"/>
          <w:iCs w:val="false"/>
        </w:rPr>
        <w:t xml:space="preserve">Revenue falls faster than employment because exposure skews above the median wage and the schedules are progressive, so the percentage revenue loss exceeds the percentage employment loss early in every scenario. The wedge narrows only where survivor raises rebuild the base, as in the augmentation and crowd-median worlds, and widens where scarring is deep, as in the grind.</w:t>
      </w:r>
    </w:p>
    <w:p>
      <w:pPr>
        <w:spacing w:after="120"/>
      </w:pPr>
      <w:r>
        <w:rPr>
          <w:b w:val="false"/>
          <w:bCs w:val="false"/>
          <w:i w:val="false"/>
          <w:iCs w:val="false"/>
        </w:rPr>
        <w:t xml:space="preserve">The state amplifier operates because the federal deficit is a shock absorber while the states' balance requirement is a shock transmitter. Across scenarios, state gaps scale with displacement, the rate-hike caps bind in the severe worlds, and every dollar of forced spending cuts re-enters the demand channel as first-round-multiplier withdrawal, which is visible both in the induced-layoff stocks and in the difference between scenarios with and without state stress in their configuration.</w:t>
      </w:r>
    </w:p>
    <w:p>
      <w:pPr>
        <w:pStyle w:val="Heading2"/>
      </w:pPr>
      <w:r>
        <w:t xml:space="preserve">7.14 Global sensitivity screening</w:t>
      </w:r>
    </w:p>
    <w:p>
      <w:pPr>
        <w:spacing w:after="120"/>
      </w:pPr>
      <w:r>
        <w:rPr>
          <w:b w:val="false"/>
          <w:bCs w:val="false"/>
          <w:i w:val="false"/>
          <w:iCs w:val="false"/>
        </w:rPr>
        <w:t xml:space="preserve">The per-scenario bands above are deliberately local. Asking which assumptions matter anywhere, and where in the lever space the fiscal picture changes qualitatively, requires sweeping the whole space: a 10,000-point Latin hypercube over 26 lever dimensions spanning the full interface ranges, with adoption ceilings from 5 to 100 percent of exposed work, reabsorption from frozen to near-frictionless, demand amplification from none to crisis-regime, and the policy dials from off to their maxima, each point run at a common ten-year horizon.</w:t>
      </w:r>
    </w:p>
    <w:p>
      <w:pPr>
        <w:spacing w:after="120"/>
      </w:pPr>
      <w:r>
        <w:rPr>
          <w:b w:val="false"/>
          <w:bCs w:val="false"/>
          <w:i w:val="false"/>
          <w:iCs w:val="false"/>
        </w:rPr>
        <w:t xml:space="preserve">Every one of the 10,000 runs passes the full conservation battery, as the C1–C8 identities hold at every sampled corner of the space with 0 failures, alongside an employment-oscillation screen with 0 runs flagged. A dedicated 400-point batch at a twenty-year horizon, concentrated in the near-total-automation corner that produced the demand-controller artifact fixed during development, meaning high adoption with hot demand feedback and cold re-employment, regression-guards that fix: no sampled path shows more than 0 above-threshold employment reversal against a flag threshold of two.</w:t>
      </w:r>
    </w:p>
    <w:p>
      <w:pPr>
        <w:spacing w:after="120"/>
      </w:pPr>
      <w:r>
        <w:rPr>
          <w:b w:val="false"/>
          <w:bCs w:val="false"/>
          <w:i w:val="false"/>
          <w:iCs w:val="false"/>
        </w:rPr>
        <w:t xml:space="preserve">Classified by the final-year deficit change as a share of GDP, the global space splits into four regimes. The federal balance improves in 6 percent of the space, where survivor-wage and capital-recapture channels outrun small displacement; it worsens by under one percent of GDP in 11 percent, by one to three percent in 30 percent, and by more than three percent of GDP, which is fiscal stress on the scale of a permanent Great-Recession revenue shock, in 53 percent. State rate-hike caps bind somewhere along the path in 0.6 percent of the space. The twelve presets of this section were chosen before this sweep was run, and the map confirms they span the regimes rather than clustering in one. The four shareholder-channel levers are not swept as dimensions, as they are measured current-law constants riding at their shipped values in every run, so the sweep explores the worlds that create the equity claim rather than alternative tax treatments of it.</w:t>
      </w:r>
    </w:p>
    <w:p>
      <w:pPr>
        <w:spacing w:before="160"/>
        <w:jc w:val="center"/>
      </w:pPr>
      <w:r>
        <w:drawing>
          <wp:inline distT="0" distB="0" distL="0" distR="0">
            <wp:extent cx="5943600" cy="3143250"/>
            <wp:effectExtent t="0" r="0" b="0" l="0"/>
            <wp:docPr id="1" name="Figure 4 — Global regime map: each point is one sampled worl" descr="Figure 4 — Global regime map: each point is one sampled world, positioned by the two strongest uncertainty drivers and colored by its final-year fiscal regime." title="Figure 4 — Global regime map: each point is one sampled world, positioned by the two strongest uncertainty drivers and colored by its final-year fiscal 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143250"/>
                    </a:xfrm>
                    <a:prstGeom prst="rect">
                      <a:avLst/>
                    </a:prstGeom>
                  </pic:spPr>
                </pic:pic>
              </a:graphicData>
            </a:graphic>
          </wp:inline>
        </w:drawing>
      </w:r>
    </w:p>
    <w:p>
      <w:pPr>
        <w:pStyle w:val="Caption"/>
        <w:spacing w:after="160"/>
        <w:jc w:val="center"/>
      </w:pPr>
      <w:r>
        <w:t xml:space="preserve">Figure 4 — Global regime map: each point is one sampled world, positioned by the two strongest uncertainty drivers and colored by its final-year fiscal regime.</w:t>
      </w:r>
    </w:p>
    <w:p>
      <w:pPr>
        <w:spacing w:after="120"/>
      </w:pPr>
      <w:r>
        <w:rPr>
          <w:b w:val="false"/>
          <w:bCs w:val="false"/>
          <w:i w:val="false"/>
          <w:iCs w:val="false"/>
        </w:rPr>
        <w:t xml:space="preserve">Rank correlations against the final-year deficit are computed per lever and reported on two panels, separating the uncertainty dimensions, meaning what the world does, from the policy dimensions, meaning what governments choose. The separation is necessary because the policy dollars are mechanically large: a maxed UBI dial moves trillions and would otherwise drown the attribution of genuine uncertainty. Among the uncertainty dimensions the strongest global driver is </w:t>
      </w:r>
      <w:r>
        <w:rPr>
          <w:rFonts w:ascii="Consolas" w:cs="Consolas" w:eastAsia="Consolas" w:hAnsi="Consolas"/>
          <w:b w:val="false"/>
          <w:bCs w:val="false"/>
          <w:i w:val="false"/>
          <w:iCs w:val="false"/>
        </w:rPr>
        <w:t xml:space="preserve">retained_profit_share</w:t>
      </w:r>
      <w:r>
        <w:rPr>
          <w:b w:val="false"/>
          <w:bCs w:val="false"/>
          <w:i w:val="false"/>
          <w:iCs w:val="false"/>
        </w:rPr>
        <w:t xml:space="preserve"> (ρ = -0.16); among policy dimensions it is </w:t>
      </w:r>
      <w:r>
        <w:rPr>
          <w:rFonts w:ascii="Consolas" w:cs="Consolas" w:eastAsia="Consolas" w:hAnsi="Consolas"/>
          <w:b w:val="false"/>
          <w:bCs w:val="false"/>
          <w:i w:val="false"/>
          <w:iCs w:val="false"/>
        </w:rPr>
        <w:t xml:space="preserve">ubi_annual</w:t>
      </w:r>
      <w:r>
        <w:rPr>
          <w:b w:val="false"/>
          <w:bCs w:val="false"/>
          <w:i w:val="false"/>
          <w:iCs w:val="false"/>
        </w:rPr>
        <w:t xml:space="preserve"> (ρ = +0.82). Alongside the rank correlation each lever carries a binned correlation ratio, η², used as a first-order Sobol proxy. Agreement between the two indicates a monotone effect, while a high η² with a near-zero ρ flags the conditionally activated levers, such as a robotics lag that matters only where physical feasibility is high or a UBI recapture that matters only where UBI is on, whose influence rank correlation alone understates.</w:t>
      </w:r>
    </w:p>
    <w:p>
      <w:pPr>
        <w:spacing w:before="160"/>
        <w:jc w:val="center"/>
      </w:pPr>
      <w:r>
        <w:drawing>
          <wp:inline distT="0" distB="0" distL="0" distR="0">
            <wp:extent cx="5943600" cy="4705350"/>
            <wp:effectExtent t="0" r="0" b="0" l="0"/>
            <wp:docPr id="1" name="Figure 5 — Global drivers of the final-year federal deficit " descr="Figure 5 — Global drivers of the final-year federal deficit across the whole lever space — uncertainty dimensions." title="Figure 5 — Global drivers of the final-year federal deficit across the whole lever space — uncertainty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705350"/>
                    </a:xfrm>
                    <a:prstGeom prst="rect">
                      <a:avLst/>
                    </a:prstGeom>
                  </pic:spPr>
                </pic:pic>
              </a:graphicData>
            </a:graphic>
          </wp:inline>
        </w:drawing>
      </w:r>
    </w:p>
    <w:p>
      <w:pPr>
        <w:pStyle w:val="Caption"/>
        <w:spacing w:after="160"/>
        <w:jc w:val="center"/>
      </w:pPr>
      <w:r>
        <w:t xml:space="preserve">Figure 5 — Global drivers of the final-year federal deficit across the whole lever space — uncertainty dimensions.</w:t>
      </w:r>
    </w:p>
    <w:p>
      <w:pPr>
        <w:spacing w:before="160"/>
        <w:jc w:val="center"/>
      </w:pPr>
      <w:r>
        <w:drawing>
          <wp:inline distT="0" distB="0" distL="0" distR="0">
            <wp:extent cx="5943600" cy="2247900"/>
            <wp:effectExtent t="0" r="0" b="0" l="0"/>
            <wp:docPr id="1" name="Figure 6 — Global drivers of the final-year federal deficit " descr="Figure 6 — Global drivers of the final-year federal deficit — policy dimensions. The UBI dial dominates by construction: it is the only lever that moves trillions of dollars directly." title="Figure 6 — Global drivers of the final-year federal deficit — policy dimensions. The UBI dial dominates by construction: it is the only lever that moves trillions of dollars dire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247900"/>
                    </a:xfrm>
                    <a:prstGeom prst="rect">
                      <a:avLst/>
                    </a:prstGeom>
                  </pic:spPr>
                </pic:pic>
              </a:graphicData>
            </a:graphic>
          </wp:inline>
        </w:drawing>
      </w:r>
    </w:p>
    <w:p>
      <w:pPr>
        <w:pStyle w:val="Caption"/>
        <w:spacing w:after="160"/>
        <w:jc w:val="center"/>
      </w:pPr>
      <w:r>
        <w:t xml:space="preserve">Figure 6 — Global drivers of the final-year federal deficit — policy dimensions. The UBI dial dominates by construction: it is the only lever that moves trillions of dollars directly.</w:t>
      </w:r>
    </w:p>
    <w:p>
      <w:pPr>
        <w:spacing w:after="120"/>
      </w:pPr>
      <w:r>
        <w:rPr>
          <w:b w:val="false"/>
          <w:bCs w:val="false"/>
          <w:i w:val="false"/>
          <w:iCs w:val="false"/>
        </w:rPr>
        <w:t xml:space="preserve">Two caveats bound what the sweep can say. It samples the lever space uniformly, weighting a five-year-AGI corner equally with a modest-AI corner, so the regime frequencies describe the model's behavior over its input space rather than probabilities over futures. And it holds the model's structure fixed, exploring parameter space rather than specification space, for which the simplifications table of Section 10 is the honest account.</w:t>
      </w:r>
    </w:p>
    <w:p>
      <w:r>
        <w:br w:type="page"/>
      </w:r>
    </w:p>
    <w:p>
      <w:pPr>
        <w:pStyle w:val="Heading1"/>
      </w:pPr>
      <w:r>
        <w:t xml:space="preserve">8. Policy overlays: what government recovers</w:t>
      </w:r>
    </w:p>
    <w:p>
      <w:pPr>
        <w:spacing w:after="120"/>
      </w:pPr>
      <w:r>
        <w:rPr>
          <w:b w:val="false"/>
          <w:bCs w:val="false"/>
          <w:i w:val="false"/>
          <w:iCs w:val="false"/>
        </w:rPr>
        <w:t xml:space="preserve">Each overlay is applied on top of each scenario and re-run, with the recovery measured as the year-by-year difference in the federal deficit. The table reports cumulative recovery over each scenario's horizon, with the share of the scenario's cumulative fiscal gap in parentheses where the gap is large enough for the ratio to mean anything.</w:t>
      </w:r>
    </w:p>
    <w:p>
      <w:pPr>
        <w:pStyle w:val="Caption"/>
        <w:spacing w:after="60" w:before="160"/>
      </w:pPr>
      <w:r>
        <w:t xml:space="preserve">Table 3 — Cumulative federal deficit recovery by scenario × overlay, $B (share of the scenario's cumulative gap in parentheses; omitted where the cumulative gap is below $100B). The UBI column is negative: it is a net cost, shown here for the same accounting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685"/>
        <w:gridCol w:w="1685"/>
        <w:gridCol w:w="1685"/>
        <w:gridCol w:w="1684"/>
      </w:tblGrid>
      <w:tr>
        <w:trPr>
          <w:tblHeader/>
        </w:trPr>
        <w:tc>
          <w:tcPr>
            <w:tcW w:type="dxa" w:w="2621"/>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18"/>
                <w:szCs w:val="18"/>
              </w:rPr>
              <w:t xml:space="preserve">Preset</w:t>
            </w:r>
          </w:p>
        </w:tc>
        <w:tc>
          <w:tcPr>
            <w:tcW w:type="dxa" w:w="1685"/>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Robot tax (CW optimal)</w:t>
            </w:r>
          </w:p>
        </w:tc>
        <w:tc>
          <w:tcPr>
            <w:tcW w:type="dxa" w:w="1685"/>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Robot tax (GRT trans.)</w:t>
            </w:r>
          </w:p>
        </w:tc>
        <w:tc>
          <w:tcPr>
            <w:tcW w:type="dxa" w:w="1685"/>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UBI $12k + 30% recapture</w:t>
            </w:r>
          </w:p>
        </w:tc>
        <w:tc>
          <w:tcPr>
            <w:tcW w:type="dxa" w:w="1684"/>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Compute parity 0.27</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Acemoglu — Modest AI</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-12,920</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Brynjolfsson — Augmentation</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+18</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-12,929</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+79</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Windfall Trust — Medium</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+30 (2%)</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+57 (3%)</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-12,609 (-758%)</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 (0%)</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Autor et al. — China-shock dynamics</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+23 (0%)</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+44 (1%)</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-16,875 (-380%)</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+194 (4%)</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Korinek-Suh — AGI in 20 years</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+347 (1%)</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+655 (2%)</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-20,682 (-71%)</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+3,724 (13%)</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Korinek-Suh — AGI in 5 years</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+322 (1%)</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+609 (3%)</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-11,203 (-50%)</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+3,466 (15%)</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AI 2027 — Fast takeoff</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+362 (2%)</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+684 (5%)</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-9,038 (-64%)</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+3,890 (27%)</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AI 2040 — Plan A (The Deal)</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+492 (3%)</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+930 (6%)</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-15,064 (-95%)</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+5,297 (33%)</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AI 2040 — Plan D (The Race)</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+287 (2%)</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+542 (4%)</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-11,571 (-92%)</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+3,083 (24%)</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Karger et al. — Expert survey, rapid (P≈14%)</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+16</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+30</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-12,913</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+133</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Metaculus — Crowd median, 2035</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+22</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-12,928</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+98</w:t>
            </w:r>
          </w:p>
        </w:tc>
      </w:tr>
      <w:tr>
        <w:trPr>
          <w:tblHeader w:val="false"/>
        </w:trPr>
        <w:tc>
          <w:tcPr>
            <w:tcW w:type="dxa" w:w="262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OpenAI — Jobs transition framework</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+28</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+52</w:t>
            </w:r>
          </w:p>
        </w:tc>
        <w:tc>
          <w:tcPr>
            <w:tcW w:type="dxa" w:w="1685"/>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-12,898</w:t>
            </w:r>
          </w:p>
        </w:tc>
        <w:tc>
          <w:tcPr>
            <w:tcW w:type="dxa" w:w="1684"/>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+230</w:t>
            </w:r>
          </w:p>
        </w:tc>
      </w:tr>
    </w:tbl>
    <w:p>
      <w:pPr>
        <w:spacing w:after="120"/>
      </w:pPr>
    </w:p>
    <w:p>
      <w:pPr>
        <w:spacing w:after="120"/>
      </w:pPr>
      <w:r>
        <w:rPr>
          <w:b w:val="false"/>
          <w:bCs w:val="false"/>
          <w:i w:val="false"/>
          <w:iCs w:val="false"/>
        </w:rPr>
        <w:t xml:space="preserve">Three results follow, and the first is the section's headline.</w:t>
      </w:r>
    </w:p>
    <w:p>
      <w:pPr>
        <w:spacing w:after="120"/>
      </w:pPr>
      <w:r>
        <w:rPr>
          <w:b w:val="false"/>
          <w:bCs w:val="false"/>
          <w:i w:val="false"/>
          <w:iCs w:val="false"/>
        </w:rPr>
        <w:t xml:space="preserve">Literature-optimal robot taxes are small money, and this follows from a unit conversion rather than from a modeling choice. The optimal-taxation literature's rates are ad-valorem on robot spending: Costinot and Werning's sufficient statistic tops out at 3.7 percent, Thuemmel's published estimate is near zero, and Guerreiro, Rebelo, and Teles is transitional and zero in steady state. Converting to the saved-wage base multiplies those rates by </w:t>
      </w:r>
      <w:r>
        <w:rPr>
          <w:rFonts w:ascii="Consolas" w:cs="Consolas" w:eastAsia="Consolas" w:hAnsi="Consolas"/>
          <w:b w:val="false"/>
          <w:bCs w:val="false"/>
          <w:i w:val="false"/>
          <w:iCs w:val="false"/>
        </w:rPr>
        <w:t xml:space="preserve">auto_cost</w:t>
      </w:r>
      <w:r>
        <w:rPr>
          <w:b w:val="false"/>
          <w:bCs w:val="false"/>
          <w:i w:val="false"/>
          <w:iCs w:val="false"/>
        </w:rPr>
        <w:t xml:space="preserve">, so at Costinot and Werning's central 2.7 percent the effective rate on saved compensation is 0.3 to 0.8 percent across scenarios, which recovers single-digit percentages of the fiscal gap everywhere the gap is large.</w:t>
      </w:r>
    </w:p>
    <w:p>
      <w:pPr>
        <w:spacing w:after="120"/>
      </w:pPr>
      <w:r>
        <w:rPr>
          <w:b w:val="false"/>
          <w:bCs w:val="false"/>
          <w:i w:val="false"/>
          <w:iCs w:val="false"/>
        </w:rPr>
        <w:t xml:space="preserve">A robot tax large enough to replace the lost labor wedge would have to be an order of magnitude above anything in the optimal-taxation literature, and that literature rules such a tax out precisely because it would suppress the automation that funds the productivity gains. That behavioral response is one this model does not represent at all, as Section 10 records, which means these recovery numbers are upper bounds: a real economy would return less, not more.</w:t>
      </w:r>
    </w:p>
    <w:p>
      <w:pPr>
        <w:spacing w:after="120"/>
      </w:pPr>
      <w:r>
        <w:rPr>
          <w:b w:val="false"/>
          <w:bCs w:val="false"/>
          <w:i w:val="false"/>
          <w:iCs w:val="false"/>
        </w:rPr>
        <w:t xml:space="preserve">UBI is a fiscal decision rather than a fiscal offset. At $12,000 per worker with 30 percent recapture, the cumulative net cost over the Windfall-Medium decade is 12,932 billion dollars, which dwarfs the fiscal damage of every scenario except the AGI transitions, where it is merely comparable to the damage. Its demand-side effect is real, as the level-targeting controller visibly releases induced workers when the UBI lands, but it is second-order against the gross cost. In the AGI worlds the interesting number is a different one: the flat tax rate on the eroded base required to fund it exceeds 100 percent, so UBI in those worlds is fundable only from the capital side, which is Korinek and Lockwood's point arriving as an accounting result.</w:t>
      </w:r>
    </w:p>
    <w:p>
      <w:pPr>
        <w:spacing w:after="120"/>
      </w:pPr>
      <w:r>
        <w:rPr>
          <w:b w:val="false"/>
          <w:bCs w:val="false"/>
          <w:i w:val="false"/>
          <w:iCs w:val="false"/>
        </w:rPr>
        <w:t xml:space="preserve">Compute parity is the sleeper. Taxing the compute-capital pool at the domestic-capital effective rate of 26.7 percent instead of the post-TCJA 5 percent recovers the most where automation investment is heaviest, which is the fast-takeoff world, where nearly a third of the saved bill flows through the pool. It also has the cleanest incidence story of the four, as it taxes the new capital stock that displacement creates rather than the act of automating.</w:t>
      </w:r>
    </w:p>
    <w:p>
      <w:pPr>
        <w:spacing w:before="160"/>
        <w:jc w:val="center"/>
      </w:pPr>
      <w:r>
        <w:drawing>
          <wp:inline distT="0" distB="0" distL="0" distR="0">
            <wp:extent cx="5943600" cy="2914650"/>
            <wp:effectExtent t="0" r="0" b="0" l="0"/>
            <wp:docPr id="1" name="Figure 7 — Reprise: the scenario space the overlays operate " descr="Figure 7 — Reprise: the scenario space the overlays operate in. No overlay moves a scenario across the bands separating the modest, grinding, and AGI worlds." title="Figure 7 — Reprise: the scenario space the overlays operate in. No overlay moves a scenario across the bands separating the modest, grinding, and AGI wor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14650"/>
                    </a:xfrm>
                    <a:prstGeom prst="rect">
                      <a:avLst/>
                    </a:prstGeom>
                  </pic:spPr>
                </pic:pic>
              </a:graphicData>
            </a:graphic>
          </wp:inline>
        </w:drawing>
      </w:r>
    </w:p>
    <w:p>
      <w:pPr>
        <w:pStyle w:val="Caption"/>
        <w:spacing w:after="160"/>
        <w:jc w:val="center"/>
      </w:pPr>
      <w:r>
        <w:t xml:space="preserve">Figure 7 — Reprise: the scenario space the overlays operate in. No overlay moves a scenario across the bands separating the modest, grinding, and AGI worlds.</w:t>
      </w:r>
    </w:p>
    <w:p>
      <w:pPr>
        <w:spacing w:after="120"/>
      </w:pPr>
      <w:r>
        <w:rPr>
          <w:b w:val="false"/>
          <w:bCs w:val="false"/>
          <w:i w:val="false"/>
          <w:iCs w:val="false"/>
        </w:rPr>
        <w:t xml:space="preserve">That last point is the one to carry forward. No overlay in this set moves a scenario across the bands separating the modest, grinding, and AGI worlds. Policy of the kind the literature currently recommends changes the size of the hole and not which hole a given world is in.</w:t>
      </w:r>
    </w:p>
    <w:p>
      <w:r>
        <w:br w:type="page"/>
      </w:r>
    </w:p>
    <w:p>
      <w:pPr>
        <w:pStyle w:val="Heading1"/>
      </w:pPr>
      <w:r>
        <w:t xml:space="preserve">9. Validation against external models</w:t>
      </w:r>
    </w:p>
    <w:p>
      <w:pPr>
        <w:spacing w:after="120"/>
      </w:pPr>
      <w:r>
        <w:rPr>
          <w:b w:val="false"/>
          <w:bCs w:val="false"/>
          <w:i w:val="false"/>
          <w:iCs w:val="false"/>
        </w:rPr>
        <w:t xml:space="preserve">No other public model computes exactly this object, but three come close enough to triangulate. The comparisons below run inside the artifact pipeline, with the external targets hard-coded from the source documents and the model numbers computed fresh on every build. No preset is tuned to hit an external number, and the disagreements below are displayed rather than closed.</w:t>
      </w:r>
    </w:p>
    <w:p>
      <w:pPr>
        <w:pStyle w:val="Heading2"/>
      </w:pPr>
      <w:r>
        <w:t xml:space="preserve">9.1 Windfall Trust (Ieong, Saputra, Maniar, and Cheng 2026)</w:t>
      </w:r>
    </w:p>
    <w:p>
      <w:pPr>
        <w:spacing w:after="120"/>
      </w:pPr>
      <w:r>
        <w:rPr>
          <w:b w:val="false"/>
          <w:bCs w:val="false"/>
          <w:i w:val="false"/>
          <w:iCs w:val="false"/>
        </w:rPr>
        <w:t xml:space="preserve">Their simulator computes ten-year total tax revenue changes for an average OECD country under three displacement scenarios and two value-capture regimes, and their grid replicates on this machinery. The scenario axis maps to adoption ceilings of 0.20, 0.50, and 0.80 with scarring of 20, 30, and 40 percent; their high-capture allocation, 45 percent firms, 45 percent consumers, and 10 percent residual, is the Windfall-Medium preset's disposition; and their low-capture allocation of 15, 15, and 70 maps exactly by routing 70 percent of the saved bill to automation inputs that leak untaxed. The metric matches theirs: cumulative ten-year total revenue change, federal plus pre-closure state, as a share of baseline.</w:t>
      </w:r>
    </w:p>
    <w:p>
      <w:pPr>
        <w:pStyle w:val="Caption"/>
        <w:spacing w:after="60" w:before="160"/>
      </w:pPr>
      <w:r>
        <w:t xml:space="preserve">Table 4 — Windfall Trust replication grid: this model vs. their published targets (10-year total revenue change, % of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20"/>
                <w:szCs w:val="20"/>
              </w:rPr>
              <w:t xml:space="preserve">Scenario</w:t>
            </w:r>
          </w:p>
        </w:tc>
        <w:tc>
          <w:tcPr>
            <w:tcW w:type="dxa" w:w="23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20"/>
                <w:szCs w:val="20"/>
              </w:rPr>
              <w:t xml:space="preserve">Value capture</w:t>
            </w:r>
          </w:p>
        </w:tc>
        <w:tc>
          <w:tcPr>
            <w:tcW w:type="dxa" w:w="23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20"/>
                <w:szCs w:val="20"/>
              </w:rPr>
              <w:t xml:space="preserve">This model</w:t>
            </w:r>
          </w:p>
        </w:tc>
        <w:tc>
          <w:tcPr>
            <w:tcW w:type="dxa" w:w="23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20"/>
                <w:szCs w:val="20"/>
              </w:rPr>
              <w:t xml:space="preserve">Windfall Trust</w:t>
            </w:r>
          </w:p>
        </w:tc>
      </w:tr>
      <w:tr>
        <w:trPr>
          <w:tblHeader w:val="false"/>
        </w:trPr>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20"/>
                <w:szCs w:val="20"/>
              </w:rPr>
              <w:t xml:space="preserve">Low</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High</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-0.45%</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+0.2%</w:t>
            </w:r>
          </w:p>
        </w:tc>
      </w:tr>
      <w:tr>
        <w:trPr>
          <w:tblHeader w:val="false"/>
        </w:trPr>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20"/>
                <w:szCs w:val="20"/>
              </w:rPr>
              <w:t xml:space="preserve">Low</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Low</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-0.74%</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-1.8%</w:t>
            </w:r>
          </w:p>
        </w:tc>
      </w:tr>
      <w:tr>
        <w:trPr>
          <w:tblHeader w:val="false"/>
        </w:trPr>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20"/>
                <w:szCs w:val="20"/>
              </w:rPr>
              <w:t xml:space="preserve">Medium</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High</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-1.38%</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-2.8%</w:t>
            </w:r>
          </w:p>
        </w:tc>
      </w:tr>
      <w:tr>
        <w:trPr>
          <w:tblHeader w:val="false"/>
        </w:trPr>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20"/>
                <w:szCs w:val="20"/>
              </w:rPr>
              <w:t xml:space="preserve">Medium</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Low</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-2.00%</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-7.7%</w:t>
            </w:r>
          </w:p>
        </w:tc>
      </w:tr>
      <w:tr>
        <w:trPr>
          <w:tblHeader w:val="false"/>
        </w:trPr>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20"/>
                <w:szCs w:val="20"/>
              </w:rPr>
              <w:t xml:space="preserve">High</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High</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-2.50%</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-7.3%</w:t>
            </w:r>
          </w:p>
        </w:tc>
      </w:tr>
      <w:tr>
        <w:trPr>
          <w:tblHeader w:val="false"/>
        </w:trPr>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20"/>
                <w:szCs w:val="20"/>
              </w:rPr>
              <w:t xml:space="preserve">High</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Low</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-3.47%</w:t>
            </w:r>
          </w:p>
        </w:tc>
        <w:tc>
          <w:tcPr>
            <w:tcW w:type="dxa" w:w="23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20"/>
                <w:szCs w:val="20"/>
              </w:rPr>
              <w:t xml:space="preserve">-15.3%</w:t>
            </w:r>
          </w:p>
        </w:tc>
      </w:tr>
    </w:tbl>
    <w:p>
      <w:pPr>
        <w:spacing w:after="120"/>
      </w:pPr>
    </w:p>
    <w:p>
      <w:pPr>
        <w:spacing w:after="120"/>
      </w:pPr>
      <w:r>
        <w:rPr>
          <w:b w:val="false"/>
          <w:bCs w:val="false"/>
          <w:i w:val="false"/>
          <w:iCs w:val="false"/>
        </w:rPr>
        <w:t xml:space="preserve">The comparison validates structure rather than magnitude. The grid reproduces their sign everywhere and their double monotonicity, worse with more displacement and worse with less value capture, but at roughly half their magnitudes. The wedge has a known anatomy: their tax base is an average OECD country, 46 percent labor with a VAT that taxes the consumption their consumer-surplus channel feeds, while this one is the actual US federal-plus-state system, which is more labor-skewed on the loss side but carries corporate, compute, and survivor-wage recoveries their static accounting does not model, and offers only a roughly 2 percent consumption wedge for price declines to escape through. A model of the US that agreed with a model of the average OECD country would be wrong for the wrong reasons.</w:t>
      </w:r>
    </w:p>
    <w:p>
      <w:pPr>
        <w:pStyle w:val="Heading2"/>
      </w:pPr>
      <w:r>
        <w:t xml:space="preserve">9.2 RAND (Price and Suresh 2025)</w:t>
      </w:r>
    </w:p>
    <w:p>
      <w:pPr>
        <w:spacing w:after="120"/>
      </w:pPr>
      <w:r>
        <w:rPr>
          <w:b w:val="false"/>
          <w:bCs w:val="false"/>
          <w:i w:val="false"/>
          <w:iCs w:val="false"/>
        </w:rPr>
        <w:t xml:space="preserve">Their at-cost scenario runs a 10 percentage-point unemployment shock for five years through FRB/US with AI priced at cost, and finds federal revenue roughly 25 percent lower by 2035, almost entirely through a 26 percent lower nominal GDP. Replicating that shock here means a one-shot displacement calibrated to exactly 10 percent of the workforce, using a flat adoption ceiling solved to 0.222, with reabsorption at 0.2 per year to match their five-year full return, and all net saving routed to price reductions at full pass-through. The unemployment proxy starts at 10.0 percent and falls to 3.8 percent by year five.</w:t>
      </w:r>
    </w:p>
    <w:p>
      <w:pPr>
        <w:spacing w:after="120"/>
      </w:pPr>
      <w:r>
        <w:rPr>
          <w:b w:val="false"/>
          <w:bCs w:val="false"/>
          <w:i w:val="false"/>
          <w:iCs w:val="false"/>
        </w:rPr>
        <w:t xml:space="preserve">Federal revenue at year ten is -3.1 percent below baseline in this model's own accounting, and -7.9 percent below after scaling revenue unit-elastically by the modeled price level, which sits at 0.951 at year ten, against their −25 percent.</w:t>
      </w:r>
    </w:p>
    <w:p>
      <w:pPr>
        <w:spacing w:after="120"/>
      </w:pPr>
      <w:r>
        <w:rPr>
          <w:b w:val="false"/>
          <w:bCs w:val="false"/>
          <w:i w:val="false"/>
          <w:iCs w:val="false"/>
        </w:rPr>
        <w:t xml:space="preserve">The gap is a mechanism difference and worth stating plainly. RAND's number is overwhelmingly a deflation result inside a nominal macro model with an active Federal Reserve, while this model never feeds price-level changes into nominal tax computations, following the A2 rule of Section 4.7, because real-world bracket schedules are indexed and the double-count risk runs the other way. What the comparison does confirm is that when prices are allowed to carry revenue the way theirs do, meaning the adjusted number, the two models' displacement-plus-pricing stories are the same order of magnitude. The remaining difference is this model's recovery channels, the corporate offset and reabsorption, which their five-year-recovery scenario also builds in on the employment side but not on the revenue side.</w:t>
      </w:r>
    </w:p>
    <w:p>
      <w:pPr>
        <w:pStyle w:val="Heading2"/>
      </w:pPr>
      <w:r>
        <w:t xml:space="preserve">9.3 Acemoglu (2024) and Korinek–Suh (2024)</w:t>
      </w:r>
    </w:p>
    <w:p>
      <w:pPr>
        <w:spacing w:after="120"/>
      </w:pPr>
      <w:r>
        <w:rPr>
          <w:b w:val="false"/>
          <w:bCs w:val="false"/>
          <w:i w:val="false"/>
          <w:iCs w:val="false"/>
        </w:rPr>
        <w:t xml:space="preserve">Two cheap but non-trivial checks. The Acemoglu preset's real-output gain at year ten is 0.44 percent, inside his roughly 1.1 percent upper bound, which itself includes capital-deepening effects this model's productivity dividend does not claim. And the non-AGI presets run on a baseline growth rate consistent with Korinek and Suh's business-as-usual 2 percent real growth. Neither is a strong test, and both would have caught a gross mis-calibration, which is the whole of what they are for.</w:t>
      </w:r>
    </w:p>
    <w:p>
      <w:pPr>
        <w:pStyle w:val="Heading2"/>
      </w:pPr>
      <w:r>
        <w:t xml:space="preserve">9.4 What validation cannot do here</w:t>
      </w:r>
    </w:p>
    <w:p>
      <w:pPr>
        <w:spacing w:after="120"/>
      </w:pPr>
      <w:r>
        <w:rPr>
          <w:b w:val="false"/>
          <w:bCs w:val="false"/>
          <w:i w:val="false"/>
          <w:iCs w:val="false"/>
        </w:rPr>
        <w:t xml:space="preserve">All three external models are themselves models, so none of this is a comparison against the world. What agreement in sign and ordering across independent architectures does establish is that the base-migration mechanism is robust to modeling choices, as those architectures are genuinely different: static accounting in the Windfall case, a DSGE with monetary policy in RAND's, and a bottom-up cell-level machine here. The magnitudes disagree for identified, mechanical reasons. Displaying that disagreement is more useful than tuning it away, since a tuned agreement would conceal exactly the structural differences that make the triangulation informative.</w:t>
      </w:r>
    </w:p>
    <w:p>
      <w:r>
        <w:br w:type="page"/>
      </w:r>
    </w:p>
    <w:p>
      <w:pPr>
        <w:pStyle w:val="Heading1"/>
      </w:pPr>
      <w:r>
        <w:t xml:space="preserve">10. Simplifications and biases</w:t>
      </w:r>
    </w:p>
    <w:p>
      <w:pPr>
        <w:spacing w:after="120"/>
      </w:pPr>
      <w:r>
        <w:rPr>
          <w:b/>
          <w:bCs/>
          <w:i w:val="false"/>
          <w:iCs w:val="false"/>
        </w:rPr>
        <w:t xml:space="preserve">The deliberate simplifications of this model.</w:t>
      </w:r>
      <w:r>
        <w:rPr>
          <w:b w:val="false"/>
          <w:bCs w:val="false"/>
          <w:i w:val="false"/>
          <w:iCs w:val="false"/>
        </w:rPr>
        <w:t xml:space="preserve"> There are two significant structural decisions that this model makes. First, capital income does not spend: retained profit reaches the economy only as tax — corporate tax, and for the undistributed remainder the shareholder realization channel of Section 4.5 — and never as shareholder consumption or investment, with the latter likely being a significant source of economic growth. Second, there is no task creation: displaced workers re-enter only through a fixed re-employment rate into a finite set of low-exposure occupations; automation never endogenously creates new kinds of work. Both of these decisions are deliberate. The history of automation shows that offsets will eventually arrive, but this model asks what the fiscal impacts will be if the offsets arrive late or never. Fiscal authorities will still need to be able to respond to this scenario, but consider the numbers to be in a world with no offsets.</w:t>
      </w:r>
    </w:p>
    <w:p>
      <w:pPr>
        <w:spacing w:after="120"/>
      </w:pPr>
      <w:r>
        <w:rPr>
          <w:b w:val="false"/>
          <w:bCs w:val="false"/>
          <w:i w:val="false"/>
          <w:iCs w:val="false"/>
        </w:rPr>
        <w:t xml:space="preserve">Beyond those two, every known simplification is listed below with its direction of bias on the headline, which is the federal fiscal gap. The practice is borrowed from the Windfall Trust's paper. "Overstates" means the true gap is likely smaller than modeled, and "understates" means larger.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18"/>
                <w:szCs w:val="18"/>
              </w:rPr>
              <w:t xml:space="preserve">Simplification</w:t>
            </w:r>
          </w:p>
        </w:tc>
        <w:tc>
          <w:tcPr>
            <w:tcW w:type="dxa" w:w="468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Direction of bias on the fiscal gap</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No behavioral response of automation to the robot tax (Korea evidence: a 2pp tax-credit cut reduced robot installations 28%)</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overlay recoveries are upper bounds; scenario paths unaffected at shipped tax = 0</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No monetary-policy block (no Fed response to the demand shock)</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overstates in crisis scenarios (dm calibrated to partially compensate)</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Within-job augmentation not represented (a worker made more productive but retained)</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overstates where augmentation dominates (the Brynjolfsson preset carries it only via survivor shares)</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Corporate channel books full conversion of saved compensation to taxable surplus</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**understates** (a deliberate steelman of the recovery)</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Pass-through (proprietor) capital tax routed federal-only</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overstates the federal share, understates the state share</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Shareholder channel omits the 1 percent buyback excise (IRC §4501, JCT-scored $74B/10y) and all state-side taxation of dividends and realized gains (following the same federal-only convention as pass-through capital)</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understates the channel's recovery, therefore **overstates** the gap — both omissions are small against a channel that is itself near-mute</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Shareholder capitalization uses a disclosed price/earnings convention (the long-run market mean, not the current richer multiple) rather than a modeled equity price</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direction depends on the multiple; the finding is insensitive to it because the binding constraint is the measured taxable-holder × realization chain, not the multiple (§4.5)</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UI parameters national (45% replacement, 26 weeks, $20k cap), not per-state DOL schedules</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direction ambiguous, small</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Transfer federal/state splits flat (e.g. Medicaid 65/35) vs. actual FMAP 50–77% by state</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shifts fed/state composition, not the total</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Benefits are entitlement values, not take-up-adjusted spending</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overstates transfer outlays (especially ACA PTC)</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Benefits looked up by total household income, not earned income</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understates EITC deltas</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Robot exposure anchored to the current patent stock (dexterity/care/performance occupations near zero even at full feasibility)</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**understates** AGI scenarios' physical channel</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Price level never enters nominal tax computations (A2 rule)</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understates relative to deflation-driven models (quantified in §9.2)</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Cross-sectional local evidence (China shock, fiscal multipliers) applied nationally</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overstates if national general-equilibrium offsets are large</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Fixed baseline economy (no counterfactual growth in the wage base beyond a denominator trend)</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understates losses at long horizons in level terms</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AGI presets run a wage-economy accounting frame through a post-wage transition</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the frame itself strains; treat the near-total-automation scenarios (⑤–⑨) as transition stories, not steady states</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Adoption is linear between anchored points (piecewise through published trajectory knots; §4.1). Measured cost of the convention: re-running every non-knotted scenario under asymmetric-S alternatives moves cumulative debt by up to 17 percent in the large-displacement worlds and at most $93B in the modest ones; final-year deficits leave the Monte Carlo P10–P90 band in 5 of 20 re-runs, but in only 1 of the 10 large-displacement runs — the excursions concentrate in the modest worlds, where a band only tens of billions wide makes a small dollar move look like a large one</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direction depends on which S variant — front-loaded shapes raise cumulative debt in the severe worlds, back-loaded shapes lower it; endpoints are pinned by construction</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Monte Carlo perturbs levers locally and independently (no correlated shocks, no Latin-hypercube global exploration)</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bands are local credibility intervals, not full uncertainty</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Reabsorption is rationed by refuge capacity (inflow), but already-reabsorbed workers are never re-displaced (no outflow churn)</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understates AGI scenarios modestly — the inflow choke already carries most of the effect</w:t>
            </w:r>
          </w:p>
        </w:tc>
      </w:tr>
      <w:tr>
        <w:trPr>
          <w:tblHeader w:val="false"/>
        </w:trPr>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Reabsorbed wage dynamics (Baumol pull, crowding pressure) ship at zero in every preset</w:t>
            </w:r>
          </w:p>
        </w:tc>
        <w:tc>
          <w:tcPr>
            <w:tcW w:type="dxa" w:w="468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direction depends on which force dominates; both are exposed as levers</w:t>
            </w:r>
          </w:p>
        </w:tc>
      </w:tr>
    </w:tbl>
    <w:p>
      <w:pPr>
        <w:spacing w:after="120"/>
      </w:pPr>
    </w:p>
    <w:p>
      <w:pPr>
        <w:spacing w:after="120"/>
      </w:pPr>
      <w:r>
        <w:rPr>
          <w:b w:val="false"/>
          <w:bCs w:val="false"/>
          <w:i w:val="false"/>
          <w:iCs w:val="false"/>
        </w:rPr>
        <w:t xml:space="preserve">Two of these deserve emphasis because they cut against the model's own thesis. The corporate steelman and the robotics floor both make the modeled fiscal gap smaller than the mechanism implies, as the first books the most generous possible recapture and the second holds physical automation to the occupations today's patent stock can reach. Correcting either in the direction the evidence points would widen the gap rather than narrow it, so the headline findings survive their correction in the wrong-for-the-thesis direction, which is the more demanding test.</w:t>
      </w:r>
    </w:p>
    <w:p>
      <w:pPr>
        <w:pStyle w:val="Heading1"/>
      </w:pPr>
      <w:r>
        <w:t xml:space="preserve">11. Conclusion and further work</w:t>
      </w:r>
    </w:p>
    <w:p>
      <w:pPr>
        <w:spacing w:after="120"/>
      </w:pPr>
      <w:r>
        <w:rPr>
          <w:b w:val="false"/>
          <w:bCs w:val="false"/>
          <w:i w:val="false"/>
          <w:iCs w:val="false"/>
        </w:rPr>
        <w:t xml:space="preserve">The United States taxes work. This model prices what happens when machines do some of it instead, and the answer holds across twelve differently-anchored futures: the money the economy keeps making stops flowing through the fiscal system's main intake. In the modest worlds the effect is absorbable, and self-correcting once capital-side recoveries compound. In the grinding and AGI worlds the deficit widens by hundreds to thousands of billions per year while real output booms, the states hit their rate caps and transmit austerity back into demand, and the taxes the optimal-taxation literature recommends recover cents on the dollar.</w:t>
      </w:r>
    </w:p>
    <w:p>
      <w:pPr>
        <w:spacing w:after="120"/>
      </w:pPr>
      <w:r>
        <w:rPr>
          <w:b w:val="false"/>
          <w:bCs w:val="false"/>
          <w:i w:val="false"/>
          <w:iCs w:val="false"/>
        </w:rPr>
        <w:t xml:space="preserve">What separates those outcomes is the more useful result, as it is not mainly how much work is automated. The same displacement met by a functioning labor market is absorbable and met by the labor market Autor, Dorn, and Hanson measured is a crisis, which is why the OpenAI world sheds more employment than either survey-anchored world and still ends in a cumulative paydown. The policy problem, on this accounting, is therefore not how to tax robots. It is how to re-plumb a wage-based revenue system for an economy whose value increasingly arrives as profit, price declines, and capital income, and how to keep a labor market able to reabsorb the people it displaces while that re-plumbing happens.</w:t>
      </w:r>
    </w:p>
    <w:p>
      <w:pPr>
        <w:spacing w:after="120"/>
      </w:pPr>
      <w:r>
        <w:rPr>
          <w:b w:val="false"/>
          <w:bCs w:val="false"/>
          <w:i w:val="false"/>
          <w:iCs w:val="false"/>
        </w:rPr>
        <w:t xml:space="preserve">What would falsify the central claim is straightforward to state. If the destinations of the saved wage bill were taxed at rates comparable to the labor they replace, or if reabsorption held near its historical pace in the presence of a shrinking low-exposure refuge, the base-migration result would not survive, as the gap in every scenario is built from those two quantities. Both are measurable, and both are watched in the model as levers rather than assumed as constants.</w:t>
      </w:r>
    </w:p>
    <w:p>
      <w:pPr>
        <w:spacing w:after="120"/>
      </w:pPr>
      <w:r>
        <w:rPr>
          <w:b w:val="false"/>
          <w:bCs w:val="false"/>
          <w:i w:val="false"/>
          <w:iCs w:val="false"/>
        </w:rPr>
        <w:t xml:space="preserve">Further work, in rough order of value: a take-up adjustment and earned-income axis for the transfer bake, which closes the known level-versus-mechanics gap; per-state UI and FMAP schedules; a behavioral adoption response to automation taxation, using the Korea elasticity; an augmentation channel distinct from displacement; O*NET-anchored physical-task ceilings to replace the patent-stock robotics floor; a shareholder-consumption and investment channel, so that capital income does something besides sit in the ledger; and a skill-similarity reabsorption matrix to replace the service-floor approximation. The scaffolding for each is already in place, as the lever seams, conservation gates, and the reduction anchor are what make an addition auditable rather than merely possible.</w:t>
      </w:r>
    </w:p>
    <w:p>
      <w:r>
        <w:br w:type="page"/>
      </w:r>
    </w:p>
    <w:p>
      <w:pPr>
        <w:pStyle w:val="Heading1"/>
      </w:pPr>
      <w:r>
        <w:t xml:space="preserve">Appendix A — Equation reference</w:t>
      </w:r>
    </w:p>
    <w:p>
      <w:pPr>
        <w:spacing w:after="120"/>
      </w:pPr>
      <w:r>
        <w:rPr>
          <w:b w:val="false"/>
          <w:bCs w:val="false"/>
          <w:i w:val="false"/>
          <w:iCs w:val="false"/>
        </w:rPr>
        <w:t xml:space="preserve">The complete reference, including the per-lever effect table and the Monte Carlo whitelist, lives in the repository (</w:t>
      </w:r>
      <w:r>
        <w:rPr>
          <w:rFonts w:ascii="Consolas" w:cs="Consolas" w:eastAsia="Consolas" w:hAnsi="Consolas"/>
          <w:b w:val="false"/>
          <w:bCs w:val="false"/>
          <w:i w:val="false"/>
          <w:iCs w:val="false"/>
        </w:rPr>
        <w:t xml:space="preserve">docs/EQUATIONS.md</w:t>
      </w:r>
      <w:r>
        <w:rPr>
          <w:b w:val="false"/>
          <w:bCs w:val="false"/>
          <w:i w:val="false"/>
          <w:iCs w:val="false"/>
        </w:rPr>
        <w:t xml:space="preserve">); this appendix carries the load-bearing core in execution order. Notation: per-cell quantities are (occupation × state) vectors; </w:t>
      </w:r>
      <w:r>
        <w:rPr>
          <w:rFonts w:ascii="Consolas" w:cs="Consolas" w:eastAsia="Consolas" w:hAnsi="Consolas"/>
          <w:b w:val="false"/>
          <w:bCs w:val="false"/>
          <w:i w:val="false"/>
          <w:iCs w:val="false"/>
        </w:rPr>
        <w:t xml:space="preserve">Σ</w:t>
      </w:r>
      <w:r>
        <w:rPr>
          <w:b w:val="false"/>
          <w:bCs w:val="false"/>
          <w:i w:val="false"/>
          <w:iCs w:val="false"/>
        </w:rPr>
        <w:t xml:space="preserve"> sums over cells unless subscripted.</w:t>
      </w:r>
    </w:p>
    <w:p>
      <w:pPr>
        <w:pStyle w:val="Heading2"/>
      </w:pPr>
      <w:r>
        <w:t xml:space="preserve">A.1 Displacement (per period t)</w:t>
      </w:r>
    </w:p>
    <w:p>
      <w:pPr>
        <w:shd w:fill="F4F4F4" w:val="clear"/>
        <w:spacing w:after="0" w:before="120"/>
      </w:pPr>
      <w:r>
        <w:rPr>
          <w:rFonts w:ascii="Consolas" w:cs="Consolas" w:eastAsia="Consolas" w:hAnsi="Consolas"/>
          <w:sz w:val="18"/>
          <w:szCs w:val="18"/>
        </w:rPr>
        <w:t xml:space="preserve">g_cell(t) = 1 − (1 − cog_exposure · cognitive_feasibility)</w:t>
      </w:r>
    </w:p>
    <w:p>
      <w:pPr>
        <w:shd w:fill="F4F4F4" w:val="clear"/>
        <w:spacing w:after="0" w:before="0"/>
      </w:pPr>
      <w:r>
        <w:rPr>
          <w:rFonts w:ascii="Consolas" w:cs="Consolas" w:eastAsia="Consolas" w:hAnsi="Consolas"/>
          <w:sz w:val="18"/>
          <w:szCs w:val="18"/>
        </w:rPr>
        <w:t xml:space="preserve">              · (1 − robot_exposure · physical_feasibility · min(1, t / robotics_lag))</w:t>
      </w:r>
    </w:p>
    <w:p>
      <w:pPr>
        <w:shd w:fill="F4F4F4" w:val="clear"/>
        <w:spacing w:after="0" w:before="0"/>
      </w:pPr>
      <w:r>
        <w:rPr>
          <w:rFonts w:ascii="Consolas" w:cs="Consolas" w:eastAsia="Consolas" w:hAnsi="Consolas"/>
          <w:sz w:val="18"/>
          <w:szCs w:val="18"/>
        </w:rPr>
        <w:t xml:space="preserve">target(t) = clip(g_cell(t) · adoption(t), 0, 1) · emp0        # cumulative ceiling vs baseline</w:t>
      </w:r>
    </w:p>
    <w:p>
      <w:pPr>
        <w:shd w:fill="F4F4F4" w:val="clear"/>
        <w:spacing w:after="0" w:before="0"/>
      </w:pPr>
      <w:r>
        <w:rPr>
          <w:rFonts w:ascii="Consolas" w:cs="Consolas" w:eastAsia="Consolas" w:hAnsi="Consolas"/>
          <w:sz w:val="18"/>
          <w:szCs w:val="18"/>
        </w:rPr>
        <w:t xml:space="preserve">flow(t)   = clip(target(t) − auto_disp, 0, employed)          # never un-automates, never overdraws</w:t>
      </w:r>
    </w:p>
    <w:p>
      <w:pPr>
        <w:shd w:fill="F4F4F4" w:val="clear"/>
        <w:spacing w:after="120" w:before="0"/>
      </w:pPr>
      <w:r>
        <w:rPr>
          <w:rFonts w:ascii="Consolas" w:cs="Consolas" w:eastAsia="Consolas" w:hAnsi="Consolas"/>
          <w:sz w:val="18"/>
          <w:szCs w:val="18"/>
        </w:rPr>
        <w:t xml:space="preserve">auto_disp += flow(t)                                          # the firm side keys off this stock</w:t>
      </w:r>
    </w:p>
    <w:p>
      <w:pPr>
        <w:pStyle w:val="Heading2"/>
      </w:pPr>
      <w:r>
        <w:t xml:space="preserve">A.2 Worker transitions</w:t>
      </w:r>
    </w:p>
    <w:p>
      <w:pPr>
        <w:shd w:fill="F4F4F4" w:val="clear"/>
        <w:spacing w:after="0" w:before="120"/>
      </w:pPr>
      <w:r>
        <w:rPr>
          <w:rFonts w:ascii="Consolas" w:cs="Consolas" w:eastAsia="Consolas" w:hAnsi="Consolas"/>
          <w:sz w:val="18"/>
          <w:szCs w:val="18"/>
        </w:rPr>
        <w:t xml:space="preserve">employed → on_ui → exhausted → { reabsorbed   at reabsorption_rate</w:t>
      </w:r>
    </w:p>
    <w:p>
      <w:pPr>
        <w:shd w:fill="F4F4F4" w:val="clear"/>
        <w:spacing w:after="0" w:before="0"/>
      </w:pPr>
      <w:r>
        <w:rPr>
          <w:rFonts w:ascii="Consolas" w:cs="Consolas" w:eastAsia="Consolas" w:hAnsi="Consolas"/>
          <w:sz w:val="18"/>
          <w:szCs w:val="18"/>
        </w:rPr>
        <w:t xml:space="preserve">                                 exited(SSDI) at lfp_exit_rate</w:t>
      </w:r>
    </w:p>
    <w:p>
      <w:pPr>
        <w:shd w:fill="F4F4F4" w:val="clear"/>
        <w:spacing w:after="0" w:before="0"/>
      </w:pPr>
      <w:r>
        <w:rPr>
          <w:rFonts w:ascii="Consolas" w:cs="Consolas" w:eastAsia="Consolas" w:hAnsi="Consolas"/>
          <w:sz w:val="18"/>
          <w:szCs w:val="18"/>
        </w:rPr>
        <w:t xml:space="preserve">                                 retired      at attrition_rate }     (induced joins the pool)</w:t>
      </w:r>
    </w:p>
    <w:p>
      <w:pPr>
        <w:shd w:fill="F4F4F4" w:val="clear"/>
        <w:spacing w:after="0" w:before="0"/>
      </w:pPr>
      <w:r>
        <w:rPr>
          <w:rFonts w:ascii="Consolas" w:cs="Consolas" w:eastAsia="Consolas" w:hAnsi="Consolas"/>
          <w:sz w:val="18"/>
          <w:szCs w:val="18"/>
        </w:rPr>
        <w:t xml:space="preserve">w_d = max(origin_wage · (1 − haircut), service_floor)          # re-employment wage, permanent scar</w:t>
      </w:r>
    </w:p>
    <w:p>
      <w:pPr>
        <w:shd w:fill="F4F4F4" w:val="clear"/>
        <w:spacing w:after="120" w:before="0"/>
      </w:pPr>
      <w:r>
        <w:rPr>
          <w:rFonts w:ascii="Consolas" w:cs="Consolas" w:eastAsia="Consolas" w:hAnsi="Consolas"/>
          <w:sz w:val="18"/>
          <w:szCs w:val="18"/>
        </w:rPr>
        <w:t xml:space="preserve">C1:  employed + on_ui + exhausted + reabsorbed + exited + induced + retired = emp0   (per cell)</w:t>
      </w:r>
    </w:p>
    <w:p>
      <w:pPr>
        <w:pStyle w:val="Heading2"/>
      </w:pPr>
      <w:r>
        <w:t xml:space="preserve">A.3 Disposition of the saved bill</w:t>
      </w:r>
    </w:p>
    <w:p>
      <w:pPr>
        <w:shd w:fill="F4F4F4" w:val="clear"/>
        <w:spacing w:after="0" w:before="120"/>
      </w:pPr>
      <w:r>
        <w:rPr>
          <w:rFonts w:ascii="Consolas" w:cs="Consolas" w:eastAsia="Consolas" w:hAnsi="Consolas"/>
          <w:sz w:val="18"/>
          <w:szCs w:val="18"/>
        </w:rPr>
        <w:t xml:space="preserve">saved_bill       = Σ_auto_disp comp_per_worker</w:t>
      </w:r>
    </w:p>
    <w:p>
      <w:pPr>
        <w:shd w:fill="F4F4F4" w:val="clear"/>
        <w:spacing w:after="0" w:before="0"/>
      </w:pPr>
      <w:r>
        <w:rPr>
          <w:rFonts w:ascii="Consolas" w:cs="Consolas" w:eastAsia="Consolas" w:hAnsi="Consolas"/>
          <w:sz w:val="18"/>
          <w:szCs w:val="18"/>
        </w:rPr>
        <w:t xml:space="preserve">automation_spend = auto_cost · saved_bill                      → compute pool</w:t>
      </w:r>
    </w:p>
    <w:p>
      <w:pPr>
        <w:shd w:fill="F4F4F4" w:val="clear"/>
        <w:spacing w:after="0" w:before="0"/>
      </w:pPr>
      <w:r>
        <w:rPr>
          <w:rFonts w:ascii="Consolas" w:cs="Consolas" w:eastAsia="Consolas" w:hAnsi="Consolas"/>
          <w:sz w:val="18"/>
          <w:szCs w:val="18"/>
        </w:rPr>
        <w:t xml:space="preserve">net_saving       = saved_bill − automation_spend               (≥ 0, C-gate)</w:t>
      </w:r>
    </w:p>
    <w:p>
      <w:pPr>
        <w:shd w:fill="F4F4F4" w:val="clear"/>
        <w:spacing w:after="0" w:before="0"/>
      </w:pPr>
      <w:r>
        <w:rPr>
          <w:rFonts w:ascii="Consolas" w:cs="Consolas" w:eastAsia="Consolas" w:hAnsi="Consolas"/>
          <w:sz w:val="18"/>
          <w:szCs w:val="18"/>
        </w:rPr>
        <w:t xml:space="preserve">net_saving       = retained_profit + price_reduction + survivor_gains        (simplex, C2)</w:t>
      </w:r>
    </w:p>
    <w:p>
      <w:pPr>
        <w:shd w:fill="F4F4F4" w:val="clear"/>
        <w:spacing w:after="0" w:before="0"/>
      </w:pPr>
      <w:r>
        <w:rPr>
          <w:rFonts w:ascii="Consolas" w:cs="Consolas" w:eastAsia="Consolas" w:hAnsi="Consolas"/>
          <w:sz w:val="18"/>
          <w:szCs w:val="18"/>
        </w:rPr>
        <w:t xml:space="preserve">corp_offset      = auto_disp · corp_per_worker · [retained_share·(1−auto_cost) − robot_tax_rate]</w:t>
      </w:r>
    </w:p>
    <w:p>
      <w:pPr>
        <w:shd w:fill="F4F4F4" w:val="clear"/>
        <w:spacing w:after="0" w:before="0"/>
      </w:pPr>
      <w:r>
        <w:rPr>
          <w:rFonts w:ascii="Consolas" w:cs="Consolas" w:eastAsia="Consolas" w:hAnsi="Consolas"/>
          <w:sz w:val="18"/>
          <w:szCs w:val="18"/>
        </w:rPr>
        <w:t xml:space="preserve">compute_pool_tax = compute_effective_rate · (1 − offshore_share) · automation_spend</w:t>
      </w:r>
    </w:p>
    <w:p>
      <w:pPr>
        <w:shd w:fill="F4F4F4" w:val="clear"/>
        <w:spacing w:after="120" w:before="0"/>
      </w:pPr>
      <w:r>
        <w:rPr>
          <w:rFonts w:ascii="Consolas" w:cs="Consolas" w:eastAsia="Consolas" w:hAnsi="Consolas"/>
          <w:sz w:val="18"/>
          <w:szCs w:val="18"/>
        </w:rPr>
        <w:t xml:space="preserve">automation_tax   = automation_tax_rate · saved_bill            # paid from retained profit</w:t>
      </w:r>
    </w:p>
    <w:p>
      <w:pPr>
        <w:pStyle w:val="Heading2"/>
      </w:pPr>
      <w:r>
        <w:t xml:space="preserve">A.4 Survivor wages (funded W*)</w:t>
      </w:r>
    </w:p>
    <w:p>
      <w:pPr>
        <w:shd w:fill="F4F4F4" w:val="clear"/>
        <w:spacing w:after="0" w:before="120"/>
      </w:pPr>
      <w:r>
        <w:rPr>
          <w:rFonts w:ascii="Consolas" w:cs="Consolas" w:eastAsia="Consolas" w:hAnsi="Consolas"/>
          <w:sz w:val="18"/>
          <w:szCs w:val="18"/>
        </w:rPr>
        <w:t xml:space="preserve">ℓ           = Σ emp_post · comp_pw / Σ emp_post · wage         # compensation loading ≈ 1.4</w:t>
      </w:r>
    </w:p>
    <w:p>
      <w:pPr>
        <w:shd w:fill="F4F4F4" w:val="clear"/>
        <w:spacing w:after="0" w:before="0"/>
      </w:pPr>
      <w:r>
        <w:rPr>
          <w:rFonts w:ascii="Consolas" w:cs="Consolas" w:eastAsia="Consolas" w:hAnsi="Consolas"/>
          <w:sz w:val="18"/>
          <w:szCs w:val="18"/>
        </w:rPr>
        <w:t xml:space="preserve">maintenance = ℓ · wage_bill · (W_mech − 1)</w:t>
      </w:r>
    </w:p>
    <w:p>
      <w:pPr>
        <w:shd w:fill="F4F4F4" w:val="clear"/>
        <w:spacing w:after="0" w:before="0"/>
      </w:pPr>
      <w:r>
        <w:rPr>
          <w:rFonts w:ascii="Consolas" w:cs="Consolas" w:eastAsia="Consolas" w:hAnsi="Consolas"/>
          <w:sz w:val="18"/>
          <w:szCs w:val="18"/>
        </w:rPr>
        <w:t xml:space="preserve">available   = survivor_gains − maintenance</w:t>
      </w:r>
    </w:p>
    <w:p>
      <w:pPr>
        <w:shd w:fill="F4F4F4" w:val="clear"/>
        <w:spacing w:after="0" w:before="0"/>
      </w:pPr>
      <w:r>
        <w:rPr>
          <w:rFonts w:ascii="Consolas" w:cs="Consolas" w:eastAsia="Consolas" w:hAnsi="Consolas"/>
          <w:sz w:val="18"/>
          <w:szCs w:val="18"/>
        </w:rPr>
        <w:t xml:space="preserve">if available ≥ 0:  room = ℓ·wage_bill·(ceiling − W_mech)</w:t>
      </w:r>
    </w:p>
    <w:p>
      <w:pPr>
        <w:shd w:fill="F4F4F4" w:val="clear"/>
        <w:spacing w:after="0" w:before="0"/>
      </w:pPr>
      <w:r>
        <w:rPr>
          <w:rFonts w:ascii="Consolas" w:cs="Consolas" w:eastAsia="Consolas" w:hAnsi="Consolas"/>
          <w:sz w:val="18"/>
          <w:szCs w:val="18"/>
        </w:rPr>
        <w:t xml:space="preserve">                   W_mech += min(available, room)/(ℓ·wage_bill);  overflow = available − room⁺</w:t>
      </w:r>
    </w:p>
    <w:p>
      <w:pPr>
        <w:shd w:fill="F4F4F4" w:val="clear"/>
        <w:spacing w:after="0" w:before="0"/>
      </w:pPr>
      <w:r>
        <w:rPr>
          <w:rFonts w:ascii="Consolas" w:cs="Consolas" w:eastAsia="Consolas" w:hAnsi="Consolas"/>
          <w:sz w:val="18"/>
          <w:szCs w:val="18"/>
        </w:rPr>
        <w:t xml:space="preserve">else:              W_mech = 1 + max(0, survivor_gains)/(ℓ·wage_bill)          # snap</w:t>
      </w:r>
    </w:p>
    <w:p>
      <w:pPr>
        <w:shd w:fill="F4F4F4" w:val="clear"/>
        <w:spacing w:after="0" w:before="0"/>
      </w:pPr>
      <w:r>
        <w:rPr>
          <w:rFonts w:ascii="Consolas" w:cs="Consolas" w:eastAsia="Consolas" w:hAnsi="Consolas"/>
          <w:sz w:val="18"/>
          <w:szCs w:val="18"/>
        </w:rPr>
        <w:t xml:space="preserve">C5c: ℓ·wage_bill·(W_mech_new − 1) + overflow_to_profit + overflow_to_price = survivor_gains</w:t>
      </w:r>
    </w:p>
    <w:p>
      <w:pPr>
        <w:shd w:fill="F4F4F4" w:val="clear"/>
        <w:spacing w:after="120" w:before="0"/>
      </w:pPr>
      <w:r>
        <w:rPr>
          <w:rFonts w:ascii="Consolas" w:cs="Consolas" w:eastAsia="Consolas" w:hAnsi="Consolas"/>
          <w:sz w:val="18"/>
          <w:szCs w:val="18"/>
        </w:rPr>
        <w:t xml:space="preserve">W = W_mech + elasticity · slack(t−1) · market_frac             # market component, lagged slack</w:t>
      </w:r>
    </w:p>
    <w:p>
      <w:pPr>
        <w:pStyle w:val="Heading2"/>
      </w:pPr>
      <w:r>
        <w:t xml:space="preserve">A.5 Macro</w:t>
      </w:r>
    </w:p>
    <w:p>
      <w:pPr>
        <w:shd w:fill="F4F4F4" w:val="clear"/>
        <w:spacing w:after="0" w:before="120"/>
      </w:pPr>
      <w:r>
        <w:rPr>
          <w:rFonts w:ascii="Consolas" w:cs="Consolas" w:eastAsia="Consolas" w:hAnsi="Consolas"/>
          <w:sz w:val="18"/>
          <w:szCs w:val="18"/>
        </w:rPr>
        <w:t xml:space="preserve">Y(t) = 1 + productivity_passthrough · saved_bill / COMP_TOTAL   # output-weighted dividend</w:t>
      </w:r>
    </w:p>
    <w:p>
      <w:pPr>
        <w:shd w:fill="F4F4F4" w:val="clear"/>
        <w:spacing w:after="0" w:before="0"/>
      </w:pPr>
      <w:r>
        <w:rPr>
          <w:rFonts w:ascii="Consolas" w:cs="Consolas" w:eastAsia="Consolas" w:hAnsi="Consolas"/>
          <w:sz w:val="18"/>
          <w:szCs w:val="18"/>
        </w:rPr>
        <w:t xml:space="preserve">P(t) = P(t−1) · (1 − price_passthrough · price_reduction_flow / consumption_base)</w:t>
      </w:r>
    </w:p>
    <w:p>
      <w:pPr>
        <w:shd w:fill="F4F4F4" w:val="clear"/>
        <w:spacing w:after="120" w:before="0"/>
      </w:pPr>
      <w:r>
        <w:rPr>
          <w:rFonts w:ascii="Consolas" w:cs="Consolas" w:eastAsia="Consolas" w:hAnsi="Consolas"/>
          <w:sz w:val="18"/>
          <w:szCs w:val="18"/>
        </w:rPr>
        <w:t xml:space="preserve">real X = nominal X / P(t)                                       # reporting only (A2 rule); C4</w:t>
      </w:r>
    </w:p>
    <w:p>
      <w:pPr>
        <w:pStyle w:val="Heading2"/>
      </w:pPr>
      <w:r>
        <w:t xml:space="preserve">A.6 Government</w:t>
      </w:r>
    </w:p>
    <w:p>
      <w:pPr>
        <w:shd w:fill="F4F4F4" w:val="clear"/>
        <w:spacing w:after="0" w:before="120"/>
      </w:pPr>
      <w:r>
        <w:rPr>
          <w:rFonts w:ascii="Consolas" w:cs="Consolas" w:eastAsia="Consolas" w:hAnsi="Consolas"/>
          <w:sz w:val="18"/>
          <w:szCs w:val="18"/>
        </w:rPr>
        <w:t xml:space="preserve">fed_deficit = inc_fed_loss + payroll_loss + transfer_fed + ui_outlay − ui_tax − corp_offset</w:t>
      </w:r>
    </w:p>
    <w:p>
      <w:pPr>
        <w:shd w:fill="F4F4F4" w:val="clear"/>
        <w:spacing w:after="0" w:before="0"/>
      </w:pPr>
      <w:r>
        <w:rPr>
          <w:rFonts w:ascii="Consolas" w:cs="Consolas" w:eastAsia="Consolas" w:hAnsi="Consolas"/>
          <w:sz w:val="18"/>
          <w:szCs w:val="18"/>
        </w:rPr>
        <w:t xml:space="preserve">            − survivor_gain_fed − compute_pool_tax − overflow_corp_tax + ubi_outlay</w:t>
      </w:r>
    </w:p>
    <w:p>
      <w:pPr>
        <w:shd w:fill="F4F4F4" w:val="clear"/>
        <w:spacing w:after="0" w:before="0"/>
      </w:pPr>
      <w:r>
        <w:rPr>
          <w:rFonts w:ascii="Consolas" w:cs="Consolas" w:eastAsia="Consolas" w:hAnsi="Consolas"/>
          <w:sz w:val="18"/>
          <w:szCs w:val="18"/>
        </w:rPr>
        <w:t xml:space="preserve">            − ubi_recapture − automation_tax + ssdi_outlay                          (C6, asserted)</w:t>
      </w:r>
    </w:p>
    <w:p>
      <w:pPr>
        <w:shd w:fill="F4F4F4" w:val="clear"/>
        <w:spacing w:after="0" w:before="0"/>
      </w:pPr>
      <w:r>
        <w:rPr>
          <w:rFonts w:ascii="Consolas" w:cs="Consolas" w:eastAsia="Consolas" w:hAnsi="Consolas"/>
          <w:sz w:val="18"/>
          <w:szCs w:val="18"/>
        </w:rPr>
        <w:t xml:space="preserve">fed_debt(t) = fed_debt(t−1) · (1 + r) + fed_deficit(t)</w:t>
      </w:r>
    </w:p>
    <w:p>
      <w:pPr>
        <w:shd w:fill="F4F4F4" w:val="clear"/>
        <w:spacing w:after="0" w:before="0"/>
      </w:pPr>
      <w:r>
        <w:rPr>
          <w:rFonts w:ascii="Consolas" w:cs="Consolas" w:eastAsia="Consolas" w:hAnsi="Consolas"/>
          <w:sz w:val="18"/>
          <w:szCs w:val="18"/>
        </w:rPr>
        <w:t xml:space="preserve">state gap_s = losses_s − recoveries_s ;  closed by Δrate ≤ cap · base_s, remainder forced cuts</w:t>
      </w:r>
    </w:p>
    <w:p>
      <w:pPr>
        <w:shd w:fill="F4F4F4" w:val="clear"/>
        <w:spacing w:after="120" w:before="0"/>
      </w:pPr>
      <w:r>
        <w:rPr>
          <w:rFonts w:ascii="Consolas" w:cs="Consolas" w:eastAsia="Consolas" w:hAnsi="Consolas"/>
          <w:sz w:val="18"/>
          <w:szCs w:val="18"/>
        </w:rPr>
        <w:t xml:space="preserve">contraction_s = cuts_s · MPC_gov + hikes_s · MPC_hh                                  (C7 ≈ 0)</w:t>
      </w:r>
    </w:p>
    <w:p>
      <w:pPr>
        <w:pStyle w:val="Heading2"/>
      </w:pPr>
      <w:r>
        <w:t xml:space="preserve">A.7 Demand (level-targeting controller)</w:t>
      </w:r>
    </w:p>
    <w:p>
      <w:pPr>
        <w:shd w:fill="F4F4F4" w:val="clear"/>
        <w:spacing w:after="0" w:before="120"/>
      </w:pPr>
      <w:r>
        <w:rPr>
          <w:rFonts w:ascii="Consolas" w:cs="Consolas" w:eastAsia="Consolas" w:hAnsi="Consolas"/>
          <w:sz w:val="18"/>
          <w:szCs w:val="18"/>
        </w:rPr>
        <w:t xml:space="preserve">withdrawal = Σ_stocks stock · net_income_pw − wage_bill·(W−1) − ubi_net       # standing LEVEL</w:t>
      </w:r>
    </w:p>
    <w:p>
      <w:pPr>
        <w:shd w:fill="F4F4F4" w:val="clear"/>
        <w:spacing w:after="0" w:before="0"/>
      </w:pPr>
      <w:r>
        <w:rPr>
          <w:rFonts w:ascii="Consolas" w:cs="Consolas" w:eastAsia="Consolas" w:hAnsi="Consolas"/>
          <w:sz w:val="18"/>
          <w:szCs w:val="18"/>
        </w:rPr>
        <w:t xml:space="preserve">target_induced = k · [max(0, withdrawal) · emp_share + contraction_s · state_share]</w:t>
      </w:r>
    </w:p>
    <w:p>
      <w:pPr>
        <w:shd w:fill="F4F4F4" w:val="clear"/>
        <w:spacing w:after="0" w:before="0"/>
      </w:pPr>
      <w:r>
        <w:rPr>
          <w:rFonts w:ascii="Consolas" w:cs="Consolas" w:eastAsia="Consolas" w:hAnsi="Consolas"/>
          <w:sz w:val="18"/>
          <w:szCs w:val="18"/>
        </w:rPr>
        <w:t xml:space="preserve">k = demand_multiplier · mpc · stickiness / va_per_worker</w:t>
      </w:r>
    </w:p>
    <w:p>
      <w:pPr>
        <w:shd w:fill="F4F4F4" w:val="clear"/>
        <w:spacing w:after="0" w:before="0"/>
      </w:pPr>
      <w:r>
        <w:rPr>
          <w:rFonts w:ascii="Consolas" w:cs="Consolas" w:eastAsia="Consolas" w:hAnsi="Consolas"/>
          <w:sz w:val="18"/>
          <w:szCs w:val="18"/>
        </w:rPr>
        <w:t xml:space="preserve">induced(t+1) → target_induced                                  # signed flow; releases on recovery</w:t>
      </w:r>
    </w:p>
    <w:p>
      <w:pPr>
        <w:shd w:fill="F4F4F4" w:val="clear"/>
        <w:spacing w:after="120" w:before="0"/>
      </w:pPr>
      <w:r>
        <w:rPr>
          <w:rFonts w:ascii="Consolas" w:cs="Consolas" w:eastAsia="Consolas" w:hAnsi="Consolas"/>
          <w:sz w:val="18"/>
          <w:szCs w:val="18"/>
        </w:rPr>
        <w:t xml:space="preserve">loop gain ρ = k · d̄ ≈ 0.22 · demand_multiplier &lt; 1            # asserted at construction</w:t>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Appendix B — The twelve scenarios, as shipped</w:t>
      </w:r>
    </w:p>
    <w:p>
      <w:pPr>
        <w:spacing w:after="120"/>
      </w:pPr>
      <w:r>
        <w:rPr>
          <w:b w:val="false"/>
          <w:bCs w:val="false"/>
          <w:i w:val="false"/>
          <w:iCs w:val="false"/>
        </w:rPr>
        <w:t xml:space="preserve">Scenarios are rows, levers columns, split across two tables to stay legible. Values not shown inherit the shipped defaults, identical in every scenario: reabsorption rung 1 (service-floor), UI 26 weeks, raise ceiling 1.5, spillover 0.5, offshore share 0, </w:t>
      </w:r>
      <w:r>
        <w:rPr>
          <w:rFonts w:ascii="Consolas" w:cs="Consolas" w:eastAsia="Consolas" w:hAnsi="Consolas"/>
          <w:b w:val="false"/>
          <w:bCs w:val="false"/>
          <w:i w:val="false"/>
          <w:iCs w:val="false"/>
        </w:rPr>
        <w:t xml:space="preserve">automation_tax_rate</w:t>
      </w:r>
      <w:r>
        <w:rPr>
          <w:b w:val="false"/>
          <w:bCs w:val="false"/>
          <w:i w:val="false"/>
          <w:iCs w:val="false"/>
        </w:rPr>
        <w:t xml:space="preserve"> 0 (taxation is a composable overlay, never a scenario), and the four shareholder-channel levers at their measured current-law anchors (price/earnings multiple 16, taxable-holder share 0.27, realization rate 0.04, effective rate on realized gains 0.19). Two values are grid-snapped from their sources — Windfall </w:t>
      </w:r>
      <w:r>
        <w:rPr>
          <w:rFonts w:ascii="Consolas" w:cs="Consolas" w:eastAsia="Consolas" w:hAnsi="Consolas"/>
          <w:b w:val="false"/>
          <w:bCs w:val="false"/>
          <w:i w:val="false"/>
          <w:iCs w:val="false"/>
        </w:rPr>
        <w:t xml:space="preserve">lfp_exit_rate</w:t>
      </w:r>
      <w:r>
        <w:rPr>
          <w:b w:val="false"/>
          <w:bCs w:val="false"/>
          <w:i w:val="false"/>
          <w:iCs w:val="false"/>
        </w:rPr>
        <w:t xml:space="preserve"> 0.033 → 0.03 and capital effective rate 0.267 → 0.27. Per-lever provenance is in </w:t>
      </w:r>
      <w:r>
        <w:rPr>
          <w:rFonts w:ascii="Consolas" w:cs="Consolas" w:eastAsia="Consolas" w:hAnsi="Consolas"/>
          <w:b w:val="false"/>
          <w:bCs w:val="false"/>
          <w:i w:val="false"/>
          <w:iCs w:val="false"/>
        </w:rPr>
        <w:t xml:space="preserve">fiscal_model/presets.py</w:t>
      </w:r>
      <w:r>
        <w:rPr>
          <w:b w:val="false"/>
          <w:bCs w:val="false"/>
          <w:i w:val="false"/>
          <w:iCs w:val="false"/>
        </w:rPr>
        <w:t xml:space="preserve"> and </w:t>
      </w:r>
      <w:r>
        <w:rPr>
          <w:rFonts w:ascii="Consolas" w:cs="Consolas" w:eastAsia="Consolas" w:hAnsi="Consolas"/>
          <w:b w:val="false"/>
          <w:bCs w:val="false"/>
          <w:i w:val="false"/>
          <w:iCs w:val="false"/>
        </w:rPr>
        <w:t xml:space="preserve">docs/PRESET_EVIDENCE.md</w:t>
      </w:r>
      <w:r>
        <w:rPr>
          <w:b w:val="false"/>
          <w:bCs w:val="false"/>
          <w:i w:val="false"/>
          <w:iCs w:val="false"/>
        </w:rPr>
        <w:t xml:space="preserve">.</w:t>
      </w:r>
    </w:p>
    <w:p>
      <w:pPr>
        <w:spacing w:after="120"/>
      </w:pPr>
      <w:r>
        <w:rPr>
          <w:b w:val="false"/>
          <w:bCs w:val="false"/>
          <w:i w:val="false"/>
          <w:iCs w:val="false"/>
        </w:rPr>
        <w:t xml:space="preserve">In the adoption column </w:t>
      </w:r>
      <w:r>
        <w:rPr>
          <w:b/>
          <w:bCs/>
          <w:i w:val="false"/>
          <w:iCs w:val="false"/>
        </w:rPr>
        <w:t xml:space="preserve">†</w:t>
      </w:r>
      <w:r>
        <w:rPr>
          <w:b w:val="false"/>
          <w:bCs w:val="false"/>
          <w:i w:val="false"/>
          <w:iCs w:val="false"/>
        </w:rPr>
        <w:t xml:space="preserve"> marks a parametric kink (linear to the end value by the reach year, flat after) and </w:t>
      </w:r>
      <w:r>
        <w:rPr>
          <w:b/>
          <w:bCs/>
          <w:i w:val="false"/>
          <w:iCs w:val="false"/>
        </w:rPr>
        <w:t xml:space="preserve">‡</w:t>
      </w:r>
      <w:r>
        <w:rPr>
          <w:b w:val="false"/>
          <w:bCs w:val="false"/>
          <w:i w:val="false"/>
          <w:iCs w:val="false"/>
        </w:rPr>
        <w:t xml:space="preserve"> a path threaded piecewise-linearly through trajectory points the source itself publishes; unmarked is linear across the whole horizon.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gridCol w:w="1440"/>
        <w:gridCol w:w="1440"/>
      </w:tblGrid>
      <w:tr>
        <w:trPr>
          <w:tblHeader/>
        </w:trPr>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18"/>
                <w:szCs w:val="18"/>
              </w:rPr>
              <w:t xml:space="preserve">Scenario</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cog / phys feas.</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rob. lag</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adoption</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reach yr</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horizon</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reab. / haircut</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lfp exit / attrition</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Baumol / crowding</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①Acemoglu</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0.2/0.05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8</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0.02→0.23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0.5/0.13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0.03/0.025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②Brynjolfsson</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0.02→0.3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0.6/0.1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0.02/0.025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③Windfall</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0.55/0.2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0.03/0.025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④China-Shock</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0.3/0.2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0.075/0.25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⑤AGI-20y</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⑥AGI-5y</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0.2→1 †</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⑦AI-2027</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1/0.9</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0.2→1 †</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8</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⑧2040 Plan A</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0.95/0.95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0.05→1 ‡</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9</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0.15/0.3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⑨2040 Plan D</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1/0.95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6</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0.05→1 ‡</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⑩Karger rapid</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0.6/0.15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8</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0.03→0.16</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0.35/0.13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0.06/0.025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0.3/0</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⑪Metaculus</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0.55/0.2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0.02→0.2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0.45/0.12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0.04/0.025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0.35/0.1</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⑫OpenAI</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0.75/0.05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0.05→0.2 †</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7</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0.55/0.12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0.03/0.025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w:t>
            </w:r>
          </w:p>
        </w:tc>
      </w:tr>
    </w:tbl>
    <w:p>
      <w:pPr>
        <w:spacing w:after="12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gridCol w:w="1440"/>
        <w:gridCol w:w="1440"/>
      </w:tblGrid>
      <w:tr>
        <w:trPr>
          <w:tblHeader/>
        </w:trPr>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18"/>
                <w:szCs w:val="18"/>
              </w:rPr>
              <w:t xml:space="preserve">Scenario</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retained/price/surv.</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auto_cost / compute ETR</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surv. elasticity</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prod. / price passthru</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demand mult.</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growth / interest</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state cut / cap</w:t>
            </w:r>
          </w:p>
        </w:tc>
        <w:tc>
          <w:tcPr>
            <w:tcW w:type="dxa" w:w="1440"/>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8"/>
                <w:szCs w:val="18"/>
              </w:rPr>
              <w:t xml:space="preserve">start yr</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①Acemoglu</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0.6/0.35/0.05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0.15/0.3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0.04/0.03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②Brynjolfsson</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0.55/0.25/0.2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0.045/0.03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③Windfall</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0.5/0.5/0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0.1/0.27</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0.04/0.03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④China-Shock</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0.7/0.2/0.1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0.2/0.3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0.035/0.03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⑤AGI-20y</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0.8/0.15/0.05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0.15/0.05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0.9/0.5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0.06/0.04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⑥AGI-5y</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0.8/0.15/0.05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0.2/0.05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0.9/0.5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0.08/0.04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⑦AI-2027</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0.7/0.2/0.1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0.9/0.5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0.08/0.04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⑧2040 Plan A</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0.55/0.3/0.15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0.9/0.5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0.08/0.04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2027</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⑨2040 Plan D</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0.8/0.15/0.05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0.3/0.05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0.9/0.5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1.5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0.08/0.04</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2027</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⑩Karger rapid</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0.55/0.25/0.2</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0.15/0.1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0.95/0.3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0.05/0.03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⑪Metaculus</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0.45/0.2/0.35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0.45/0.3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0.04/0.03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r>
        <w:trPr>
          <w:tblHeader w:val="false"/>
        </w:trPr>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8"/>
                <w:szCs w:val="18"/>
              </w:rPr>
              <w:t xml:space="preserve">⑫OpenAI</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0.55/0.3/0.15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0.15/0.1</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0.35/0.3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0.45</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0.04/0.03</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w:t>
            </w:r>
          </w:p>
        </w:tc>
        <w:tc>
          <w:tcPr>
            <w:tcW w:type="dxa" w:w="1440"/>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8"/>
                <w:szCs w:val="18"/>
              </w:rPr>
              <w:t xml:space="preserve">2026</w:t>
            </w:r>
          </w:p>
        </w:tc>
      </w:tr>
    </w:tbl>
    <w:p>
      <w:pPr>
        <w:spacing w:after="120"/>
      </w:pPr>
    </w:p>
    <w:p>
      <w:pPr>
        <w:spacing w:after="120"/>
      </w:pPr>
      <w:r>
        <w:rPr>
          <w:b w:val="false"/>
          <w:bCs w:val="false"/>
          <w:i w:val="false"/>
          <w:iCs w:val="false"/>
        </w:rPr>
        <w:t xml:space="preserve">The survivor share is derived, never set: it is the remainder of the disposition simplex after retained profit and price reduction, which is why the three always sum to one. A blank state entry means the scenario leaves the default closure (rate hikes first, cuts for the remainder); </w:t>
      </w:r>
      <w:r>
        <w:rPr>
          <w:rFonts w:ascii="Consolas" w:cs="Consolas" w:eastAsia="Consolas" w:hAnsi="Consolas"/>
          <w:b w:val="false"/>
          <w:bCs w:val="false"/>
          <w:i w:val="false"/>
          <w:iCs w:val="false"/>
        </w:rPr>
        <w:t xml:space="preserve">0.5/0.5</w:t>
      </w:r>
      <w:r>
        <w:rPr>
          <w:b w:val="false"/>
          <w:bCs w:val="false"/>
          <w:i w:val="false"/>
          <w:iCs w:val="false"/>
        </w:rPr>
        <w:t xml:space="preserve"> means half the gap closes by spending cuts under a 50 percent rate-hike feasibility cap, the configuration the AGI-class scenarios use because labor-base rate hikes cannot close AGI-stage gaps.</w:t>
      </w:r>
    </w:p>
    <w:p>
      <w:r>
        <w:br w:type="page"/>
      </w:r>
    </w:p>
    <w:p>
      <w:pPr>
        <w:pStyle w:val="Heading1"/>
      </w:pPr>
      <w:r>
        <w:t xml:space="preserve">Appendix C — Fiscal summaries, the external comparator</w:t>
      </w:r>
    </w:p>
    <w:p>
      <w:pPr>
        <w:spacing w:after="120"/>
      </w:pPr>
      <w:r>
        <w:rPr>
          <w:b w:val="false"/>
          <w:bCs w:val="false"/>
          <w:i w:val="false"/>
          <w:iCs w:val="false"/>
        </w:rPr>
        <w:t xml:space="preserve">Complete per-year fiscal summaries and four-channel decompositions for all twelve scenarios are in the artifact CSVs (</w:t>
      </w:r>
      <w:r>
        <w:rPr>
          <w:rFonts w:ascii="Consolas" w:cs="Consolas" w:eastAsia="Consolas" w:hAnsi="Consolas"/>
          <w:b w:val="false"/>
          <w:bCs w:val="false"/>
          <w:i w:val="false"/>
          <w:iCs w:val="false"/>
        </w:rPr>
        <w:t xml:space="preserve">docs/report/artifacts/presets/&lt;key&gt;/summary_tax.csv</w:t>
      </w:r>
      <w:r>
        <w:rPr>
          <w:b w:val="false"/>
          <w:bCs w:val="false"/>
          <w:i w:val="false"/>
          <w:iCs w:val="false"/>
        </w:rPr>
        <w:t xml:space="preserve"> and </w:t>
      </w:r>
      <w:r>
        <w:rPr>
          <w:rFonts w:ascii="Consolas" w:cs="Consolas" w:eastAsia="Consolas" w:hAnsi="Consolas"/>
          <w:b w:val="false"/>
          <w:bCs w:val="false"/>
          <w:i w:val="false"/>
          <w:iCs w:val="false"/>
        </w:rPr>
        <w:t xml:space="preserve">summary_channel.csv</w:t>
      </w:r>
      <w:r>
        <w:rPr>
          <w:b w:val="false"/>
          <w:bCs w:val="false"/>
          <w:i w:val="false"/>
          <w:iCs w:val="false"/>
        </w:rPr>
        <w:t xml:space="preserve">) and are browsable in the web application. Reproduced here is the Windfall Trust comparator, because Section 9.1's replication argument needs its numbers in-document: the full fiscal summary, then the channel view that decomposes the same run into the four migration paths the report's first thesis names.</w:t>
      </w:r>
    </w:p>
    <w:p>
      <w:pPr>
        <w:pStyle w:val="Caption"/>
        <w:spacing w:after="60" w:before="160"/>
      </w:pPr>
      <w:r>
        <w:t xml:space="preserve">Table 5 — Windfall Trust — Medium, full fiscal summary ($B, all years).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851"/>
        <w:gridCol w:w="919"/>
        <w:gridCol w:w="919"/>
        <w:gridCol w:w="919"/>
        <w:gridCol w:w="919"/>
        <w:gridCol w:w="919"/>
        <w:gridCol w:w="919"/>
        <w:gridCol w:w="919"/>
        <w:gridCol w:w="919"/>
        <w:gridCol w:w="919"/>
        <w:gridCol w:w="919"/>
        <w:gridCol w:w="919"/>
      </w:tblGrid>
      <w:tr>
        <w:trPr>
          <w:tblHeader/>
        </w:trPr>
        <w:tc>
          <w:tcPr>
            <w:tcW w:type="dxa" w:w="2851"/>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16"/>
                <w:szCs w:val="16"/>
              </w:rPr>
              <w:t xml:space="preserve">Line</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0</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1</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2</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3</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4</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5</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6</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7</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8</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9</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Total</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Income tax</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-52.5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-76.1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-98.3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-120.1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-141.9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-158.2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-174.0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-189.6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-205.3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-1,242.9</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Payroll (FICA)</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-50.8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-72.8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-93.2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-112.8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-132.3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-145.8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-158.6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-171.3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-184.1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-1,147.9</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Corporate recovery</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22.5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46.6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72.2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99.4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128.2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158.5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185.0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211.4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237.8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264.2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1,425.9</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Windfall capital gains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26.6</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Compute-pool tax</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13.0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27.7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35.6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44.0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51.3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58.7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66.0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73.3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395.9</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Survivor wage taxes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-19.9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-24.2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-27.8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-31.2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-32.0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-32.7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-33.2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-223.3</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Overflow corporate tax</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Automation (robot) tax</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UBI recapture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SWF profit share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Federal VAT</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Tax on UI benefits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26.6</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Income tax surcharge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Capital tax surcharge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Excise surcharge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6"/>
                <w:szCs w:val="16"/>
              </w:rPr>
              <w:t xml:space="preserve">Δ Federal revenue</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-22.2</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-48.7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-67.3</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-79.7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-87.9</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-93.3</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-92.5</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-87.7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-82.4</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-77.2</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-739.0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Means-tested transfers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22.8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33.2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42.5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51.4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60.1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65.6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70.2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74.7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79.3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510.9</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Unemployment insurance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21.7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23.7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25.6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27.6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29.6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31.6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266.2</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SSDI</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19.8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25.0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30.3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35.7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147.3</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UBI (gross)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6"/>
                <w:szCs w:val="16"/>
              </w:rPr>
              <w:t xml:space="preserve">Δ Federal outlays</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32.6</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47.7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62.3</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76.7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91.4</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106.5</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112.1</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121.8</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131.6</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141.6</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924.4</w:t>
            </w:r>
          </w:p>
        </w:tc>
      </w:tr>
      <w:tr>
        <w:trPr>
          <w:tblHeader w:val="false"/>
        </w:trPr>
        <w:tc>
          <w:tcPr>
            <w:tcW w:type="dxa" w:w="2851"/>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6"/>
                <w:szCs w:val="16"/>
              </w:rPr>
              <w:t xml:space="preserve">Net fiscal impact (federal)</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-54.8</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-96.4</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-129.7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-156.5</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-179.3</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-199.9</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-204.6</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-209.5</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-214.0</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-218.7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-1,663.4</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Federal revenue (absolute)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4,960.6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4,934.1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4,915.5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4,903.1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4,894.9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4,889.5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4,890.3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4,895.1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4,900.4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4,905.6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4,905.6</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Federal deficit (absolute)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1,887.8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1,929.4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1,962.7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1,989.5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2,012.3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2,032.9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2,037.6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2,042.5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2,047.0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2,051.7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2,051.7</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Federal debt (Δ cumulative)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54.8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152.8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287.1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452.1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645.0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864.2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1,094.7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1,337.1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1,591.3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1,857.8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1,857.8</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Deficit (% of GDP)</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4.8</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State income tax</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-23.8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-29.0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-34.2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-37.9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-41.5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-45.1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-48.6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-297.9</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State consumption tax</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-8.4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-13.5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-15.9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-17.1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-105.0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Survivor wage taxes (state)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-28.2</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State income surcharge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State corporate surcharge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State consumption surcharge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State transfers (outlay)</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9.4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11.9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16.4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17.8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19.7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138.4</w:t>
            </w:r>
          </w:p>
        </w:tc>
      </w:tr>
      <w:tr>
        <w:trPr>
          <w:tblHeader w:val="false"/>
        </w:trPr>
        <w:tc>
          <w:tcPr>
            <w:tcW w:type="dxa" w:w="2851"/>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6"/>
                <w:szCs w:val="16"/>
              </w:rPr>
              <w:t xml:space="preserve">Net fiscal impact (state)</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-11.7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-24.7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-36.2</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-46.6</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-56.5</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-66.2</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-73.1</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-79.0</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-84.8</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-90.6</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-569.5</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Gap states must close</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11.7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24.7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36.2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46.6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56.5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66.2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73.1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79.0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84.8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90.6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569.5</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…closed via rate hikes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11.7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24.7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36.2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46.6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56.5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66.2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73.1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79.0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84.8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90.6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569.5</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…closed via spending cuts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bl>
    <w:p>
      <w:pPr>
        <w:spacing w:after="120"/>
      </w:pPr>
    </w:p>
    <w:p>
      <w:pPr>
        <w:pStyle w:val="Caption"/>
        <w:spacing w:after="60" w:before="160"/>
      </w:pPr>
      <w:r>
        <w:t xml:space="preserve">Table 6 — Windfall Trust — Medium, four-channel decomposition ($B): labour→capital, resident→non-resident, taxable→consumer-surplus, government spending.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851"/>
        <w:gridCol w:w="919"/>
        <w:gridCol w:w="919"/>
        <w:gridCol w:w="919"/>
        <w:gridCol w:w="919"/>
        <w:gridCol w:w="919"/>
        <w:gridCol w:w="919"/>
        <w:gridCol w:w="919"/>
        <w:gridCol w:w="919"/>
        <w:gridCol w:w="919"/>
        <w:gridCol w:w="919"/>
        <w:gridCol w:w="919"/>
      </w:tblGrid>
      <w:tr>
        <w:trPr>
          <w:tblHeader/>
        </w:trPr>
        <w:tc>
          <w:tcPr>
            <w:tcW w:type="dxa" w:w="2851"/>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left"/>
            </w:pPr>
            <w:r>
              <w:rPr>
                <w:b/>
                <w:bCs/>
                <w:sz w:val="16"/>
                <w:szCs w:val="16"/>
              </w:rPr>
              <w:t xml:space="preserve">Line</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0</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1</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2</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3</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4</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5</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6</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7</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8</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Year 9</w:t>
            </w:r>
          </w:p>
        </w:tc>
        <w:tc>
          <w:tcPr>
            <w:tcW w:type="dxa" w:w="919"/>
            <w:tcBorders>
              <w:top w:val="single" w:color="BBBBBB" w:sz="1"/>
              <w:left w:val="single" w:color="BBBBBB" w:sz="1"/>
              <w:bottom w:val="single" w:color="BBBBBB" w:sz="1"/>
              <w:right w:val="single" w:color="BBBBBB" w:sz="1"/>
            </w:tcBorders>
            <w:shd w:fill="D9E2F3" w:val="clear"/>
            <w:tcMar>
              <w:top w:type="dxa" w:w="40"/>
              <w:left w:type="dxa" w:w="80"/>
              <w:bottom w:type="dxa" w:w="40"/>
              <w:right w:type="dxa" w:w="80"/>
            </w:tcMar>
          </w:tcPr>
          <w:p>
            <w:pPr>
              <w:jc w:val="right"/>
            </w:pPr>
            <w:r>
              <w:rPr>
                <w:b/>
                <w:bCs/>
                <w:sz w:val="16"/>
                <w:szCs w:val="16"/>
              </w:rPr>
              <w:t xml:space="preserve">Total</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Baseline surcharges (income+capital+consumption dials)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Labour taxes lost (displaced)</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-59.7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-116.1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-167.4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-215.3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-261.9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-308.4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-341.9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-374.1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-406.0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-438.0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-2,688.7</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Labour taxes gained (survivors)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-8.8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-16.4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-22.4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-27.2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-31.3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-35.1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-36.1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-36.8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-37.4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-251.5</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Capital-side recoveries</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28.8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60.2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93.5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128.9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166.2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205.6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239.9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274.2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308.5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342.7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1,848.5</w:t>
            </w:r>
          </w:p>
        </w:tc>
      </w:tr>
      <w:tr>
        <w:trPr>
          <w:tblHeader w:val="false"/>
        </w:trPr>
        <w:tc>
          <w:tcPr>
            <w:tcW w:type="dxa" w:w="2851"/>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6"/>
                <w:szCs w:val="16"/>
              </w:rPr>
              <w:t xml:space="preserve">Channel 1 net</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-30.9</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-64.8</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-90.2</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-108.8</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-122.9</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-134.2</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-137.0</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-135.9</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-134.3</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-132.7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-1,091.7</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Offshore leakage (untaxed, memo)</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0.0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Consumer price gains (untaxed, memo)</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104.8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216.5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335.2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460.9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593.6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733.2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855.4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977.6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1,099.8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1,222.0</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6,598.9</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Consumption tax change (incl. federal VAT)</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-2.1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-4.4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-8.4</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-10.3</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-13.5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-15.9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-17.1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-105.0</w:t>
            </w:r>
          </w:p>
        </w:tc>
      </w:tr>
      <w:tr>
        <w:trPr>
          <w:tblHeader w:val="false"/>
        </w:trPr>
        <w:tc>
          <w:tcPr>
            <w:tcW w:type="dxa" w:w="2851"/>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left"/>
            </w:pPr>
            <w:r>
              <w:rPr>
                <w:b w:val="false"/>
                <w:bCs w:val="false"/>
                <w:sz w:val="16"/>
                <w:szCs w:val="16"/>
              </w:rPr>
              <w:t xml:space="preserve">Net new spending (transfers+UI+SSDI+UBI)</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33.5</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51.8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69.1</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85.8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102.6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119.8</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127.2</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137.9</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148.7</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159.6</w:t>
            </w:r>
          </w:p>
        </w:tc>
        <w:tc>
          <w:tcPr>
            <w:tcW w:type="dxa" w:w="919"/>
            <w:tcBorders>
              <w:top w:val="single" w:color="BBBBBB" w:sz="1"/>
              <w:left w:val="single" w:color="BBBBBB" w:sz="1"/>
              <w:bottom w:val="single" w:color="BBBBBB" w:sz="1"/>
              <w:right w:val="single" w:color="BBBBBB" w:sz="1"/>
            </w:tcBorders>
            <w:tcMar>
              <w:top w:type="dxa" w:w="40"/>
              <w:left w:type="dxa" w:w="80"/>
              <w:bottom w:type="dxa" w:w="40"/>
              <w:right w:type="dxa" w:w="80"/>
            </w:tcMar>
          </w:tcPr>
          <w:p>
            <w:pPr>
              <w:jc w:val="right"/>
            </w:pPr>
            <w:r>
              <w:rPr>
                <w:b w:val="false"/>
                <w:bCs w:val="false"/>
                <w:sz w:val="16"/>
                <w:szCs w:val="16"/>
              </w:rPr>
              <w:t xml:space="preserve">1,036.2</w:t>
            </w:r>
          </w:p>
        </w:tc>
      </w:tr>
      <w:tr>
        <w:trPr>
          <w:tblHeader w:val="false"/>
        </w:trPr>
        <w:tc>
          <w:tcPr>
            <w:tcW w:type="dxa" w:w="2851"/>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left"/>
            </w:pPr>
            <w:r>
              <w:rPr>
                <w:b/>
                <w:bCs/>
                <w:sz w:val="16"/>
                <w:szCs w:val="16"/>
              </w:rPr>
              <w:t xml:space="preserve">Net fiscal impact (federal + state)</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-66.5</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-121.1</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-165.8</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-203.1</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-235.8</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-266.1</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-277.7</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-288.5</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-298.9</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-309.4</w:t>
            </w:r>
          </w:p>
        </w:tc>
        <w:tc>
          <w:tcPr>
            <w:tcW w:type="dxa" w:w="919"/>
            <w:tcBorders>
              <w:top w:val="single" w:color="BBBBBB" w:sz="1"/>
              <w:left w:val="single" w:color="BBBBBB" w:sz="1"/>
              <w:bottom w:val="single" w:color="BBBBBB" w:sz="1"/>
              <w:right w:val="single" w:color="BBBBBB" w:sz="1"/>
            </w:tcBorders>
            <w:shd w:fill="EFEFEF" w:val="clear"/>
            <w:tcMar>
              <w:top w:type="dxa" w:w="40"/>
              <w:left w:type="dxa" w:w="80"/>
              <w:bottom w:type="dxa" w:w="40"/>
              <w:right w:type="dxa" w:w="80"/>
            </w:tcMar>
          </w:tcPr>
          <w:p>
            <w:pPr>
              <w:jc w:val="right"/>
            </w:pPr>
            <w:r>
              <w:rPr>
                <w:b/>
                <w:bCs/>
                <w:sz w:val="16"/>
                <w:szCs w:val="16"/>
              </w:rPr>
              <w:t xml:space="preserve">-2,232.8</w:t>
            </w:r>
          </w:p>
        </w:tc>
      </w:tr>
    </w:tbl>
    <w:p>
      <w:pPr>
        <w:spacing w:after="120"/>
      </w:pPr>
    </w:p>
    <w:p>
      <w:pPr>
        <w:sectPr>
          <w:footerReference w:type="default" r:id="rId8"/>
          <w:pgSz w:w="15840" w:h="12240" w:orient="landscape"/>
          <w:pgMar w:top="1440" w:right="1440" w:bottom="1440" w:left="1440" w:header="708" w:footer="708" w:gutter="0"/>
          <w:pgNumType/>
          <w:docGrid w:linePitch="360"/>
        </w:sectPr>
      </w:pPr>
    </w:p>
    <w:p>
      <w:pPr>
        <w:pStyle w:val="Heading1"/>
      </w:pPr>
      <w:r>
        <w:t xml:space="preserve">Appendix D — Reproducibility</w:t>
      </w:r>
    </w:p>
    <w:p>
      <w:pPr>
        <w:spacing w:after="120"/>
      </w:pPr>
      <w:r>
        <w:rPr>
          <w:b w:val="false"/>
          <w:bCs w:val="false"/>
          <w:i w:val="false"/>
          <w:iCs w:val="false"/>
        </w:rPr>
        <w:t xml:space="preserve">Every number, table, and figure in this document is generated by a deterministic pipeline in the model repository. To reproduce from a clean checkout:</w:t>
      </w:r>
    </w:p>
    <w:p>
      <w:pPr>
        <w:shd w:fill="F4F4F4" w:val="clear"/>
        <w:spacing w:after="0" w:before="120"/>
      </w:pPr>
      <w:r>
        <w:rPr>
          <w:rFonts w:ascii="Consolas" w:cs="Consolas" w:eastAsia="Consolas" w:hAnsi="Consolas"/>
          <w:sz w:val="18"/>
          <w:szCs w:val="18"/>
        </w:rPr>
        <w:t xml:space="preserve">bash scripts/bootstrap.sh                                   # data artifacts (one-time)</w:t>
      </w:r>
    </w:p>
    <w:p>
      <w:pPr>
        <w:shd w:fill="F4F4F4" w:val="clear"/>
        <w:spacing w:after="0" w:before="0"/>
      </w:pPr>
      <w:r>
        <w:rPr>
          <w:rFonts w:ascii="Consolas" w:cs="Consolas" w:eastAsia="Consolas" w:hAnsi="Consolas"/>
          <w:sz w:val="18"/>
          <w:szCs w:val="18"/>
        </w:rPr>
        <w:t xml:space="preserve">.venv/bin/python -m pytest -q                               # 434 tests, all green</w:t>
      </w:r>
    </w:p>
    <w:p>
      <w:pPr>
        <w:shd w:fill="F4F4F4" w:val="clear"/>
        <w:spacing w:after="0" w:before="0"/>
      </w:pPr>
      <w:r>
        <w:rPr>
          <w:rFonts w:ascii="Consolas" w:cs="Consolas" w:eastAsia="Consolas" w:hAnsi="Consolas"/>
          <w:sz w:val="18"/>
          <w:szCs w:val="18"/>
        </w:rPr>
        <w:t xml:space="preserve">.venv/bin/python scripts/report_artifacts.py                # ~40 min: 7×N=1000 MC + validation</w:t>
      </w:r>
    </w:p>
    <w:p>
      <w:pPr>
        <w:shd w:fill="F4F4F4" w:val="clear"/>
        <w:spacing w:after="120" w:before="0"/>
      </w:pPr>
      <w:r>
        <w:rPr>
          <w:rFonts w:ascii="Consolas" w:cs="Consolas" w:eastAsia="Consolas" w:hAnsi="Consolas"/>
          <w:sz w:val="18"/>
          <w:szCs w:val="18"/>
        </w:rPr>
        <w:t xml:space="preserve">.venv/bin/python scripts/build_report_docx.py               # assembles this document</w:t>
      </w:r>
    </w:p>
    <w:p>
      <w:pPr>
        <w:spacing w:after="120"/>
      </w:pPr>
      <w:r>
        <w:rPr>
          <w:b w:val="false"/>
          <w:bCs w:val="false"/>
          <w:i w:val="false"/>
          <w:iCs w:val="false"/>
        </w:rPr>
        <w:t xml:space="preserve">The artifact build is seeded (seed 0, N = 1000 draws per scenario, spread 0.15); re-running it produces a byte-identical </w:t>
      </w:r>
      <w:r>
        <w:rPr>
          <w:rFonts w:ascii="Consolas" w:cs="Consolas" w:eastAsia="Consolas" w:hAnsi="Consolas"/>
          <w:b w:val="false"/>
          <w:bCs w:val="false"/>
          <w:i w:val="false"/>
          <w:iCs w:val="false"/>
        </w:rPr>
        <w:t xml:space="preserve">manifest.json</w:t>
      </w:r>
      <w:r>
        <w:rPr>
          <w:b w:val="false"/>
          <w:bCs w:val="false"/>
          <w:i w:val="false"/>
          <w:iCs w:val="false"/>
        </w:rPr>
        <w:t xml:space="preserve">. The document build resolves every number in the prose from that manifest and fails on any unresolved reference, so the text cannot cite a number the model did not produce. The footer of every page carries the git commit and generation timestamp of the manifest this copy was built from.</w:t>
      </w:r>
    </w:p>
    <w:p>
      <w:pPr>
        <w:spacing w:after="120"/>
      </w:pPr>
      <w:r>
        <w:rPr>
          <w:b w:val="false"/>
          <w:bCs w:val="false"/>
          <w:i w:val="false"/>
          <w:iCs w:val="false"/>
        </w:rPr>
        <w:t xml:space="preserve">Every scenario, overlay, and lever in this report, including the Monte Carlo, can be explored interactively at &lt;https://aifiscalimpacts.alexwszolek.com&gt;, or locally by running the front end and the compute service together (</w:t>
      </w:r>
      <w:r>
        <w:rPr>
          <w:rFonts w:ascii="Consolas" w:cs="Consolas" w:eastAsia="Consolas" w:hAnsi="Consolas"/>
          <w:b w:val="false"/>
          <w:bCs w:val="false"/>
          <w:i w:val="false"/>
          <w:iCs w:val="false"/>
        </w:rPr>
        <w:t xml:space="preserve">cd web &amp;&amp; npm install &amp;&amp; npm run dev</w:t>
      </w:r>
      <w:r>
        <w:rPr>
          <w:b w:val="false"/>
          <w:bCs w:val="false"/>
          <w:i w:val="false"/>
          <w:iCs w:val="false"/>
        </w:rPr>
        <w:t xml:space="preserve">, alongside </w:t>
      </w:r>
      <w:r>
        <w:rPr>
          <w:rFonts w:ascii="Consolas" w:cs="Consolas" w:eastAsia="Consolas" w:hAnsi="Consolas"/>
          <w:b w:val="false"/>
          <w:bCs w:val="false"/>
          <w:i w:val="false"/>
          <w:iCs w:val="false"/>
        </w:rPr>
        <w:t xml:space="preserve">.venv/bin/uvicorn api.main:app --port 8000</w:t>
      </w:r>
      <w:r>
        <w:rPr>
          <w:b w:val="false"/>
          <w:bCs w:val="false"/>
          <w:i w:val="false"/>
          <w:iCs w:val="false"/>
        </w:rPr>
        <w:t xml:space="preserve">). A headless runner (</w:t>
      </w:r>
      <w:r>
        <w:rPr>
          <w:rFonts w:ascii="Consolas" w:cs="Consolas" w:eastAsia="Consolas" w:hAnsi="Consolas"/>
          <w:b w:val="false"/>
          <w:bCs w:val="false"/>
          <w:i w:val="false"/>
          <w:iCs w:val="false"/>
        </w:rPr>
        <w:t xml:space="preserve">scripts/monte_carlo.py --preset &lt;key&gt; --overlay &lt;key&gt;</w:t>
      </w:r>
      <w:r>
        <w:rPr>
          <w:b w:val="false"/>
          <w:bCs w:val="false"/>
          <w:i w:val="false"/>
          <w:iCs w:val="false"/>
        </w:rPr>
        <w:t xml:space="preserve">) reproduces any scenario × policy cell from the command line without either.</w:t>
      </w:r>
    </w:p>
    <w:p>
      <w:pPr>
        <w:pStyle w:val="Heading1"/>
      </w:pPr>
      <w:r>
        <w:t xml:space="preserve">References</w:t>
      </w:r>
    </w:p>
    <w:p>
      <w:pPr>
        <w:spacing w:after="120"/>
      </w:pPr>
      <w:r>
        <w:rPr>
          <w:b/>
          <w:bCs/>
          <w:i w:val="false"/>
          <w:iCs w:val="false"/>
        </w:rPr>
        <w:t xml:space="preserve">Scenario and calibration sources</w:t>
      </w:r>
      <w:r>
        <w:rPr>
          <w:b w:val="false"/>
          <w:bCs w:val="false"/>
          <w:i w:val="false"/>
          <w:iCs w:val="false"/>
        </w:rPr>
        <w:t xml:space="preserve"> (each anchor fetch-verified; verbatim quotes and URLs in </w:t>
      </w:r>
      <w:r>
        <w:rPr>
          <w:rFonts w:ascii="Consolas" w:cs="Consolas" w:eastAsia="Consolas" w:hAnsi="Consolas"/>
          <w:b w:val="false"/>
          <w:bCs w:val="false"/>
          <w:i w:val="false"/>
          <w:iCs w:val="false"/>
        </w:rPr>
        <w:t xml:space="preserve">docs/research/preset-evidence-raw.json</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Acemoglu, D. (2024). "The Simple Macroeconomics of AI." NBER WP 32487.</w:t>
      </w:r>
    </w:p>
    <w:p>
      <w:pPr>
        <w:pStyle w:val="ListParagraph"/>
        <w:numPr>
          <w:ilvl w:val="0"/>
          <w:numId w:val="2"/>
        </w:numPr>
        <w:spacing w:after="60"/>
      </w:pPr>
      <w:r>
        <w:rPr>
          <w:b w:val="false"/>
          <w:bCs w:val="false"/>
          <w:i w:val="false"/>
          <w:iCs w:val="false"/>
        </w:rPr>
        <w:t xml:space="preserve">Autor, D., Dorn, D., and Hanson, G. (2016). "The China Shock: Learning from Labor-Market</w:t>
      </w:r>
    </w:p>
    <w:p>
      <w:pPr>
        <w:spacing w:after="120"/>
      </w:pPr>
      <w:r>
        <w:rPr>
          <w:b w:val="false"/>
          <w:bCs w:val="false"/>
          <w:i w:val="false"/>
          <w:iCs w:val="false"/>
        </w:rPr>
        <w:t xml:space="preserve">Adjustment to Large Changes in Trade." Annual Review of Economics.</w:t>
      </w:r>
    </w:p>
    <w:p>
      <w:pPr>
        <w:pStyle w:val="ListParagraph"/>
        <w:numPr>
          <w:ilvl w:val="0"/>
          <w:numId w:val="2"/>
        </w:numPr>
        <w:spacing w:after="60"/>
      </w:pPr>
      <w:r>
        <w:rPr>
          <w:b w:val="false"/>
          <w:bCs w:val="false"/>
          <w:i w:val="false"/>
          <w:iCs w:val="false"/>
        </w:rPr>
        <w:t xml:space="preserve">Brynjolfsson, E., Chandar, B., and Chen, R. (2025). "Canaries in the Coal Mine? Six Facts about</w:t>
      </w:r>
    </w:p>
    <w:p>
      <w:pPr>
        <w:spacing w:after="120"/>
      </w:pPr>
      <w:r>
        <w:rPr>
          <w:b w:val="false"/>
          <w:bCs w:val="false"/>
          <w:i w:val="false"/>
          <w:iCs w:val="false"/>
        </w:rPr>
        <w:t xml:space="preserve">the Recent Employment Effects of Artificial Intelligence." Stanford Digital Economy Lab.</w:t>
      </w:r>
    </w:p>
    <w:p>
      <w:pPr>
        <w:pStyle w:val="ListParagraph"/>
        <w:numPr>
          <w:ilvl w:val="0"/>
          <w:numId w:val="2"/>
        </w:numPr>
        <w:spacing w:after="60"/>
      </w:pPr>
      <w:r>
        <w:rPr>
          <w:b w:val="false"/>
          <w:bCs w:val="false"/>
          <w:i w:val="false"/>
          <w:iCs w:val="false"/>
        </w:rPr>
        <w:t xml:space="preserve">Brynjolfsson, E., Li, D., and Raymond, L. (2025). "Generative AI at Work." Quarterly Journal of</w:t>
      </w:r>
    </w:p>
    <w:p>
      <w:pPr>
        <w:spacing w:after="120"/>
      </w:pPr>
      <w:r>
        <w:rPr>
          <w:b w:val="false"/>
          <w:bCs w:val="false"/>
          <w:i w:val="false"/>
          <w:iCs w:val="false"/>
        </w:rPr>
        <w:t xml:space="preserve">Economics 140(2).</w:t>
      </w:r>
    </w:p>
    <w:p>
      <w:pPr>
        <w:pStyle w:val="ListParagraph"/>
        <w:numPr>
          <w:ilvl w:val="0"/>
          <w:numId w:val="2"/>
        </w:numPr>
        <w:spacing w:after="60"/>
      </w:pPr>
      <w:r>
        <w:rPr>
          <w:b w:val="false"/>
          <w:bCs w:val="false"/>
          <w:i w:val="false"/>
          <w:iCs w:val="false"/>
        </w:rPr>
        <w:t xml:space="preserve">Brynjolfsson, E., Rock, D., and Syverson, C. (2021). "The Productivity J-Curve." AEJ: Macro.</w:t>
      </w:r>
    </w:p>
    <w:p>
      <w:pPr>
        <w:pStyle w:val="ListParagraph"/>
        <w:numPr>
          <w:ilvl w:val="0"/>
          <w:numId w:val="2"/>
        </w:numPr>
        <w:spacing w:after="60"/>
      </w:pPr>
      <w:r>
        <w:rPr>
          <w:b w:val="false"/>
          <w:bCs w:val="false"/>
          <w:i w:val="false"/>
          <w:iCs w:val="false"/>
        </w:rPr>
        <w:t xml:space="preserve">Costinot, A., and Werning, I. (2023). "Robots, Trade, and Luddism: A Sufficient Statistic</w:t>
      </w:r>
    </w:p>
    <w:p>
      <w:pPr>
        <w:spacing w:after="120"/>
      </w:pPr>
      <w:r>
        <w:rPr>
          <w:b w:val="false"/>
          <w:bCs w:val="false"/>
          <w:i w:val="false"/>
          <w:iCs w:val="false"/>
        </w:rPr>
        <w:t xml:space="preserve">Approach to Optimal Technology Regulation." Review of Economic Studies.</w:t>
      </w:r>
    </w:p>
    <w:p>
      <w:pPr>
        <w:pStyle w:val="ListParagraph"/>
        <w:numPr>
          <w:ilvl w:val="0"/>
          <w:numId w:val="2"/>
        </w:numPr>
        <w:spacing w:after="60"/>
      </w:pPr>
      <w:r>
        <w:rPr>
          <w:b w:val="false"/>
          <w:bCs w:val="false"/>
          <w:i w:val="false"/>
          <w:iCs w:val="false"/>
        </w:rPr>
        <w:t xml:space="preserve">Davidson, T. (2023). "What a Compute-Centric Framework Says About Takeoff Speeds." Open</w:t>
      </w:r>
    </w:p>
    <w:p>
      <w:pPr>
        <w:spacing w:after="120"/>
      </w:pPr>
      <w:r>
        <w:rPr>
          <w:b w:val="false"/>
          <w:bCs w:val="false"/>
          <w:i w:val="false"/>
          <w:iCs w:val="false"/>
        </w:rPr>
        <w:t xml:space="preserve">Philanthropy.</w:t>
      </w:r>
    </w:p>
    <w:p>
      <w:pPr>
        <w:pStyle w:val="ListParagraph"/>
        <w:numPr>
          <w:ilvl w:val="0"/>
          <w:numId w:val="2"/>
        </w:numPr>
        <w:spacing w:after="60"/>
      </w:pPr>
      <w:r>
        <w:rPr>
          <w:b w:val="false"/>
          <w:bCs w:val="false"/>
          <w:i w:val="false"/>
          <w:iCs w:val="false"/>
        </w:rPr>
        <w:t xml:space="preserve">Davis, S., and von Wachter, T. (2011). "Recessions and the Costs of Job Loss." Brookings Papers</w:t>
      </w:r>
    </w:p>
    <w:p>
      <w:pPr>
        <w:spacing w:after="120"/>
      </w:pPr>
      <w:r>
        <w:rPr>
          <w:b w:val="false"/>
          <w:bCs w:val="false"/>
          <w:i w:val="false"/>
          <w:iCs w:val="false"/>
        </w:rPr>
        <w:t xml:space="preserve">on Economic Activity.</w:t>
      </w:r>
    </w:p>
    <w:p>
      <w:pPr>
        <w:pStyle w:val="ListParagraph"/>
        <w:numPr>
          <w:ilvl w:val="0"/>
          <w:numId w:val="2"/>
        </w:numPr>
        <w:spacing w:after="60"/>
      </w:pPr>
      <w:r>
        <w:rPr>
          <w:b w:val="false"/>
          <w:bCs w:val="false"/>
          <w:i w:val="false"/>
          <w:iCs w:val="false"/>
        </w:rPr>
        <w:t xml:space="preserve">Eloundou, T., Manning, S., Mishkin, P., and Rock, D. (2023). "GPTs are GPTs: An Early Look at</w:t>
      </w:r>
    </w:p>
    <w:p>
      <w:pPr>
        <w:spacing w:after="120"/>
      </w:pPr>
      <w:r>
        <w:rPr>
          <w:b w:val="false"/>
          <w:bCs w:val="false"/>
          <w:i w:val="false"/>
          <w:iCs w:val="false"/>
        </w:rPr>
        <w:t xml:space="preserve">the Labor Market Impact Potential of Large Language Models." arXiv:2303.10130.</w:t>
      </w:r>
    </w:p>
    <w:p>
      <w:pPr>
        <w:pStyle w:val="ListParagraph"/>
        <w:numPr>
          <w:ilvl w:val="0"/>
          <w:numId w:val="2"/>
        </w:numPr>
        <w:spacing w:after="60"/>
      </w:pPr>
      <w:r>
        <w:rPr>
          <w:b w:val="false"/>
          <w:bCs w:val="false"/>
          <w:i w:val="false"/>
          <w:iCs w:val="false"/>
        </w:rPr>
        <w:t xml:space="preserve">Epoch AI (2025). "GATE: An Integrated Assessment Model for AI Automation." arXiv:2503.04941.</w:t>
      </w:r>
    </w:p>
    <w:p>
      <w:pPr>
        <w:pStyle w:val="ListParagraph"/>
        <w:numPr>
          <w:ilvl w:val="0"/>
          <w:numId w:val="2"/>
        </w:numPr>
        <w:spacing w:after="60"/>
      </w:pPr>
      <w:r>
        <w:rPr>
          <w:b w:val="false"/>
          <w:bCs w:val="false"/>
          <w:i w:val="false"/>
          <w:iCs w:val="false"/>
        </w:rPr>
        <w:t xml:space="preserve">Farber, H. (2015). "Job Loss in the Great Recession and its Aftermath: U.S. Evidence from the</w:t>
      </w:r>
    </w:p>
    <w:p>
      <w:pPr>
        <w:spacing w:after="120"/>
      </w:pPr>
      <w:r>
        <w:rPr>
          <w:b w:val="false"/>
          <w:bCs w:val="false"/>
          <w:i w:val="false"/>
          <w:iCs w:val="false"/>
        </w:rPr>
        <w:t xml:space="preserve">Displaced Workers Survey." NBER WP 21216.</w:t>
      </w:r>
    </w:p>
    <w:p>
      <w:pPr>
        <w:pStyle w:val="ListParagraph"/>
        <w:numPr>
          <w:ilvl w:val="0"/>
          <w:numId w:val="2"/>
        </w:numPr>
        <w:spacing w:after="60"/>
      </w:pPr>
      <w:r>
        <w:rPr>
          <w:b w:val="false"/>
          <w:bCs w:val="false"/>
          <w:i w:val="false"/>
          <w:iCs w:val="false"/>
        </w:rPr>
        <w:t xml:space="preserve">Felten, E., Raj, M., and Seamans, R. (2023). "How Will Language Modelers like ChatGPT Affect</w:t>
      </w:r>
    </w:p>
    <w:p>
      <w:pPr>
        <w:spacing w:after="120"/>
      </w:pPr>
      <w:r>
        <w:rPr>
          <w:b w:val="false"/>
          <w:bCs w:val="false"/>
          <w:i w:val="false"/>
          <w:iCs w:val="false"/>
        </w:rPr>
        <w:t xml:space="preserve">Occupations and Industries?" arXiv:2303.01157.</w:t>
      </w:r>
    </w:p>
    <w:p>
      <w:pPr>
        <w:pStyle w:val="ListParagraph"/>
        <w:numPr>
          <w:ilvl w:val="0"/>
          <w:numId w:val="2"/>
        </w:numPr>
        <w:spacing w:after="60"/>
      </w:pPr>
      <w:r>
        <w:rPr>
          <w:b w:val="false"/>
          <w:bCs w:val="false"/>
          <w:i w:val="false"/>
          <w:iCs w:val="false"/>
        </w:rPr>
        <w:t xml:space="preserve">Guerreiro, J., Rebelo, S., and Teles, P. (2022). "Should Robots Be Taxed?" Review of Economic</w:t>
      </w:r>
    </w:p>
    <w:p>
      <w:pPr>
        <w:spacing w:after="120"/>
      </w:pPr>
      <w:r>
        <w:rPr>
          <w:b w:val="false"/>
          <w:bCs w:val="false"/>
          <w:i w:val="false"/>
          <w:iCs w:val="false"/>
        </w:rPr>
        <w:t xml:space="preserve">Studies 89(1).</w:t>
      </w:r>
    </w:p>
    <w:p>
      <w:pPr>
        <w:pStyle w:val="ListParagraph"/>
        <w:numPr>
          <w:ilvl w:val="0"/>
          <w:numId w:val="2"/>
        </w:numPr>
        <w:spacing w:after="60"/>
      </w:pPr>
      <w:r>
        <w:rPr>
          <w:b w:val="false"/>
          <w:bCs w:val="false"/>
          <w:i w:val="false"/>
          <w:iCs w:val="false"/>
        </w:rPr>
        <w:t xml:space="preserve">Holtmann, S., Braun, A. S., Cho, J., Koch, R., and Langenmayr, D. (2025). "Investment Effects of</w:t>
      </w:r>
    </w:p>
    <w:p>
      <w:pPr>
        <w:spacing w:after="120"/>
      </w:pPr>
      <w:r>
        <w:rPr>
          <w:b w:val="false"/>
          <w:bCs w:val="false"/>
          <w:i w:val="false"/>
          <w:iCs w:val="false"/>
        </w:rPr>
        <w:t xml:space="preserve">a Quasi-Robot Tax: Evidence from South Korea." arqus Discussion Paper.</w:t>
      </w:r>
    </w:p>
    <w:p>
      <w:pPr>
        <w:pStyle w:val="ListParagraph"/>
        <w:numPr>
          <w:ilvl w:val="0"/>
          <w:numId w:val="2"/>
        </w:numPr>
        <w:spacing w:after="60"/>
      </w:pPr>
      <w:r>
        <w:rPr>
          <w:b w:val="false"/>
          <w:bCs w:val="false"/>
          <w:i w:val="false"/>
          <w:iCs w:val="false"/>
        </w:rPr>
        <w:t xml:space="preserve">Ieong, T., Saputra, A., Maniar, A., and Cheng, D. (2026). "Mapping Tax Risks From</w:t>
      </w:r>
    </w:p>
    <w:p>
      <w:pPr>
        <w:spacing w:after="120"/>
      </w:pPr>
      <w:r>
        <w:rPr>
          <w:b w:val="false"/>
          <w:bCs w:val="false"/>
          <w:i w:val="false"/>
          <w:iCs w:val="false"/>
        </w:rPr>
        <w:t xml:space="preserve">Labour-Displacing AI." Windfall Trust.</w:t>
      </w:r>
    </w:p>
    <w:p>
      <w:pPr>
        <w:pStyle w:val="ListParagraph"/>
        <w:numPr>
          <w:ilvl w:val="0"/>
          <w:numId w:val="2"/>
        </w:numPr>
        <w:spacing w:after="60"/>
      </w:pPr>
      <w:r>
        <w:rPr>
          <w:b w:val="false"/>
          <w:bCs w:val="false"/>
          <w:i w:val="false"/>
          <w:iCs w:val="false"/>
        </w:rPr>
        <w:t xml:space="preserve">Jacobson, L., LaLonde, R., and Sullivan, D. (1993). "Earnings Losses of Displaced Workers."</w:t>
      </w:r>
    </w:p>
    <w:p>
      <w:pPr>
        <w:spacing w:after="120"/>
      </w:pPr>
      <w:r>
        <w:rPr>
          <w:b w:val="false"/>
          <w:bCs w:val="false"/>
          <w:i w:val="false"/>
          <w:iCs w:val="false"/>
        </w:rPr>
        <w:t xml:space="preserve">American Economic Review 83(4).</w:t>
      </w:r>
    </w:p>
    <w:p>
      <w:pPr>
        <w:pStyle w:val="ListParagraph"/>
        <w:numPr>
          <w:ilvl w:val="0"/>
          <w:numId w:val="2"/>
        </w:numPr>
        <w:spacing w:after="60"/>
      </w:pPr>
      <w:r>
        <w:rPr>
          <w:b w:val="false"/>
          <w:bCs w:val="false"/>
          <w:i w:val="false"/>
          <w:iCs w:val="false"/>
        </w:rPr>
        <w:t xml:space="preserve">Korinek, A., and Lockwood, L. (2026). "Public Finance in the Age of AI: A Primer." NBER WP 34873.</w:t>
      </w:r>
    </w:p>
    <w:p>
      <w:pPr>
        <w:pStyle w:val="ListParagraph"/>
        <w:numPr>
          <w:ilvl w:val="0"/>
          <w:numId w:val="2"/>
        </w:numPr>
        <w:spacing w:after="60"/>
      </w:pPr>
      <w:r>
        <w:rPr>
          <w:b w:val="false"/>
          <w:bCs w:val="false"/>
          <w:i w:val="false"/>
          <w:iCs w:val="false"/>
        </w:rPr>
        <w:t xml:space="preserve">Korinek, A., and Stiglitz, J. (2019). "Artificial Intelligence and Its Implications for Income</w:t>
      </w:r>
    </w:p>
    <w:p>
      <w:pPr>
        <w:spacing w:after="120"/>
      </w:pPr>
      <w:r>
        <w:rPr>
          <w:b w:val="false"/>
          <w:bCs w:val="false"/>
          <w:i w:val="false"/>
          <w:iCs w:val="false"/>
        </w:rPr>
        <w:t xml:space="preserve">Distribution and Unemployment." NBER chapter.</w:t>
      </w:r>
    </w:p>
    <w:p>
      <w:pPr>
        <w:pStyle w:val="ListParagraph"/>
        <w:numPr>
          <w:ilvl w:val="0"/>
          <w:numId w:val="2"/>
        </w:numPr>
        <w:spacing w:after="60"/>
      </w:pPr>
      <w:r>
        <w:rPr>
          <w:b w:val="false"/>
          <w:bCs w:val="false"/>
          <w:i w:val="false"/>
          <w:iCs w:val="false"/>
        </w:rPr>
        <w:t xml:space="preserve">Korinek, A., and Suh, D. (2024). "Scenarios for the Transition to AGI." NBER WP 32255.</w:t>
      </w:r>
    </w:p>
    <w:p>
      <w:pPr>
        <w:pStyle w:val="ListParagraph"/>
        <w:numPr>
          <w:ilvl w:val="0"/>
          <w:numId w:val="2"/>
        </w:numPr>
        <w:spacing w:after="60"/>
      </w:pPr>
      <w:r>
        <w:rPr>
          <w:b w:val="false"/>
          <w:bCs w:val="false"/>
          <w:i w:val="false"/>
          <w:iCs w:val="false"/>
        </w:rPr>
        <w:t xml:space="preserve">Kokotajlo, D., Alexander, S., Larsen, T., Lifland, E., et al. (2025). "AI 2027." AI Futures</w:t>
      </w:r>
    </w:p>
    <w:p>
      <w:pPr>
        <w:spacing w:after="120"/>
      </w:pPr>
      <w:r>
        <w:rPr>
          <w:b w:val="false"/>
          <w:bCs w:val="false"/>
          <w:i w:val="false"/>
          <w:iCs w:val="false"/>
        </w:rPr>
        <w:t xml:space="preserve">Project.</w:t>
      </w:r>
    </w:p>
    <w:p>
      <w:pPr>
        <w:pStyle w:val="ListParagraph"/>
        <w:numPr>
          <w:ilvl w:val="0"/>
          <w:numId w:val="2"/>
        </w:numPr>
        <w:spacing w:after="60"/>
      </w:pPr>
      <w:r>
        <w:rPr>
          <w:b w:val="false"/>
          <w:bCs w:val="false"/>
          <w:i w:val="false"/>
          <w:iCs w:val="false"/>
        </w:rPr>
        <w:t xml:space="preserve">MacAskill, W., and Moorhouse, F. (2025). "Preparing for the Intelligence Explosion." Forethought.</w:t>
      </w:r>
    </w:p>
    <w:p>
      <w:pPr>
        <w:pStyle w:val="ListParagraph"/>
        <w:numPr>
          <w:ilvl w:val="0"/>
          <w:numId w:val="2"/>
        </w:numPr>
        <w:spacing w:after="60"/>
      </w:pPr>
      <w:r>
        <w:rPr>
          <w:b w:val="false"/>
          <w:bCs w:val="false"/>
          <w:i w:val="false"/>
          <w:iCs w:val="false"/>
        </w:rPr>
        <w:t xml:space="preserve">Price, C., and Suresh, A. (2025). "Federal Revenue When AI Replaces Labor." RAND WRA4443-1.</w:t>
      </w:r>
    </w:p>
    <w:p>
      <w:pPr>
        <w:pStyle w:val="ListParagraph"/>
        <w:numPr>
          <w:ilvl w:val="0"/>
          <w:numId w:val="2"/>
        </w:numPr>
        <w:spacing w:after="60"/>
      </w:pPr>
      <w:r>
        <w:rPr>
          <w:b w:val="false"/>
          <w:bCs w:val="false"/>
          <w:i w:val="false"/>
          <w:iCs w:val="false"/>
        </w:rPr>
        <w:t xml:space="preserve">Thuemmel, U. (2023). "Optimal Taxation of Robots." Journal of the European Economic Association</w:t>
      </w:r>
    </w:p>
    <w:p>
      <w:pPr>
        <w:spacing w:after="120"/>
      </w:pPr>
      <w:r>
        <w:rPr>
          <w:b w:val="false"/>
          <w:bCs w:val="false"/>
          <w:i w:val="false"/>
          <w:iCs w:val="false"/>
        </w:rPr>
        <w:t xml:space="preserve">21(3).</w:t>
      </w:r>
    </w:p>
    <w:p>
      <w:pPr>
        <w:pStyle w:val="ListParagraph"/>
        <w:numPr>
          <w:ilvl w:val="0"/>
          <w:numId w:val="2"/>
        </w:numPr>
        <w:spacing w:after="60"/>
      </w:pPr>
      <w:r>
        <w:rPr>
          <w:b w:val="false"/>
          <w:bCs w:val="false"/>
          <w:i w:val="false"/>
          <w:iCs w:val="false"/>
        </w:rPr>
        <w:t xml:space="preserve">Webb, M. (2020). "The Impact of Artificial Intelligence on the Labor Market." SSRN 3482150.</w:t>
      </w:r>
    </w:p>
    <w:p>
      <w:pPr>
        <w:pStyle w:val="ListParagraph"/>
        <w:numPr>
          <w:ilvl w:val="0"/>
          <w:numId w:val="2"/>
        </w:numPr>
        <w:spacing w:after="60"/>
      </w:pPr>
      <w:r>
        <w:rPr>
          <w:b w:val="false"/>
          <w:bCs w:val="false"/>
          <w:i w:val="false"/>
          <w:iCs w:val="false"/>
        </w:rPr>
        <w:t xml:space="preserve">Chodorow-Reich, G. (2019). "Geographic Cross-Sectional Fiscal Spending Multipliers: What Have We</w:t>
      </w:r>
    </w:p>
    <w:p>
      <w:pPr>
        <w:spacing w:after="120"/>
      </w:pPr>
      <w:r>
        <w:rPr>
          <w:b w:val="false"/>
          <w:bCs w:val="false"/>
          <w:i w:val="false"/>
          <w:iCs w:val="false"/>
        </w:rPr>
        <w:t xml:space="preserve">Learned?" AEJ: Economic Policy.</w:t>
      </w:r>
    </w:p>
    <w:p>
      <w:pPr>
        <w:spacing w:after="120"/>
      </w:pPr>
      <w:r>
        <w:rPr>
          <w:b/>
          <w:bCs/>
          <w:i w:val="false"/>
          <w:iCs w:val="false"/>
        </w:rPr>
        <w:t xml:space="preserve">Data sources</w:t>
      </w:r>
      <w:r>
        <w:rPr>
          <w:b w:val="false"/>
          <w:bCs w:val="false"/>
          <w:i w:val="false"/>
          <w:iCs w:val="false"/>
        </w:rPr>
        <w:t xml:space="preserve">: BLS Occupational Employment and Wage Statistics (2024; May 2025 state files); BEA National Income and Product Accounts (2024); Census ACS PUMS (2024); Yale Budget Lab AI exposure index; PolicyEngine-US (offline bake); federal tax schedules (2025) and state schedules (2026).</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4"/>
        <w:szCs w:val="14"/>
      </w:rPr>
      <w:t xml:space="preserve">AI Automation Fiscal Model — technical report · ee076b4 · 2026-08-07 00:31 · seed 0, N=1000</w:t>
    </w:r>
    <w:r>
      <w:rPr>
        <w:color w:val="666666"/>
        <w:sz w:val="14"/>
        <w:szCs w:val="14"/>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4"/>
        <w:szCs w:val="14"/>
      </w:rPr>
      <w:t xml:space="preserve">AI Automation Fiscal Model — technical report · ee076b4 · 2026-08-07 00:31 · seed 0, N=1000</w:t>
    </w:r>
    <w:r>
      <w:rPr>
        <w:color w:val="666666"/>
        <w:sz w:val="14"/>
        <w:szCs w:val="14"/>
      </w:rPr>
      <w:t xml:space="preserve">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4"/>
        <w:szCs w:val="14"/>
      </w:rPr>
      <w:t xml:space="preserve">AI Automation Fiscal Model — technical report · ee076b4 · 2026-08-07 00:31 · seed 0, N=1000</w:t>
    </w:r>
    <w:r>
      <w:rPr>
        <w:color w:val="666666"/>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6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 w:type="paragraph" w:styleId="Heading4">
    <w:name w:val="Heading 4"/>
    <w:basedOn w:val="Normal"/>
    <w:next w:val="Normal"/>
    <w:qFormat/>
    <w:pPr>
      <w:spacing w:after="100" w:before="160"/>
      <w:outlineLvl w:val="3"/>
    </w:pPr>
    <w:rPr>
      <w:rFonts w:ascii="Arial" w:cs="Arial" w:eastAsia="Arial" w:hAnsi="Arial"/>
      <w:b/>
      <w:bCs/>
      <w:i/>
      <w:iCs/>
      <w:sz w:val="22"/>
      <w:szCs w:val="22"/>
    </w:rPr>
  </w:style>
  <w:style w:type="paragraph" w:styleId="Caption">
    <w:name w:val="Caption"/>
    <w:basedOn w:val="Normal"/>
    <w:rPr>
      <w:i/>
      <w:iCs/>
      <w:color w:val="444444"/>
      <w:sz w:val="18"/>
      <w:szCs w:val="18"/>
    </w:rPr>
  </w:style>
  <w:style w:type="paragraph" w:styleId="Title">
    <w:name w:val="Title"/>
    <w:basedOn w:val="Normal"/>
    <w:pPr>
      <w:spacing w:after="240"/>
    </w:pPr>
    <w:rPr>
      <w:b/>
      <w:bCs/>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853cd0a3528212bf4b5be8e34465efa39eb8cb8.png"/><Relationship Id="rId11" Type="http://schemas.openxmlformats.org/officeDocument/2006/relationships/image" Target="media/462e1e6e43af33f0a9e709917f65eadb0656e886.png"/><Relationship Id="rId12" Type="http://schemas.openxmlformats.org/officeDocument/2006/relationships/image" Target="media/810b9ca73bea30aff72cfbd5de44c65118776d3b.png"/><Relationship Id="rId13" Type="http://schemas.openxmlformats.org/officeDocument/2006/relationships/image" Target="media/516797db897491f828687fcebd75ff21a2f90b62.png"/><Relationship Id="rId14" Type="http://schemas.openxmlformats.org/officeDocument/2006/relationships/image" Target="media/471ab4ebc75b30b99ee27d1bff17894b7bc1511a.png"/><Relationship Id="rId15" Type="http://schemas.openxmlformats.org/officeDocument/2006/relationships/image" Target="media/e09d785c557b6b7c2ef103445a0acf86e845c87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2026-08-09T23:38:03.600Z</dcterms:created>
  <dcterms:modified xsi:type="dcterms:W3CDTF">2026-08-09T23:38:03.605Z</dcterms:modified>
</cp:coreProperties>
</file>

<file path=docProps/custom.xml><?xml version="1.0" encoding="utf-8"?>
<Properties xmlns="http://schemas.openxmlformats.org/officeDocument/2006/custom-properties" xmlns:vt="http://schemas.openxmlformats.org/officeDocument/2006/docPropsVTypes"/>
</file>