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Fiscal Consequences of AI Automation</w:t>
      </w:r>
    </w:p>
    <w:p>
      <w:pPr>
        <w:spacing w:after="120"/>
      </w:pPr>
      <w:r>
        <w:rPr>
          <w:b w:val="false"/>
          <w:bCs w:val="false"/>
          <w:i w:val="false"/>
          <w:iCs w:val="false"/>
        </w:rPr>
        <w:t xml:space="preserve">A multi-actor accounting model of United States federal and state revenue under labor-displacing artificial intelligence — data, equations, and findings across twelve literature-anchored scenarios.</w:t>
      </w:r>
    </w:p>
    <w:p>
      <w:pPr>
        <w:pBdr>
          <w:left w:val="single" w:color="9BB7D4" w:sz="12" w:space="8"/>
        </w:pBdr>
        <w:spacing w:after="120"/>
        <w:ind w:left="540"/>
      </w:pPr>
      <w:r>
        <w:rPr>
          <w:b/>
          <w:bCs/>
          <w:i w:val="false"/>
          <w:iCs w:val="false"/>
          <w:sz w:val="21"/>
          <w:szCs w:val="21"/>
        </w:rPr>
        <w:t xml:space="preserve">Abstract.</w:t>
      </w:r>
      <w:r>
        <w:rPr>
          <w:b w:val="false"/>
          <w:bCs w:val="false"/>
          <w:i w:val="false"/>
          <w:iCs w:val="false"/>
          <w:sz w:val="21"/>
          <w:szCs w:val="21"/>
        </w:rPr>
        <w:t xml:space="preserve"> We build a bottom-up accounting model of what AI-driven labor displacement does to the United States fiscal system. The model prices displacement one occupation-by-state cell at a time — exact tax-schedule re-evaluation, means-tested transfer cliffs integrated over within-cell wage distributions, two unemployment-insurance phases — then wraps those per-worker fiscal deltas in a dynamic multi-actor system: firms dispose of the saved wage bill into profit, prices, and survivor raises; a compute-capital pool absorbs automation spending at capital tax rates; a shareholder channel prices the equity claim the undistributed remainder capitalizes, and taxes it only as measured realization draws it down; the federal ledger runs deficits while all fifty-one state and local systems must balance each year; and a second-round demand channel converts standing income withdrawal into induced layoffs. Every period of every run satisfies nine conservation identities, and the full system reduces bit-for-bit to a hand-checkable static kernel when the behavioral levers are switched off. We run the model through twelve scenarios anchored to the empirical and theoretical literature — from Acemoglu's deliberately modest bounds to a five-year artificial general intelligence transition — each with Monte Carlo uncertainty bands, and through four composable policy overlays (two robot taxes at literature-optimal rates, a universal basic income, and compute-pool tax parity). Three findings organize the results: the tax base migrates from labor to capital faster than output falls; revenue falls faster than employment; and the states, which cannot print or borrow, act as an asymmetric amplifier — hiking rates until caps bind, then cutting spending, which feeds back into demand. Literature-optimal robot taxes recover only a small share of the fiscal gap in every scenario. All numbers in this document are generated by a seeded, reproducible pipeline; the build stamp appears in the footer.</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and summary of findings</w:t>
      </w:r>
    </w:p>
    <w:p>
      <w:pPr>
        <w:spacing w:after="120"/>
      </w:pPr>
      <w:r>
        <w:rPr>
          <w:b w:val="false"/>
          <w:bCs w:val="false"/>
          <w:i w:val="false"/>
          <w:iCs w:val="false"/>
        </w:rPr>
        <w:t xml:space="preserve">The question this model answers is narrower and more concrete than "what will AI do to the economy": </w:t>
      </w:r>
      <w:r>
        <w:rPr>
          <w:b w:val="false"/>
          <w:bCs w:val="false"/>
          <w:i/>
          <w:iCs/>
        </w:rPr>
        <w:t xml:space="preserve">if AI automates some share of the work Americans currently do, what happens to the public finances that depend on that work being done by taxed humans?</w:t>
      </w:r>
      <w:r>
        <w:rPr>
          <w:b w:val="false"/>
          <w:bCs w:val="false"/>
          <w:i w:val="false"/>
          <w:iCs w:val="false"/>
        </w:rPr>
        <w:t xml:space="preserve"> The United States raises roughly $4,983 billion of federal revenue and $3,515 billion of state and local revenue against a $15.0 trillion compensation base. Eighty-four percent of federal receipts come from individual income and payroll taxes — taxes on people being employed. When a job is automated, the wage disappears from that base, but the value the job produced does not disappear: it re-emerges as corporate profit, lower prices, or capital income, each taxed at a different — usually lower, and sometimes zero — effective rate. The fiscal question is therefore an </w:t>
      </w:r>
      <w:r>
        <w:rPr>
          <w:b w:val="false"/>
          <w:bCs w:val="false"/>
          <w:i/>
          <w:iCs/>
        </w:rPr>
        <w:t xml:space="preserve">accounting</w:t>
      </w:r>
      <w:r>
        <w:rPr>
          <w:b w:val="false"/>
          <w:bCs w:val="false"/>
          <w:i w:val="false"/>
          <w:iCs w:val="false"/>
        </w:rPr>
        <w:t xml:space="preserve"> question about base migration, and this model is built as an accounting machine first: every dollar of displaced compensation is tracked to a destination, every destination has a tax treatment, and the books are forced to balance by construction.</w:t>
      </w:r>
    </w:p>
    <w:p>
      <w:pPr>
        <w:spacing w:after="120"/>
      </w:pPr>
      <w:r>
        <w:rPr>
          <w:b w:val="false"/>
          <w:bCs w:val="false"/>
          <w:i w:val="false"/>
          <w:iCs w:val="false"/>
        </w:rPr>
        <w:t xml:space="preserve">Three theses organize everything that follows.</w:t>
      </w:r>
    </w:p>
    <w:p>
      <w:pPr>
        <w:pStyle w:val="ListParagraph"/>
        <w:numPr>
          <w:ilvl w:val="0"/>
          <w:numId w:val="2"/>
        </w:numPr>
        <w:spacing w:after="60"/>
      </w:pPr>
      <w:r>
        <w:rPr>
          <w:b/>
          <w:bCs/>
          <w:i w:val="false"/>
          <w:iCs w:val="false"/>
        </w:rPr>
        <w:t xml:space="preserve">The tax base migrates from labor to capital.</w:t>
      </w:r>
      <w:r>
        <w:rPr>
          <w:b w:val="false"/>
          <w:bCs w:val="false"/>
          <w:i w:val="false"/>
          <w:iCs w:val="false"/>
        </w:rPr>
        <w:t xml:space="preserve"> The saved wage bill flows to retained profit</w:t>
      </w:r>
    </w:p>
    <w:p>
      <w:pPr>
        <w:spacing w:after="120"/>
      </w:pPr>
      <w:r>
        <w:rPr>
          <w:b w:val="false"/>
          <w:bCs w:val="false"/>
          <w:i w:val="false"/>
          <w:iCs w:val="false"/>
        </w:rPr>
        <w:t xml:space="preserve">(taxed at effective corporate rates near 17–18 percent), to price reductions (taxed at roughly 2 percent through state consumption taxes, and not at all federally), to compute capital (taxed at an effective rate near 5 percent post-TCJA), and — for the undistributed remainder that capitalizes into equity value — to shareholders, who are reached at a fraction of a cent per dollar per year once the taxable-holder share and measured realization rates are applied. Every one of those destinations yields the government less than the 25–40 percent combined marginal wedge on the wages they replace.</w:t>
      </w:r>
    </w:p>
    <w:p>
      <w:pPr>
        <w:pStyle w:val="ListParagraph"/>
        <w:numPr>
          <w:ilvl w:val="0"/>
          <w:numId w:val="2"/>
        </w:numPr>
        <w:spacing w:after="60"/>
      </w:pPr>
      <w:r>
        <w:rPr>
          <w:b/>
          <w:bCs/>
          <w:i w:val="false"/>
          <w:iCs w:val="false"/>
        </w:rPr>
        <w:t xml:space="preserve">Revenue falls faster than employment.</w:t>
      </w:r>
      <w:r>
        <w:rPr>
          <w:b w:val="false"/>
          <w:bCs w:val="false"/>
          <w:i w:val="false"/>
          <w:iCs w:val="false"/>
        </w:rPr>
        <w:t xml:space="preserve"> Displacement is not uniform: AI exposure concentrates</w:t>
      </w:r>
    </w:p>
    <w:p>
      <w:pPr>
        <w:spacing w:after="120"/>
      </w:pPr>
      <w:r>
        <w:rPr>
          <w:b w:val="false"/>
          <w:bCs w:val="false"/>
          <w:i w:val="false"/>
          <w:iCs w:val="false"/>
        </w:rPr>
        <w:t xml:space="preserve">in above-median-wage occupations, so the workers displaced first carry more than their per-capita share of income tax. Progressive rate schedules do the rest.</w:t>
      </w:r>
    </w:p>
    <w:p>
      <w:pPr>
        <w:pStyle w:val="ListParagraph"/>
        <w:numPr>
          <w:ilvl w:val="0"/>
          <w:numId w:val="2"/>
        </w:numPr>
        <w:spacing w:after="60"/>
      </w:pPr>
      <w:r>
        <w:rPr>
          <w:b/>
          <w:bCs/>
          <w:i w:val="false"/>
          <w:iCs w:val="false"/>
        </w:rPr>
        <w:t xml:space="preserve">The states are the asymmetric amplifier.</w:t>
      </w:r>
      <w:r>
        <w:rPr>
          <w:b w:val="false"/>
          <w:bCs w:val="false"/>
          <w:i w:val="false"/>
          <w:iCs w:val="false"/>
        </w:rPr>
        <w:t xml:space="preserve"> The federal government meets lost revenue with</w:t>
      </w:r>
    </w:p>
    <w:p>
      <w:pPr>
        <w:spacing w:after="120"/>
      </w:pPr>
      <w:r>
        <w:rPr>
          <w:b w:val="false"/>
          <w:bCs w:val="false"/>
          <w:i w:val="false"/>
          <w:iCs w:val="false"/>
        </w:rPr>
        <w:t xml:space="preserve">deficits. The states cannot: they must close their gaps each year by raising rates on a shrinking base or cutting spending, and both responses withdraw demand from the same economy that is shedding jobs, feeding back into further displacement.</w:t>
      </w:r>
    </w:p>
    <w:p>
      <w:pPr>
        <w:pStyle w:val="Heading2"/>
      </w:pPr>
      <w:r>
        <w:t xml:space="preserve">1.1 What the model is</w:t>
      </w:r>
    </w:p>
    <w:p>
      <w:pPr>
        <w:spacing w:after="120"/>
      </w:pPr>
      <w:r>
        <w:rPr>
          <w:b w:val="false"/>
          <w:bCs w:val="false"/>
          <w:i w:val="false"/>
          <w:iCs w:val="false"/>
        </w:rPr>
        <w:t xml:space="preserve">The model is a two-layer system. The </w:t>
      </w:r>
      <w:r>
        <w:rPr>
          <w:b/>
          <w:bCs/>
          <w:i w:val="false"/>
          <w:iCs w:val="false"/>
        </w:rPr>
        <w:t xml:space="preserve">static kernel</w:t>
      </w:r>
      <w:r>
        <w:rPr>
          <w:b w:val="false"/>
          <w:bCs w:val="false"/>
          <w:i w:val="false"/>
          <w:iCs w:val="false"/>
        </w:rPr>
        <w:t xml:space="preserve"> computes, for each of roughly 33,000 occupation-by-state cells, the exact fiscal delta of removing one worker: federal and state income tax from hand-rolled bracket schedules, payroll tax with the OASDI cap, means-tested transfers (Medicaid, SNAP, EITC, CTC, ACA, SSI, TANF) from an offline PolicyEngine bake integrated over the within-cell wage distribution, a consumption-tax channel, and a corporate offset. The </w:t>
      </w:r>
      <w:r>
        <w:rPr>
          <w:b/>
          <w:bCs/>
          <w:i w:val="false"/>
          <w:iCs w:val="false"/>
        </w:rPr>
        <w:t xml:space="preserve">dynamic layer</w:t>
      </w:r>
      <w:r>
        <w:rPr>
          <w:b w:val="false"/>
          <w:bCs w:val="false"/>
          <w:i w:val="false"/>
          <w:iCs w:val="false"/>
        </w:rPr>
        <w:t xml:space="preserve"> turns those deltas into a multi-actor simulation: a seven-state worker stock-flow machine, a firm disposition router, a compute-capital pool, survivor wage dynamics, a shareholder channel that prices the undistributed corporate earnings the surplus capitalizes, a price and productivity macro block, the federal debt ledger, a fifty-one-state balanced-budget closure, and a lagged demand feedback. Section 4 walks the within-period sequence; Appendix A carries the full equation reference.</w:t>
      </w:r>
    </w:p>
    <w:p>
      <w:pPr>
        <w:spacing w:after="120"/>
      </w:pPr>
      <w:r>
        <w:rPr>
          <w:b w:val="false"/>
          <w:bCs w:val="false"/>
          <w:i w:val="false"/>
          <w:iCs w:val="false"/>
        </w:rPr>
        <w:t xml:space="preserve">Two design disciplines distinguish the exercise. First, </w:t>
      </w:r>
      <w:r>
        <w:rPr>
          <w:b/>
          <w:bCs/>
          <w:i w:val="false"/>
          <w:iCs w:val="false"/>
        </w:rPr>
        <w:t xml:space="preserve">conservation</w:t>
      </w:r>
      <w:r>
        <w:rPr>
          <w:b w:val="false"/>
          <w:bCs w:val="false"/>
          <w:i w:val="false"/>
          <w:iCs w:val="false"/>
        </w:rPr>
        <w:t xml:space="preserve">: nine identities (worker headcounts partition the baseline; the disposition of the saved bill sums exactly; the federal deficit reconciles to its labeled components; state gaps close to numerical residual zero; and so on) are asserted on every period of every run, including every Monte Carlo draw sampled for this report. Second, </w:t>
      </w:r>
      <w:r>
        <w:rPr>
          <w:b/>
          <w:bCs/>
          <w:i w:val="false"/>
          <w:iCs w:val="false"/>
        </w:rPr>
        <w:t xml:space="preserve">reduction</w:t>
      </w:r>
      <w:r>
        <w:rPr>
          <w:b w:val="false"/>
          <w:bCs w:val="false"/>
          <w:i w:val="false"/>
          <w:iCs w:val="false"/>
        </w:rPr>
        <w:t xml:space="preserve">: with every behavioral lever switched off, the dynamic system reproduces the static kernel bit-for-bit — an anchor that pins the elaborate machinery to a hand-checkable base case. Section 5 states the identities precisely.</w:t>
      </w:r>
    </w:p>
    <w:p>
      <w:pPr>
        <w:pStyle w:val="Heading2"/>
      </w:pPr>
      <w:r>
        <w:t xml:space="preserve">1.2 What the model is not</w:t>
      </w:r>
    </w:p>
    <w:p>
      <w:pPr>
        <w:spacing w:after="120"/>
      </w:pPr>
      <w:r>
        <w:rPr>
          <w:b w:val="false"/>
          <w:bCs w:val="false"/>
          <w:i w:val="false"/>
          <w:iCs w:val="false"/>
        </w:rPr>
        <w:t xml:space="preserve">It is not a general-equilibrium forecast. There is no monetary policy block, no endogenous interest rate, no behavioral response of automation investment to taxation, and no representation of within-job augmentation (a worker made more productive but not displaced). Prices deflate reported real aggregates but are never injected into nominal tax computations. Section 10 lists every known simplification with its direction of bias; the external-validation exercises in Section 9 quantify how far these omissions move the results relative to models that make the opposite choices.</w:t>
      </w:r>
    </w:p>
    <w:p>
      <w:pPr>
        <w:pStyle w:val="Heading2"/>
      </w:pPr>
      <w:r>
        <w:t xml:space="preserve">1.3 The scenario space and the headline result</w:t>
      </w:r>
    </w:p>
    <w:p>
      <w:pPr>
        <w:spacing w:after="120"/>
      </w:pPr>
      <w:r>
        <w:rPr>
          <w:b w:val="false"/>
          <w:bCs w:val="false"/>
          <w:i w:val="false"/>
          <w:iCs w:val="false"/>
        </w:rPr>
        <w:t xml:space="preserve">Rather than defend one forecast, the model ships twelve </w:t>
      </w:r>
      <w:r>
        <w:rPr>
          <w:b/>
          <w:bCs/>
          <w:i w:val="false"/>
          <w:iCs w:val="false"/>
        </w:rPr>
        <w:t xml:space="preserve">scenario presets</w:t>
      </w:r>
      <w:r>
        <w:rPr>
          <w:b w:val="false"/>
          <w:bCs w:val="false"/>
          <w:i w:val="false"/>
          <w:iCs w:val="false"/>
        </w:rPr>
        <w:t xml:space="preserve">, each anchored lever-by-lever to a specific literature (Section 7 introduces each where its results are reported): Acemoglu's deliberately modest bounds; an augmentation-leaning reading of the Brynjolfsson micro-evidence; the Windfall Trust's medium displacement scenario (our closest external comparator); a "China-shock grind" that pairs a moderate shock with the slow, scarring labor-market adjustment Autor, Dorn, and Hanson actually measured; Korinek and Suh's twenty-year and five-year AGI transitions; the AI Futures Project's fast takeoff and the two branches of their managed-versus-race successor scenario; the rapid branch of an NBER expert elicitation at its own 14 percent probability; a forecasting crowd's 2035 median; and OpenAI's own map of displacement pressure. Government policy composes separately as </w:t>
      </w:r>
      <w:r>
        <w:rPr>
          <w:b/>
          <w:bCs/>
          <w:i w:val="false"/>
          <w:iCs w:val="false"/>
        </w:rPr>
        <w:t xml:space="preserve">overlays</w:t>
      </w:r>
      <w:r>
        <w:rPr>
          <w:b w:val="false"/>
          <w:bCs w:val="false"/>
          <w:i w:val="false"/>
          <w:iCs w:val="false"/>
        </w:rPr>
        <w:t xml:space="preserve"> — two robot taxes at literature-optimal rates, a universal basic income with recapture, and compute-pool tax parity — so that each scenario answers "what does the world do to the budget" and each overlay answers "what does policy recover."</w:t>
      </w:r>
    </w:p>
    <w:p>
      <w:pPr>
        <w:pStyle w:val="Caption"/>
        <w:spacing w:after="60" w:before="160"/>
      </w:pPr>
      <w:r>
        <w:t xml:space="preserve">Table 1 — Cross-scenario comparison: final-year outcomes with Monte Carlo P10–P90 bands (N=1000, seed 0). Net fiscal impact is the signed change in the federal balance (negative = worse); the band applies to the final-year federal deficit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655"/>
        <w:gridCol w:w="1030"/>
        <w:gridCol w:w="1310"/>
        <w:gridCol w:w="936"/>
        <w:gridCol w:w="936"/>
        <w:gridCol w:w="936"/>
        <w:gridCol w:w="1498"/>
      </w:tblGrid>
      <w:tr>
        <w:trPr>
          <w:tblHeader/>
        </w:trPr>
        <w:tc>
          <w:tcPr>
            <w:tcW w:type="dxa" w:w="205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65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Horizon</w:t>
            </w:r>
          </w:p>
        </w:tc>
        <w:tc>
          <w:tcPr>
            <w:tcW w:type="dxa" w:w="103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Employment</w:t>
            </w:r>
          </w:p>
        </w:tc>
        <w:tc>
          <w:tcPr>
            <w:tcW w:type="dxa" w:w="131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Net fiscal (final yr)</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Deficit %GDP</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Debt Δ</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State gap</w:t>
            </w:r>
          </w:p>
        </w:tc>
        <w:tc>
          <w:tcPr>
            <w:tcW w:type="dxa" w:w="149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Final deficit P10–P90</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 … -4</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 … -53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 … 291</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Autor et al. — China-shock dynamics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5,063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377 … 812</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38,227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605</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1,904 … 2,483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25,961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2,755 … 3,369</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-2,415</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15,786</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661</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1,988 … 2,552</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-2,318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18,198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588</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1,268 … 2,343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-2,859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13,724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738</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2,652 … 3,097</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Karger et al. — Expert survey, rapid (P≈14%)</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 … 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Metaculus — Crowd median, 2035</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 … -46</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OpenAI — Jobs transition framework</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 … -82</w:t>
            </w:r>
          </w:p>
        </w:tc>
      </w:tr>
    </w:tbl>
    <w:p>
      <w:pPr>
        <w:spacing w:after="120"/>
      </w:pPr>
    </w:p>
    <w:p>
      <w:pPr>
        <w:spacing w:before="160"/>
        <w:jc w:val="center"/>
      </w:pPr>
      <w:r>
        <w:drawing>
          <wp:inline distT="0" distB="0" distL="0" distR="0">
            <wp:extent cx="5943600" cy="2914650"/>
            <wp:effectExtent t="0" r="0" b="0" l="0"/>
            <wp:docPr id="1" name="Figure 1 — Final-year federal deficit change by scenario: P1" descr="Figure 1 — Final-year federal deficit change by scenario: P10–P90 range (rule) and median (dot) across 1000 Monte Carlo draws per scenario." title="Figure 1 — Final-year federal deficit change by scenario: P10–P90 range (rule) and median (dot) across 1000 Monte Carlo draw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14650"/>
                    </a:xfrm>
                    <a:prstGeom prst="rect">
                      <a:avLst/>
                    </a:prstGeom>
                  </pic:spPr>
                </pic:pic>
              </a:graphicData>
            </a:graphic>
          </wp:inline>
        </w:drawing>
      </w:r>
    </w:p>
    <w:p>
      <w:pPr>
        <w:pStyle w:val="Caption"/>
        <w:spacing w:after="160"/>
        <w:jc w:val="center"/>
      </w:pPr>
      <w:r>
        <w:t xml:space="preserve">Figure 1 — Final-year federal deficit change by scenario: P10–P90 range (rule) and median (dot) across 1000 Monte Carlo draws per scenario.</w:t>
      </w:r>
    </w:p>
    <w:p>
      <w:pPr>
        <w:spacing w:after="120"/>
      </w:pPr>
      <w:r>
        <w:rPr>
          <w:b w:val="false"/>
          <w:bCs w:val="false"/>
          <w:i w:val="false"/>
          <w:iCs w:val="false"/>
        </w:rPr>
        <w:t xml:space="preserve">The range is the finding. A world that stays inside Acemoglu's bounds is fiscally almost invisible — the deficit change turns </w:t>
      </w:r>
      <w:r>
        <w:rPr>
          <w:b w:val="false"/>
          <w:bCs w:val="false"/>
          <w:i/>
          <w:iCs/>
        </w:rPr>
        <w:t xml:space="preserve">negative</w:t>
      </w:r>
      <w:r>
        <w:rPr>
          <w:b w:val="false"/>
          <w:bCs w:val="false"/>
          <w:i w:val="false"/>
          <w:iCs w:val="false"/>
        </w:rPr>
        <w:t xml:space="preserve"> (a small improvement) by the end of the decade as capital-side recoveries outgrow modest labor losses. A world in which the Korinek–Suh five-year transition happens is a fiscal regime change: employment falls 100 percent, the federal deficit widens by $3,091 billion in the final year alone, and cumulative new federal debt reaches $25,961 billion inside ten years. Between those poles, the scenarios differ not mainly in how much work is automated but in </w:t>
      </w:r>
      <w:r>
        <w:rPr>
          <w:b w:val="false"/>
          <w:bCs w:val="false"/>
          <w:i/>
          <w:iCs/>
        </w:rPr>
        <w:t xml:space="preserve">what the labor market and the firms do with it</w:t>
      </w:r>
      <w:r>
        <w:rPr>
          <w:b w:val="false"/>
          <w:bCs w:val="false"/>
          <w:i w:val="false"/>
          <w:iCs w:val="false"/>
        </w:rPr>
        <w:t xml:space="preserve"> — reabsorption rates, wage scarring, and the disposition of the saved wage bill move the fiscal outcome as much as the displacement share does. The Monte Carlo tornados in Section 7 make that attribution precise, and the policy analysis in Section 8 shows that the taxes the optimal-taxation literature actually recommends recover only a small fraction of the gap in every scenario where the gap is large.</w:t>
      </w:r>
    </w:p>
    <w:p>
      <w:pPr>
        <w:pStyle w:val="Heading2"/>
      </w:pPr>
      <w:r>
        <w:t xml:space="preserve">1.4 How to read this document</w:t>
      </w:r>
    </w:p>
    <w:p>
      <w:pPr>
        <w:spacing w:after="120"/>
      </w:pPr>
      <w:r>
        <w:rPr>
          <w:b w:val="false"/>
          <w:bCs w:val="false"/>
          <w:i w:val="false"/>
          <w:iCs w:val="false"/>
        </w:rPr>
        <w:t xml:space="preserve">Sections 2–5 are the model: data, kernel, dynamics, and the correctness discipline. Section 6 is calibration. Sections 7–9 are results: the twelve scenarios, the policy overlays, and validation against external models (RAND, Windfall Trust, Acemoglu). Section 10 is the honest-limitations table. Every model-derived number in the text, including those in this introduction, is resolved at build time from a manifest generated by a seeded pipeline (Appendix D); numbers cannot drift from the model without breaking the build.</w:t>
      </w:r>
    </w:p>
    <w:p>
      <w:r>
        <w:br w:type="page"/>
      </w:r>
    </w:p>
    <w:p>
      <w:pPr>
        <w:pStyle w:val="Heading1"/>
      </w:pPr>
      <w:r>
        <w:t xml:space="preserve">2. Data</w:t>
      </w:r>
    </w:p>
    <w:p>
      <w:pPr>
        <w:spacing w:after="120"/>
      </w:pPr>
      <w:r>
        <w:rPr>
          <w:b w:val="false"/>
          <w:bCs w:val="false"/>
          <w:i w:val="false"/>
          <w:iCs w:val="false"/>
        </w:rPr>
        <w:t xml:space="preserve">The model is anchored to the 2024 United States economy as measured by the statistical agencies, with every input file carrying control totals that the loader asserts on every run — a load that does not reconcile to the published aggregates fails before a single scenario is computed.</w:t>
      </w:r>
    </w:p>
    <w:p>
      <w:pPr>
        <w:pStyle w:val="Heading2"/>
      </w:pPr>
      <w:r>
        <w:t xml:space="preserve">2.1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Input</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Source and vintage</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Role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Employment × industry matrix</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2024, interior aligned to BEA 2024 industry totals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833 occupations × 71 industries; employment and compensation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wage distributions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May 2025</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 jurisdictions × 822 occupations; mean wages and p10–p90 percentiles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Yale Budget Lab PCA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standardized cognitive-exposure score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Webb (2020) robot-patent measure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physical-automation feasibility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income by sector</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NIPA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value added, capital share, corporate profits, effective corporate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Government fiscal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national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receipts by stream (federal and state-local), 17 transfer programs, base-linkage effective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Consumption tax base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state PCE and taxable-base analysis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effective consumption tax rate per state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Household archetypes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ACS PUMS 2024 (WGTP-weighted)</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filing-status mix and household income by occupation × state; children distribution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schedules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2025 federal / 2026 state brackets; FICA parameters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hand-rolled tax engine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 lookup</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PolicyEngine-US, baked offline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means-tested benefits as a function of (state, filing, children, income)</w:t>
            </w:r>
          </w:p>
        </w:tc>
      </w:tr>
    </w:tbl>
    <w:p>
      <w:pPr>
        <w:spacing w:after="120"/>
      </w:pPr>
    </w:p>
    <w:p>
      <w:pPr>
        <w:pStyle w:val="Heading2"/>
      </w:pPr>
      <w:r>
        <w:t xml:space="preserve">2.2 Control totals</w:t>
      </w:r>
    </w:p>
    <w:p>
      <w:pPr>
        <w:spacing w:after="120"/>
      </w:pPr>
      <w:r>
        <w:rPr>
          <w:b w:val="false"/>
          <w:bCs w:val="false"/>
          <w:i w:val="false"/>
          <w:iCs w:val="false"/>
        </w:rPr>
        <w:t xml:space="preserve">The loader asserts, among others: total employment 163.2 million; total compensation $15,049 billion; value added (GDP proxy) $29,298 billion; federal receipts $4,982.8 billion; state and local receipts $3,515.0 billion; Medicaid outlays $938.2 billion; corporate profits before tax $3,722 billion. The baseline federal deficit is anchored at $1,833 billion. These are the denominators for every percentage in this report. The dynamic model itself runs on the 33,369 occupation × state cells with complete data — wages, exposure scores, household archetypes, and state tax rules all present — covering 154.0 million of the 163.2 million measured workers (94 percent); the remainder sit in suppressed or unmatched cells and are excluded rather than imputed. Every modeled percentage uses the 154.0 million baseline.</w:t>
      </w:r>
    </w:p>
    <w:p>
      <w:pPr>
        <w:pStyle w:val="Heading2"/>
      </w:pPr>
      <w:r>
        <w:t xml:space="preserve">2.3 Validation gates</w:t>
      </w:r>
    </w:p>
    <w:p>
      <w:pPr>
        <w:spacing w:after="120"/>
      </w:pPr>
      <w:r>
        <w:rPr>
          <w:b w:val="false"/>
          <w:bCs w:val="false"/>
          <w:i w:val="false"/>
          <w:iCs w:val="false"/>
        </w:rPr>
        <w:t xml:space="preserve">Four checks connect the constructed inputs to independent references.</w:t>
      </w:r>
    </w:p>
    <w:p>
      <w:pPr>
        <w:pStyle w:val="ListParagraph"/>
        <w:numPr>
          <w:ilvl w:val="0"/>
          <w:numId w:val="3"/>
        </w:numPr>
        <w:spacing w:after="60"/>
      </w:pPr>
      <w:r>
        <w:rPr>
          <w:b/>
          <w:bCs/>
          <w:i w:val="false"/>
          <w:iCs w:val="false"/>
        </w:rPr>
        <w:t xml:space="preserve">Tax cross-check.</w:t>
      </w:r>
      <w:r>
        <w:rPr>
          <w:b w:val="false"/>
          <w:bCs w:val="false"/>
          <w:i w:val="false"/>
          <w:iCs w:val="false"/>
        </w:rPr>
        <w:t xml:space="preserve"> The hand-rolled bracket engine is compared to PolicyEngine-US on a grid of</w:t>
      </w:r>
    </w:p>
    <w:p>
      <w:pPr>
        <w:spacing w:after="120"/>
      </w:pPr>
      <w:r>
        <w:rPr>
          <w:b w:val="false"/>
          <w:bCs w:val="false"/>
          <w:i w:val="false"/>
          <w:iCs w:val="false"/>
        </w:rPr>
        <w:t xml:space="preserve">incomes, states, and filing statuses: income tax agrees within 2.5 percent (a 2024/2025 bracket vintage gap), payroll tax exactly (excluding state disability insurance, which the model does not levy).</w:t>
      </w:r>
    </w:p>
    <w:p>
      <w:pPr>
        <w:pStyle w:val="ListParagraph"/>
        <w:numPr>
          <w:ilvl w:val="0"/>
          <w:numId w:val="3"/>
        </w:numPr>
        <w:spacing w:after="60"/>
      </w:pPr>
      <w:r>
        <w:rPr>
          <w:b/>
          <w:bCs/>
          <w:i w:val="false"/>
          <w:iCs w:val="false"/>
        </w:rPr>
        <w:t xml:space="preserve">The kink test.</w:t>
      </w:r>
      <w:r>
        <w:rPr>
          <w:b w:val="false"/>
          <w:bCs w:val="false"/>
          <w:i w:val="false"/>
          <w:iCs w:val="false"/>
        </w:rPr>
        <w:t xml:space="preserve"> Fiscal deltas computed at the within-cell </w:t>
      </w:r>
      <w:r>
        <w:rPr>
          <w:b w:val="false"/>
          <w:bCs w:val="false"/>
          <w:i/>
          <w:iCs/>
        </w:rPr>
        <w:t xml:space="preserve">mean</w:t>
      </w:r>
      <w:r>
        <w:rPr>
          <w:b w:val="false"/>
          <w:bCs w:val="false"/>
          <w:i w:val="false"/>
          <w:iCs w:val="false"/>
        </w:rPr>
        <w:t xml:space="preserve"> wage understate the</w:t>
      </w:r>
    </w:p>
    <w:p>
      <w:pPr>
        <w:spacing w:after="120"/>
      </w:pPr>
      <w:r>
        <w:rPr>
          <w:b w:val="false"/>
          <w:bCs w:val="false"/>
          <w:i w:val="false"/>
          <w:iCs w:val="false"/>
        </w:rPr>
        <w:t xml:space="preserve">integrated delta by a factor of 2.7–7.8 in cells whose wage distribution straddles a means-tested eligibility threshold. This is the empirical justification for Section 3's within-cell integration: the EITC hump, the SNAP phase-out, and the Medicaid cliff are exactly where displacement lands, and evaluating at the mean silently steps over them.</w:t>
      </w:r>
    </w:p>
    <w:p>
      <w:pPr>
        <w:pStyle w:val="ListParagraph"/>
        <w:numPr>
          <w:ilvl w:val="0"/>
          <w:numId w:val="3"/>
        </w:numPr>
        <w:spacing w:after="60"/>
      </w:pPr>
      <w:r>
        <w:rPr>
          <w:b/>
          <w:bCs/>
          <w:i w:val="false"/>
          <w:iCs w:val="false"/>
        </w:rPr>
        <w:t xml:space="preserve">Aggregate transfer reconciliation.</w:t>
      </w:r>
      <w:r>
        <w:rPr>
          <w:b w:val="false"/>
          <w:bCs w:val="false"/>
          <w:i w:val="false"/>
          <w:iCs w:val="false"/>
        </w:rPr>
        <w:t xml:space="preserve"> Population-weighting the baked benefit entitlements</w:t>
      </w:r>
    </w:p>
    <w:p>
      <w:pPr>
        <w:spacing w:after="120"/>
      </w:pPr>
      <w:r>
        <w:rPr>
          <w:b w:val="false"/>
          <w:bCs w:val="false"/>
          <w:i w:val="false"/>
          <w:iCs w:val="false"/>
        </w:rPr>
        <w:t xml:space="preserve">reproduces the working-family program aggregates (EITC plus refundable CTC: $228.8 billion actual) and deliberately undershoots the aged/disabled-dominated programs (Medicaid, SSI), which the working-household bake does not represent. The reconciliation validates marginal mechanics, not program levels; Section 10 carries the caveat.</w:t>
      </w:r>
    </w:p>
    <w:p>
      <w:pPr>
        <w:pStyle w:val="ListParagraph"/>
        <w:numPr>
          <w:ilvl w:val="0"/>
          <w:numId w:val="3"/>
        </w:numPr>
        <w:spacing w:after="60"/>
      </w:pPr>
      <w:r>
        <w:rPr>
          <w:b/>
          <w:bCs/>
          <w:i w:val="false"/>
          <w:iCs w:val="false"/>
        </w:rPr>
        <w:t xml:space="preserve">The t = 0 base-rate gate.</w:t>
      </w:r>
      <w:r>
        <w:rPr>
          <w:b w:val="false"/>
          <w:bCs w:val="false"/>
          <w:i w:val="false"/>
          <w:iCs w:val="false"/>
        </w:rPr>
        <w:t xml:space="preserve"> Before any displacement, the dynamic model must reproduce the</w:t>
      </w:r>
    </w:p>
    <w:p>
      <w:pPr>
        <w:spacing w:after="120"/>
      </w:pPr>
      <w:r>
        <w:rPr>
          <w:b w:val="false"/>
          <w:bCs w:val="false"/>
          <w:i w:val="false"/>
          <w:iCs w:val="false"/>
        </w:rPr>
        <w:t xml:space="preserve">published base-linkage effective rates — individual income receipts at 19.5 percent of the wage base, with payroll and corporate rates matched to their published rows — tying the simulated economy's starting point to the national accounts.</w:t>
      </w:r>
    </w:p>
    <w:p>
      <w:pPr>
        <w:pStyle w:val="Heading2"/>
      </w:pPr>
      <w:r>
        <w:t xml:space="preserve">2.4 From files to per-worker deltas</w:t>
      </w:r>
    </w:p>
    <w:p>
      <w:pPr>
        <w:spacing w:after="120"/>
      </w:pPr>
      <w:r>
        <w:rPr>
          <w:b w:val="false"/>
          <w:bCs w:val="false"/>
          <w:i w:val="false"/>
          <w:iCs w:val="false"/>
        </w:rPr>
        <w:t xml:space="preserve">The construction pipeline joins occupation × state wage distributions to household archetypes (filing status, household income, number of children from ACS PUMS), evaluates the five kernel channels of Section 3 on a frozen quadrature grid over each cell's lognormal wage distribution, and caches the result: one vector of per-worker fiscal deltas per (occupation, state) cell, by channel and by benefit program. The dynamic layer never re-derives these; it prices worker </w:t>
      </w:r>
      <w:r>
        <w:rPr>
          <w:b w:val="false"/>
          <w:bCs w:val="false"/>
          <w:i/>
          <w:iCs/>
        </w:rPr>
        <w:t xml:space="preserve">stocks</w:t>
      </w:r>
      <w:r>
        <w:rPr>
          <w:b w:val="false"/>
          <w:bCs w:val="false"/>
          <w:i w:val="false"/>
          <w:iCs w:val="false"/>
        </w:rPr>
        <w:t xml:space="preserve"> against frozen per-worker deltas and recomputes only what the levers actually move (survivor wages, re-employment wages, and the government ledgers). That split is what makes a 33,000-cell model run a full scenario in a quarter of a second.</w:t>
      </w:r>
    </w:p>
    <w:p>
      <w:r>
        <w:br w:type="page"/>
      </w:r>
    </w:p>
    <w:p>
      <w:pPr>
        <w:pStyle w:val="Heading1"/>
      </w:pPr>
      <w:r>
        <w:t xml:space="preserve">3. The static kernel: pricing one displaced worker</w:t>
      </w:r>
    </w:p>
    <w:p>
      <w:pPr>
        <w:spacing w:after="120"/>
      </w:pPr>
      <w:r>
        <w:rPr>
          <w:b w:val="false"/>
          <w:bCs w:val="false"/>
          <w:i w:val="false"/>
          <w:iCs w:val="false"/>
        </w:rPr>
        <w:t xml:space="preserve">The kernel answers a single question exactly: </w:t>
      </w:r>
      <w:r>
        <w:rPr>
          <w:b w:val="false"/>
          <w:bCs w:val="false"/>
          <w:i/>
          <w:iCs/>
        </w:rPr>
        <w:t xml:space="preserve">if this worker, in this occupation and this state, loses this wage, what happens to every level of government?</w:t>
      </w:r>
      <w:r>
        <w:rPr>
          <w:b w:val="false"/>
          <w:bCs w:val="false"/>
          <w:i w:val="false"/>
          <w:iCs w:val="false"/>
        </w:rPr>
        <w:t xml:space="preserve"> Five additive channels, each an independently inspectable ledger line.</w:t>
      </w:r>
    </w:p>
    <w:p>
      <w:pPr>
        <w:shd w:fill="F4F4F4" w:val="clear"/>
        <w:spacing w:after="120" w:before="120"/>
      </w:pPr>
      <w:r>
        <w:rPr>
          <w:rFonts w:ascii="Consolas" w:cs="Consolas" w:eastAsia="Consolas" w:hAnsi="Consolas"/>
          <w:sz w:val="18"/>
          <w:szCs w:val="18"/>
        </w:rPr>
        <w:t xml:space="preserve">Δfiscal(cell) = Δincome_tax + Δpayroll + Δtransfers + Δconsumption_tax + Δcorporate_offset</w:t>
      </w:r>
    </w:p>
    <w:p>
      <w:pPr>
        <w:spacing w:after="120"/>
      </w:pPr>
      <w:r>
        <w:rPr>
          <w:b/>
          <w:bCs/>
          <w:i w:val="false"/>
          <w:iCs w:val="false"/>
        </w:rPr>
        <w:t xml:space="preserve">Income tax</w:t>
      </w:r>
      <w:r>
        <w:rPr>
          <w:b w:val="false"/>
          <w:bCs w:val="false"/>
          <w:i w:val="false"/>
          <w:iCs w:val="false"/>
        </w:rPr>
        <w:t xml:space="preserve"> is computed by exact re-evaluation of the bracket schedules — federal 2025 and state 2026, stratified by filing status — at household income with and without the worker's wage: T(HH) − T(HH − w). No elasticities, no average rates; the marginal dollars come off the top brackets first, which is precisely why revenue falls faster than employment when displacement skews high-wage.</w:t>
      </w:r>
    </w:p>
    <w:p>
      <w:pPr>
        <w:spacing w:after="120"/>
      </w:pPr>
      <w:r>
        <w:rPr>
          <w:b/>
          <w:bCs/>
          <w:i w:val="false"/>
          <w:iCs w:val="false"/>
        </w:rPr>
        <w:t xml:space="preserve">Payroll</w:t>
      </w:r>
      <w:r>
        <w:rPr>
          <w:b w:val="false"/>
          <w:bCs w:val="false"/>
          <w:i w:val="false"/>
          <w:iCs w:val="false"/>
        </w:rPr>
        <w:t xml:space="preserve"> applies the FICA schedule to the worker's own wage with the OASDI cap and the additional Medicare rate — exact, not linearized, because the cap makes the schedule kinked in exactly the wage range where AI exposure peaks.</w:t>
      </w:r>
    </w:p>
    <w:p>
      <w:pPr>
        <w:spacing w:after="120"/>
      </w:pPr>
      <w:r>
        <w:rPr>
          <w:b/>
          <w:bCs/>
          <w:i w:val="false"/>
          <w:iCs w:val="false"/>
        </w:rPr>
        <w:t xml:space="preserve">Transfers</w:t>
      </w:r>
      <w:r>
        <w:rPr>
          <w:b w:val="false"/>
          <w:bCs w:val="false"/>
          <w:i w:val="false"/>
          <w:iCs w:val="false"/>
        </w:rPr>
        <w:t xml:space="preserve"> are the reason the kernel integrates rather than averages. Means-tested programs are step functions and humps: Medicaid eligibility is a cliff, SNAP phases out, the EITC rises then falls. The kernel evaluates the baked PolicyEngine entitlement schedules at household income </w:t>
      </w:r>
      <w:r>
        <w:rPr>
          <w:b w:val="false"/>
          <w:bCs w:val="false"/>
          <w:i/>
          <w:iCs/>
        </w:rPr>
        <w:t xml:space="preserve">including</w:t>
      </w:r>
      <w:r>
        <w:rPr>
          <w:b w:val="false"/>
          <w:bCs w:val="false"/>
          <w:i w:val="false"/>
          <w:iCs w:val="false"/>
        </w:rPr>
        <w:t xml:space="preserve"> unemployment insurance during the UI window and at zero worker earnings after exhaustion — two distinct fiscal phases, because the Medicaid/SNAP step-up mostly arrives at UI exhaustion, not at displacement. And it evaluates them as an expectation over the within-cell lognormal wage distribution fitted to the OEWS percentiles, not at the cell mean: the kink test (Section 2.3) shows the at-mean shortcut understates transfer deltas by up to a factor of eight in threshold-straddling cells.</w:t>
      </w:r>
    </w:p>
    <w:p>
      <w:pPr>
        <w:spacing w:after="120"/>
      </w:pPr>
      <w:r>
        <w:rPr>
          <w:b/>
          <w:bCs/>
          <w:i w:val="false"/>
          <w:iCs w:val="false"/>
        </w:rPr>
        <w:t xml:space="preserve">Consumption tax</w:t>
      </w:r>
      <w:r>
        <w:rPr>
          <w:b w:val="false"/>
          <w:bCs w:val="false"/>
          <w:i w:val="false"/>
          <w:iCs w:val="false"/>
        </w:rPr>
        <w:t xml:space="preserve"> applies each state's effective consumption tax rate to the change in taxable consumption implied by the change in disposable income, with a marginal propensity to consume of 0.95 and a stickiness parameter for the transition.</w:t>
      </w:r>
    </w:p>
    <w:p>
      <w:pPr>
        <w:spacing w:after="120"/>
      </w:pPr>
      <w:r>
        <w:rPr>
          <w:b/>
          <w:bCs/>
          <w:i w:val="false"/>
          <w:iCs w:val="false"/>
        </w:rPr>
        <w:t xml:space="preserve">The corporate offset</w:t>
      </w:r>
      <w:r>
        <w:rPr>
          <w:b w:val="false"/>
          <w:bCs w:val="false"/>
          <w:i w:val="false"/>
          <w:iCs w:val="false"/>
        </w:rPr>
        <w:t xml:space="preserve"> is the first appearance of the base-migration thesis: the compensation a firm stops paying does not vanish — absent other dispositions it becomes operating surplus, taxed at the sector's effective corporate rate. The kernel books this at the most generous plausible rate (full conversion of saved compensation to taxable surplus) as a deliberate steelman: even with the </w:t>
      </w:r>
      <w:r>
        <w:rPr>
          <w:b w:val="false"/>
          <w:bCs w:val="false"/>
          <w:i/>
          <w:iCs/>
        </w:rPr>
        <w:t xml:space="preserve">most</w:t>
      </w:r>
      <w:r>
        <w:rPr>
          <w:b w:val="false"/>
          <w:bCs w:val="false"/>
          <w:i w:val="false"/>
          <w:iCs w:val="false"/>
        </w:rPr>
        <w:t xml:space="preserve"> optimistic corporate recapture, the wedge between labor and capital taxation leaves the government short.</w:t>
      </w:r>
    </w:p>
    <w:p>
      <w:pPr>
        <w:spacing w:after="120"/>
      </w:pPr>
      <w:r>
        <w:rPr>
          <w:b w:val="false"/>
          <w:bCs w:val="false"/>
          <w:i w:val="false"/>
          <w:iCs w:val="false"/>
        </w:rPr>
        <w:t xml:space="preserve">The per-worker deltas from these five channels — 33,000 cells, seven benefit programs, two UI phases — are precomputed once and cached. Everything dynamic in the next section is stock-flow arithmetic on top of them.</w:t>
      </w:r>
    </w:p>
    <w:p>
      <w:r>
        <w:br w:type="page"/>
      </w:r>
    </w:p>
    <w:p>
      <w:pPr>
        <w:pStyle w:val="Heading1"/>
      </w:pPr>
      <w:r>
        <w:t xml:space="preserve">4. The dynamic multi-actor model</w:t>
      </w:r>
    </w:p>
    <w:p>
      <w:pPr>
        <w:spacing w:after="120"/>
      </w:pPr>
      <w:r>
        <w:rPr>
          <w:b w:val="false"/>
          <w:bCs w:val="false"/>
          <w:i w:val="false"/>
          <w:iCs w:val="false"/>
        </w:rPr>
        <w:t xml:space="preserve">The dynamic layer runs the economy forward one year at a time. Workers move through seven states; firms route the saved wage bill; the compute pool accumulates; survivor wages update under an explicit budget constraint; the federal government borrows; the states balance; shareholders accrue a claim they realize only slowly; and the demand consequences of all of it come back one period later as induced layoffs. This section walks one period in execution order. Appendix A carries the complete equation reference; here we state the load-bearing mechanics.</w:t>
      </w:r>
    </w:p>
    <w:p>
      <w:pPr>
        <w:pStyle w:val="Heading2"/>
      </w:pPr>
      <w:r>
        <w:t xml:space="preserve">4.1 Workers: seven states and a diffusion ceiling</w:t>
      </w:r>
    </w:p>
    <w:p>
      <w:pPr>
        <w:spacing w:after="120"/>
      </w:pPr>
      <w:r>
        <w:rPr>
          <w:b w:val="false"/>
          <w:bCs w:val="false"/>
          <w:i w:val="false"/>
          <w:iCs w:val="false"/>
        </w:rPr>
        <w:t xml:space="preserve">Each occupation × state cell tracks seven mutually exclusive stocks — employed, on unemployment insurance, exhausted (post-UI), reabsorbed (re-employed at a lower wage), exited (out of the labor force onto SSDI), induced (laid off by second-round demand), and retired (natural attrition of the long-term unemployed, fiscally delta-neutral because the baseline counterfactual retires too). Their sum equals baseline employment in every cell in every period — conservation identity C1.</w:t>
      </w:r>
    </w:p>
    <w:p>
      <w:pPr>
        <w:spacing w:after="120"/>
      </w:pPr>
      <w:r>
        <w:rPr>
          <w:b w:val="false"/>
          <w:bCs w:val="false"/>
          <w:i w:val="false"/>
          <w:iCs w:val="false"/>
        </w:rPr>
        <w:t xml:space="preserve">Automation displacement follows a </w:t>
      </w:r>
      <w:r>
        <w:rPr>
          <w:b/>
          <w:bCs/>
          <w:i w:val="false"/>
          <w:iCs w:val="false"/>
        </w:rPr>
        <w:t xml:space="preserve">cumulative diffusion ceiling</w:t>
      </w:r>
      <w:r>
        <w:rPr>
          <w:b w:val="false"/>
          <w:bCs w:val="false"/>
          <w:i w:val="false"/>
          <w:iCs w:val="false"/>
        </w:rPr>
        <w:t xml:space="preserve">, not a compounding rate:</w:t>
      </w:r>
    </w:p>
    <w:p>
      <w:pPr>
        <w:shd w:fill="F4F4F4" w:val="clear"/>
        <w:spacing w:after="0" w:before="120"/>
      </w:pPr>
      <w:r>
        <w:rPr>
          <w:rFonts w:ascii="Consolas" w:cs="Consolas" w:eastAsia="Consolas" w:hAnsi="Consolas"/>
          <w:sz w:val="18"/>
          <w:szCs w:val="18"/>
        </w:rPr>
        <w:t xml:space="preserve">g_cell(t) = 1 − (1 − cog·cf) · (1 − rob·pf · min(1, t/robotics_lag))</w:t>
      </w:r>
    </w:p>
    <w:p>
      <w:pPr>
        <w:shd w:fill="F4F4F4" w:val="clear"/>
        <w:spacing w:after="0" w:before="0"/>
      </w:pPr>
      <w:r>
        <w:rPr>
          <w:rFonts w:ascii="Consolas" w:cs="Consolas" w:eastAsia="Consolas" w:hAnsi="Consolas"/>
          <w:sz w:val="18"/>
          <w:szCs w:val="18"/>
        </w:rPr>
        <w:t xml:space="preserve">target(t) = clip(g_cell(t) · adoption(t), 0, 1) · emp0</w:t>
      </w:r>
    </w:p>
    <w:p>
      <w:pPr>
        <w:shd w:fill="F4F4F4" w:val="clear"/>
        <w:spacing w:after="120" w:before="0"/>
      </w:pPr>
      <w:r>
        <w:rPr>
          <w:rFonts w:ascii="Consolas" w:cs="Consolas" w:eastAsia="Consolas" w:hAnsi="Consolas"/>
          <w:sz w:val="18"/>
          <w:szCs w:val="18"/>
        </w:rPr>
        <w:t xml:space="preserve">flow(t)   = clip(target(t) − auto_disp, 0, employed)</w:t>
      </w:r>
    </w:p>
    <w:p>
      <w:pPr>
        <w:spacing w:after="120"/>
      </w:pPr>
      <w:r>
        <w:rPr>
          <w:rFonts w:ascii="Consolas" w:cs="Consolas" w:eastAsia="Consolas" w:hAnsi="Consolas"/>
          <w:b w:val="false"/>
          <w:bCs w:val="false"/>
          <w:i w:val="false"/>
          <w:iCs w:val="false"/>
        </w:rPr>
        <w:t xml:space="preserve">adoption(t)</w:t>
      </w:r>
      <w:r>
        <w:rPr>
          <w:b w:val="false"/>
          <w:bCs w:val="false"/>
          <w:i w:val="false"/>
          <w:iCs w:val="false"/>
        </w:rPr>
        <w:t xml:space="preserve"> is the </w:t>
      </w:r>
      <w:r>
        <w:rPr>
          <w:b w:val="false"/>
          <w:bCs w:val="false"/>
          <w:i/>
          <w:iCs/>
        </w:rPr>
        <w:t xml:space="preserve">cumulative share of feasible work automated by year t</w:t>
      </w:r>
      <w:r>
        <w:rPr>
          <w:b w:val="false"/>
          <w:bCs w:val="false"/>
          <w:i w:val="false"/>
          <w:iCs w:val="false"/>
        </w:rPr>
        <w:t xml:space="preserve"> — a ceiling against baseline employment, so "60 percent by year ten" means exactly that, not 60 percent per year compounding on a shrinking base. The two feasibility channels — cognitive (Yale exposure × cognitive feasibility) and physical (Webb robot exposure × robotics feasibility) — combine multiplicatively, and the physical channel ramps in linearly over </w:t>
      </w:r>
      <w:r>
        <w:rPr>
          <w:rFonts w:ascii="Consolas" w:cs="Consolas" w:eastAsia="Consolas" w:hAnsi="Consolas"/>
          <w:b w:val="false"/>
          <w:bCs w:val="false"/>
          <w:i w:val="false"/>
          <w:iCs w:val="false"/>
        </w:rPr>
        <w:t xml:space="preserve">robotics_lag</w:t>
      </w:r>
      <w:r>
        <w:rPr>
          <w:b w:val="false"/>
          <w:bCs w:val="false"/>
          <w:i w:val="false"/>
          <w:iCs w:val="false"/>
        </w:rPr>
        <w:t xml:space="preserve"> years: physical automation waits for AI-built industrial capacity.</w:t>
      </w:r>
    </w:p>
    <w:p>
      <w:pPr>
        <w:spacing w:after="120"/>
      </w:pPr>
      <w:r>
        <w:rPr>
          <w:b w:val="false"/>
          <w:bCs w:val="false"/>
          <w:i w:val="false"/>
          <w:iCs w:val="false"/>
        </w:rPr>
        <w:t xml:space="preserve">The path of </w:t>
      </w:r>
      <w:r>
        <w:rPr>
          <w:rFonts w:ascii="Consolas" w:cs="Consolas" w:eastAsia="Consolas" w:hAnsi="Consolas"/>
          <w:b w:val="false"/>
          <w:bCs w:val="false"/>
          <w:i w:val="false"/>
          <w:iCs w:val="false"/>
        </w:rPr>
        <w:t xml:space="preserve">adoption(t)</w:t>
      </w:r>
      <w:r>
        <w:rPr>
          <w:b w:val="false"/>
          <w:bCs w:val="false"/>
          <w:i w:val="false"/>
          <w:iCs w:val="false"/>
        </w:rPr>
        <w:t xml:space="preserve"> is </w:t>
      </w:r>
      <w:r>
        <w:rPr>
          <w:b/>
          <w:bCs/>
          <w:i w:val="false"/>
          <w:iCs w:val="false"/>
        </w:rPr>
        <w:t xml:space="preserve">linear between anchored points</w:t>
      </w:r>
      <w:r>
        <w:rPr>
          <w:b w:val="false"/>
          <w:bCs w:val="false"/>
          <w:i w:val="false"/>
          <w:iCs w:val="false"/>
        </w:rPr>
        <w:t xml:space="preserve">. Where a source publishes only endpoints ("half of exposed work automated over the decade"), a straight ramp is the minimal-assumption reading — smooth S-shaped families fitted to the same endpoints require shape constants no source pins down, and the ones the diffusion literature suggests were measured to move mid-path adoption more than any defensible choice among them (the cost of the linear convention is quantified in Section 10). Where a source publishes its own trajectory, the ramp threads </w:t>
      </w:r>
      <w:r>
        <w:rPr>
          <w:b w:val="false"/>
          <w:bCs w:val="false"/>
          <w:i/>
          <w:iCs/>
        </w:rPr>
        <w:t xml:space="preserve">piecewise-linearly through the published points</w:t>
      </w:r>
      <w:r>
        <w:rPr>
          <w:b w:val="false"/>
          <w:bCs w:val="false"/>
          <w:i w:val="false"/>
          <w:iCs w:val="false"/>
        </w:rPr>
        <w:t xml:space="preserve"> instead — every knot a number in the source text, none a fitting parameter.</w:t>
      </w:r>
    </w:p>
    <w:p>
      <w:pPr>
        <w:spacing w:after="120"/>
      </w:pPr>
      <w:r>
        <w:rPr>
          <w:b w:val="false"/>
          <w:bCs w:val="false"/>
          <w:i w:val="false"/>
          <w:iCs w:val="false"/>
        </w:rPr>
        <w:t xml:space="preserve">Displaced workers draw UI for the statutory window, then exhaust; the exhausted are reabsorbed at </w:t>
      </w:r>
      <w:r>
        <w:rPr>
          <w:rFonts w:ascii="Consolas" w:cs="Consolas" w:eastAsia="Consolas" w:hAnsi="Consolas"/>
          <w:b w:val="false"/>
          <w:bCs w:val="false"/>
          <w:i w:val="false"/>
          <w:iCs w:val="false"/>
        </w:rPr>
        <w:t xml:space="preserve">reabsorption_rate</w:t>
      </w:r>
      <w:r>
        <w:rPr>
          <w:b w:val="false"/>
          <w:bCs w:val="false"/>
          <w:i w:val="false"/>
          <w:iCs w:val="false"/>
        </w:rPr>
        <w:t xml:space="preserve"> per year into re-employment at </w:t>
      </w:r>
      <w:r>
        <w:rPr>
          <w:rFonts w:ascii="Consolas" w:cs="Consolas" w:eastAsia="Consolas" w:hAnsi="Consolas"/>
          <w:b w:val="false"/>
          <w:bCs w:val="false"/>
          <w:i w:val="false"/>
          <w:iCs w:val="false"/>
        </w:rPr>
        <w:t xml:space="preserve">max(origin_wage·(1−haircut), service_floor)</w:t>
      </w:r>
      <w:r>
        <w:rPr>
          <w:b w:val="false"/>
          <w:bCs w:val="false"/>
          <w:i w:val="false"/>
          <w:iCs w:val="false"/>
        </w:rPr>
        <w:t xml:space="preserve"> — the permanent scar the displacement literature measures — or exit the labor force at </w:t>
      </w:r>
      <w:r>
        <w:rPr>
          <w:rFonts w:ascii="Consolas" w:cs="Consolas" w:eastAsia="Consolas" w:hAnsi="Consolas"/>
          <w:b w:val="false"/>
          <w:bCs w:val="false"/>
          <w:i w:val="false"/>
          <w:iCs w:val="false"/>
        </w:rPr>
        <w:t xml:space="preserve">lfp_exit_rate</w:t>
      </w:r>
      <w:r>
        <w:rPr>
          <w:b w:val="false"/>
          <w:bCs w:val="false"/>
          <w:i w:val="false"/>
          <w:iCs w:val="false"/>
        </w:rPr>
        <w:t xml:space="preserve"> onto SSDI at $18,000 per year.</w:t>
      </w:r>
    </w:p>
    <w:p>
      <w:pPr>
        <w:spacing w:after="120"/>
      </w:pPr>
      <w:r>
        <w:rPr>
          <w:b w:val="false"/>
          <w:bCs w:val="false"/>
          <w:i w:val="false"/>
          <w:iCs w:val="false"/>
        </w:rPr>
        <w:t xml:space="preserve">The refuge is </w:t>
      </w:r>
      <w:r>
        <w:rPr>
          <w:b/>
          <w:bCs/>
          <w:i w:val="false"/>
          <w:iCs w:val="false"/>
        </w:rPr>
        <w:t xml:space="preserve">finite</w:t>
      </w:r>
      <w:r>
        <w:rPr>
          <w:b w:val="false"/>
          <w:bCs w:val="false"/>
          <w:i w:val="false"/>
          <w:iCs w:val="false"/>
        </w:rPr>
        <w:t xml:space="preserve">. The re-employed move into low-exposure service work — the same occupation set the service floor prices — and that work is itself automatable: the effective reabsorption rate scales by the un-automated share of low-exposure employment, so under AGI-grade scenarios the refuge shrinks and reabsorption chokes off (capacity falls toward the share of care and dexterity work that even full-feasibility robotics cannot reach). And the refuge wage is </w:t>
      </w:r>
      <w:r>
        <w:rPr>
          <w:b/>
          <w:bCs/>
          <w:i w:val="false"/>
          <w:iCs w:val="false"/>
        </w:rPr>
        <w:t xml:space="preserve">contested</w:t>
      </w:r>
      <w:r>
        <w:rPr>
          <w:b w:val="false"/>
          <w:bCs w:val="false"/>
          <w:i w:val="false"/>
          <w:iCs w:val="false"/>
        </w:rPr>
        <w:t xml:space="preserve">: two optional forces move the re-employed wage index each year — a Baumol pull (</w:t>
      </w:r>
      <w:r>
        <w:rPr>
          <w:rFonts w:ascii="Consolas" w:cs="Consolas" w:eastAsia="Consolas" w:hAnsi="Consolas"/>
          <w:b w:val="false"/>
          <w:bCs w:val="false"/>
          <w:i w:val="false"/>
          <w:iCs w:val="false"/>
        </w:rPr>
        <w:t xml:space="preserve">reab_wage_baumol</w:t>
      </w:r>
      <w:r>
        <w:rPr>
          <w:b w:val="false"/>
          <w:bCs w:val="false"/>
          <w:i w:val="false"/>
          <w:iCs w:val="false"/>
        </w:rPr>
        <w:t xml:space="preserve">), under which the work humans still do gets expensive as everything else gets cheap, and a crowding pressure (</w:t>
      </w:r>
      <w:r>
        <w:rPr>
          <w:rFonts w:ascii="Consolas" w:cs="Consolas" w:eastAsia="Consolas" w:hAnsi="Consolas"/>
          <w:b w:val="false"/>
          <w:bCs w:val="false"/>
          <w:i w:val="false"/>
          <w:iCs w:val="false"/>
        </w:rPr>
        <w:t xml:space="preserve">reab_wage_crowding</w:t>
      </w:r>
      <w:r>
        <w:rPr>
          <w:b w:val="false"/>
          <w:bCs w:val="false"/>
          <w:i w:val="false"/>
          <w:iCs w:val="false"/>
        </w:rPr>
        <w:t xml:space="preserve">), under which displaced supply flooding into service work bids its wage down with last year's slack. When the Baumol pull dominates, re-employed wages rise even amid mass displacement — abundance reaching labor through the price of human service work. Both ship at zero (the presets are calibrated without them); the fiscal side re-prices all six channels at the shifted wage, cliffs included.</w:t>
      </w:r>
    </w:p>
    <w:p>
      <w:pPr>
        <w:pStyle w:val="Heading2"/>
      </w:pPr>
      <w:r>
        <w:t xml:space="preserve">4.2 Firms: the disposition router</w:t>
      </w:r>
    </w:p>
    <w:p>
      <w:pPr>
        <w:spacing w:after="120"/>
      </w:pPr>
      <w:r>
        <w:rPr>
          <w:b w:val="false"/>
          <w:bCs w:val="false"/>
          <w:i w:val="false"/>
          <w:iCs w:val="false"/>
        </w:rPr>
        <w:t xml:space="preserve">The </w:t>
      </w:r>
      <w:r>
        <w:rPr>
          <w:b/>
          <w:bCs/>
          <w:i w:val="false"/>
          <w:iCs w:val="false"/>
        </w:rPr>
        <w:t xml:space="preserve">firm side is keyed to the cumulative automated stock</w:t>
      </w:r>
      <w:r>
        <w:rPr>
          <w:b w:val="false"/>
          <w:bCs w:val="false"/>
          <w:i w:val="false"/>
          <w:iCs w:val="false"/>
        </w:rPr>
        <w:t xml:space="preserve">, not to worker states — a job stays automated when its former holder finds other work. Each period the automated stock's compensation defines the saved bill, and an explicit partition routes it:</w:t>
      </w:r>
    </w:p>
    <w:p>
      <w:pPr>
        <w:shd w:fill="F4F4F4" w:val="clear"/>
        <w:spacing w:after="0" w:before="120"/>
      </w:pPr>
      <w:r>
        <w:rPr>
          <w:rFonts w:ascii="Consolas" w:cs="Consolas" w:eastAsia="Consolas" w:hAnsi="Consolas"/>
          <w:sz w:val="18"/>
          <w:szCs w:val="18"/>
        </w:rPr>
        <w:t xml:space="preserve">saved_bill      = Σ_automated comp_per_worker</w:t>
      </w:r>
    </w:p>
    <w:p>
      <w:pPr>
        <w:shd w:fill="F4F4F4" w:val="clear"/>
        <w:spacing w:after="0" w:before="0"/>
      </w:pPr>
      <w:r>
        <w:rPr>
          <w:rFonts w:ascii="Consolas" w:cs="Consolas" w:eastAsia="Consolas" w:hAnsi="Consolas"/>
          <w:sz w:val="18"/>
          <w:szCs w:val="18"/>
        </w:rPr>
        <w:t xml:space="preserve">automation_spend = auto_cost · saved_bill              → the compute-capital pool</w:t>
      </w:r>
    </w:p>
    <w:p>
      <w:pPr>
        <w:shd w:fill="F4F4F4" w:val="clear"/>
        <w:spacing w:after="0" w:before="0"/>
      </w:pPr>
      <w:r>
        <w:rPr>
          <w:rFonts w:ascii="Consolas" w:cs="Consolas" w:eastAsia="Consolas" w:hAnsi="Consolas"/>
          <w:sz w:val="18"/>
          <w:szCs w:val="18"/>
        </w:rPr>
        <w:t xml:space="preserve">net_saving      = saved_bill − automation_spend        (≥ 0 by construction)</w:t>
      </w:r>
    </w:p>
    <w:p>
      <w:pPr>
        <w:shd w:fill="F4F4F4" w:val="clear"/>
        <w:spacing w:after="120" w:before="0"/>
      </w:pPr>
      <w:r>
        <w:rPr>
          <w:rFonts w:ascii="Consolas" w:cs="Consolas" w:eastAsia="Consolas" w:hAnsi="Consolas"/>
          <w:sz w:val="18"/>
          <w:szCs w:val="18"/>
        </w:rPr>
        <w:t xml:space="preserve">net_saving      = retained_profit + price_reduction + survivor_gains     (shares sum to 1)</w:t>
      </w:r>
    </w:p>
    <w:p>
      <w:pPr>
        <w:spacing w:after="120"/>
      </w:pPr>
      <w:r>
        <w:rPr>
          <w:b w:val="false"/>
          <w:bCs w:val="false"/>
          <w:i w:val="false"/>
          <w:iCs w:val="false"/>
        </w:rPr>
        <w:t xml:space="preserve">Retained profit is taxed at sector effective corporate rates. Price reductions accrue to consumers — taxed only through the ~2 percent state consumption channel, the quantitatively dominant leak in the base-migration story. Survivor gains fund wage raises for the still-employed (below). The compute pool is taxed at </w:t>
      </w:r>
      <w:r>
        <w:rPr>
          <w:rFonts w:ascii="Consolas" w:cs="Consolas" w:eastAsia="Consolas" w:hAnsi="Consolas"/>
          <w:b w:val="false"/>
          <w:bCs w:val="false"/>
          <w:i w:val="false"/>
          <w:iCs w:val="false"/>
        </w:rPr>
        <w:t xml:space="preserve">compute_effective_rate</w:t>
      </w:r>
      <w:r>
        <w:rPr>
          <w:b w:val="false"/>
          <w:bCs w:val="false"/>
          <w:i w:val="false"/>
          <w:iCs w:val="false"/>
        </w:rPr>
        <w:t xml:space="preserve"> (5 percent in the AGI presets, per the effective post-TCJA rate on equipment and software capital), with an optional offshore leakage share that is zero in every shipped scenario.</w:t>
      </w:r>
    </w:p>
    <w:p>
      <w:pPr>
        <w:pStyle w:val="Heading2"/>
      </w:pPr>
      <w:r>
        <w:t xml:space="preserve">4.3 Survivors: the funded wage index</w:t>
      </w:r>
    </w:p>
    <w:p>
      <w:pPr>
        <w:spacing w:after="120"/>
      </w:pPr>
      <w:r>
        <w:rPr>
          <w:b w:val="false"/>
          <w:bCs w:val="false"/>
          <w:i w:val="false"/>
          <w:iCs w:val="false"/>
        </w:rPr>
        <w:t xml:space="preserve">Workers who keep their jobs may capture part of the surplus. The mechanical component is </w:t>
      </w:r>
      <w:r>
        <w:rPr>
          <w:b/>
          <w:bCs/>
          <w:i w:val="false"/>
          <w:iCs w:val="false"/>
        </w:rPr>
        <w:t xml:space="preserve">funded</w:t>
      </w:r>
      <w:r>
        <w:rPr>
          <w:b w:val="false"/>
          <w:bCs w:val="false"/>
          <w:i w:val="false"/>
          <w:iCs w:val="false"/>
        </w:rPr>
        <w:t xml:space="preserve">: the routed </w:t>
      </w:r>
      <w:r>
        <w:rPr>
          <w:rFonts w:ascii="Consolas" w:cs="Consolas" w:eastAsia="Consolas" w:hAnsi="Consolas"/>
          <w:b w:val="false"/>
          <w:bCs w:val="false"/>
          <w:i w:val="false"/>
          <w:iCs w:val="false"/>
        </w:rPr>
        <w:t xml:space="preserve">survivor_gains</w:t>
      </w:r>
      <w:r>
        <w:rPr>
          <w:b w:val="false"/>
          <w:bCs w:val="false"/>
          <w:i w:val="false"/>
          <w:iCs w:val="false"/>
        </w:rPr>
        <w:t xml:space="preserve"> flow must first pay the maintenance cost of the standing raise before any increment, and unfundable raises snap back —</w:t>
      </w:r>
    </w:p>
    <w:p>
      <w:pPr>
        <w:shd w:fill="F4F4F4" w:val="clear"/>
        <w:spacing w:after="0" w:before="120"/>
      </w:pPr>
      <w:r>
        <w:rPr>
          <w:rFonts w:ascii="Consolas" w:cs="Consolas" w:eastAsia="Consolas" w:hAnsi="Consolas"/>
          <w:sz w:val="18"/>
          <w:szCs w:val="18"/>
        </w:rPr>
        <w:t xml:space="preserve">maintenance = ℓ · wage_bill · (W − 1)          ℓ = compensation loading ≈ 1.4</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120" w:before="0"/>
      </w:pPr>
      <w:r>
        <w:rPr>
          <w:rFonts w:ascii="Consolas" w:cs="Consolas" w:eastAsia="Consolas" w:hAnsi="Consolas"/>
          <w:sz w:val="18"/>
          <w:szCs w:val="18"/>
        </w:rPr>
        <w:t xml:space="preserve">W ← W + min(available, room)/(ℓ·wage_bill)     room = ℓ·wage_bill·(ceiling − W)</w:t>
      </w:r>
    </w:p>
    <w:p>
      <w:pPr>
        <w:spacing w:after="120"/>
      </w:pPr>
      <w:r>
        <w:rPr>
          <w:b w:val="false"/>
          <w:bCs w:val="false"/>
          <w:i w:val="false"/>
          <w:iCs w:val="false"/>
        </w:rPr>
        <w:t xml:space="preserve">with the overflow above the raise ceiling routed to profit or prices by the spillover lever. A market component responds to labor-market slack with elasticity </w:t>
      </w:r>
      <w:r>
        <w:rPr>
          <w:rFonts w:ascii="Consolas" w:cs="Consolas" w:eastAsia="Consolas" w:hAnsi="Consolas"/>
          <w:b w:val="false"/>
          <w:bCs w:val="false"/>
          <w:i w:val="false"/>
          <w:iCs w:val="false"/>
        </w:rPr>
        <w:t xml:space="preserve">survivor_elasticity</w:t>
      </w:r>
      <w:r>
        <w:rPr>
          <w:b w:val="false"/>
          <w:bCs w:val="false"/>
          <w:i w:val="false"/>
          <w:iCs w:val="false"/>
        </w:rPr>
        <w:t xml:space="preserve"> (negative: substitution pushes wages down; positive: complementarity pulls them up), evaluated on lagged slack so the system never solves a within-period fixed point. Survivor raises are re-taxed through the exact bracket schedules — the one channel where displacement </w:t>
      </w:r>
      <w:r>
        <w:rPr>
          <w:b w:val="false"/>
          <w:bCs w:val="false"/>
          <w:i/>
          <w:iCs/>
        </w:rPr>
        <w:t xml:space="preserve">creates</w:t>
      </w:r>
      <w:r>
        <w:rPr>
          <w:b w:val="false"/>
          <w:bCs w:val="false"/>
          <w:i w:val="false"/>
          <w:iCs w:val="false"/>
        </w:rPr>
        <w:t xml:space="preserve"> labor-side revenue.</w:t>
      </w:r>
    </w:p>
    <w:p>
      <w:pPr>
        <w:pStyle w:val="Heading2"/>
      </w:pPr>
      <w:r>
        <w:t xml:space="preserve">4.4 Government: one borrower, fifty-one balancers</w:t>
      </w:r>
    </w:p>
    <w:p>
      <w:pPr>
        <w:spacing w:after="120"/>
      </w:pPr>
      <w:r>
        <w:rPr>
          <w:b w:val="false"/>
          <w:bCs w:val="false"/>
          <w:i w:val="false"/>
          <w:iCs w:val="false"/>
        </w:rPr>
        <w:t xml:space="preserve">The federal ledger nets every labeled flow — income and payroll losses, transfer and UI outlays, UI benefit taxation, the corporate offset, survivor wage taxes, compute-pool tax, robot tax, UBI gross and recapture, SSDI — into a deficit that accumulates into debt at the federal interest rate. The reconciliation of that deficit to its components is asserted every period (C6).</w:t>
      </w:r>
    </w:p>
    <w:p>
      <w:pPr>
        <w:spacing w:after="120"/>
      </w:pPr>
      <w:r>
        <w:rPr>
          <w:b w:val="false"/>
          <w:bCs w:val="false"/>
          <w:i w:val="false"/>
          <w:iCs w:val="false"/>
        </w:rPr>
        <w:t xml:space="preserve">The states cannot borrow. Each period, each state's revenue loss net of its recoveries defines a gap that must close: rate increases on the remaining labor-income base up to a feasibility cap, then forced spending cuts for whatever the cap leaves. The closure is solved per state (one Newton step on the post-recomputation base, residual asserted ≈ 0, identity C7), and its real economy consequences — spending cuts at a government-spending multiplier, rate hikes at the household MPC — are not free: they enter the demand channel below, </w:t>
      </w:r>
      <w:r>
        <w:rPr>
          <w:b w:val="false"/>
          <w:bCs w:val="false"/>
          <w:i/>
          <w:iCs/>
        </w:rPr>
        <w:t xml:space="preserve">in the state where they happen</w:t>
      </w:r>
      <w:r>
        <w:rPr>
          <w:b w:val="false"/>
          <w:bCs w:val="false"/>
          <w:i w:val="false"/>
          <w:iCs w:val="false"/>
        </w:rPr>
        <w:t xml:space="preserve">.</w:t>
      </w:r>
    </w:p>
    <w:p>
      <w:pPr>
        <w:pStyle w:val="Heading2"/>
      </w:pPr>
      <w:r>
        <w:t xml:space="preserve">4.5 Shareholders: the deferred equity claim</w:t>
      </w:r>
    </w:p>
    <w:p>
      <w:pPr>
        <w:spacing w:after="120"/>
      </w:pPr>
      <w:r>
        <w:rPr>
          <w:b w:val="false"/>
          <w:bCs w:val="false"/>
          <w:i w:val="false"/>
          <w:iCs w:val="false"/>
        </w:rPr>
        <w:t xml:space="preserve">The disposition router books corporate tax, dividend tax, and pass-through individual tax on the routed surplus. What it leaves at zero is the </w:t>
      </w:r>
      <w:r>
        <w:rPr>
          <w:b/>
          <w:bCs/>
          <w:i w:val="false"/>
          <w:iCs w:val="false"/>
        </w:rPr>
        <w:t xml:space="preserve">undistributed</w:t>
      </w:r>
      <w:r>
        <w:rPr>
          <w:b w:val="false"/>
          <w:bCs w:val="false"/>
          <w:i w:val="false"/>
          <w:iCs w:val="false"/>
        </w:rPr>
        <w:t xml:space="preserve"> share: after-corporate-tax retained earnings that never flow out as dividends, capitalize into equity value, and are taxed only when somebody sells. That is a first-order federal revenue line, and this channel prices it.</w:t>
      </w:r>
    </w:p>
    <w:p>
      <w:pPr>
        <w:spacing w:after="120"/>
      </w:pPr>
      <w:r>
        <w:rPr>
          <w:b w:val="false"/>
          <w:bCs w:val="false"/>
          <w:i w:val="false"/>
          <w:iCs w:val="false"/>
        </w:rPr>
        <w:t xml:space="preserve">The obvious objection is that equity prices cannot be projected. This channel never projects them — it prices the </w:t>
      </w:r>
      <w:r>
        <w:rPr>
          <w:b w:val="false"/>
          <w:bCs w:val="false"/>
          <w:i/>
          <w:iCs/>
        </w:rPr>
        <w:t xml:space="preserve">incremental claim</w:t>
      </w:r>
      <w:r>
        <w:rPr>
          <w:b w:val="false"/>
          <w:bCs w:val="false"/>
          <w:i w:val="false"/>
          <w:iCs w:val="false"/>
        </w:rPr>
        <w:t xml:space="preserve">, conditionally, the same way the corporate offset already steelmans full conversion of saved compensation to taxable surplus. The undistributed earnings the automated stock adds are computed per cell on the corporate offset's own construction with taxes and payout removed; automation-tax and sovereign-fund instruments are conservatively paid from that same pool; a capitalization multiple converts each </w:t>
      </w:r>
      <w:r>
        <w:rPr>
          <w:b w:val="false"/>
          <w:bCs w:val="false"/>
          <w:i/>
          <w:iCs/>
        </w:rPr>
        <w:t xml:space="preserve">increment</w:t>
      </w:r>
      <w:r>
        <w:rPr>
          <w:b w:val="false"/>
          <w:bCs w:val="false"/>
          <w:i w:val="false"/>
          <w:iCs w:val="false"/>
        </w:rPr>
        <w:t xml:space="preserve"> to the permanent earnings level — never the standing stream — into paper wealth; and realizations draw the accrued stock down at a measured rate:</w:t>
      </w:r>
    </w:p>
    <w:p>
      <w:pPr>
        <w:shd w:fill="F4F4F4" w:val="clear"/>
        <w:spacing w:after="0" w:before="120"/>
      </w:pPr>
      <w:r>
        <w:rPr>
          <w:rFonts w:ascii="Consolas" w:cs="Consolas" w:eastAsia="Consolas" w:hAnsi="Consolas"/>
          <w:sz w:val="18"/>
          <w:szCs w:val="18"/>
        </w:rPr>
        <w:t xml:space="preserve">E_t      = max(0, undistributed_t − automation_tax − swf_revenue)</w:t>
      </w:r>
    </w:p>
    <w:p>
      <w:pPr>
        <w:shd w:fill="F4F4F4" w:val="clear"/>
        <w:spacing w:after="0" w:before="0"/>
      </w:pPr>
      <w:r>
        <w:rPr>
          <w:rFonts w:ascii="Consolas" w:cs="Consolas" w:eastAsia="Consolas" w:hAnsi="Consolas"/>
          <w:sz w:val="18"/>
          <w:szCs w:val="18"/>
        </w:rPr>
        <w:t xml:space="preserve">R_t      = cg_realization_rate · G_{t−1}                      (t = 0 realizes nothing)</w:t>
      </w:r>
    </w:p>
    <w:p>
      <w:pPr>
        <w:shd w:fill="F4F4F4" w:val="clear"/>
        <w:spacing w:after="0" w:before="0"/>
      </w:pPr>
      <w:r>
        <w:rPr>
          <w:rFonts w:ascii="Consolas" w:cs="Consolas" w:eastAsia="Consolas" w:hAnsi="Consolas"/>
          <w:sz w:val="18"/>
          <w:szCs w:val="18"/>
        </w:rPr>
        <w:t xml:space="preserve">G_t      = G_{t−1} + equity_taxable_share · equity_pe_multiple · max(0, E_t − E_{t−1}) − R_t</w:t>
      </w:r>
    </w:p>
    <w:p>
      <w:pPr>
        <w:shd w:fill="F4F4F4" w:val="clear"/>
        <w:spacing w:after="120" w:before="0"/>
      </w:pPr>
      <w:r>
        <w:rPr>
          <w:rFonts w:ascii="Consolas" w:cs="Consolas" w:eastAsia="Consolas" w:hAnsi="Consolas"/>
          <w:sz w:val="18"/>
          <w:szCs w:val="18"/>
        </w:rPr>
        <w:t xml:space="preserve">cg_tax_t = shareholder_eff_rate · R_t                         → federal revenue (C6)</w:t>
      </w:r>
    </w:p>
    <w:p>
      <w:pPr>
        <w:spacing w:after="120"/>
      </w:pPr>
      <w:r>
        <w:rPr>
          <w:b w:val="false"/>
          <w:bCs w:val="false"/>
          <w:i w:val="false"/>
          <w:iCs w:val="false"/>
        </w:rPr>
        <w:t xml:space="preserve">Every parameter is externally measured: the long-run market price/earnings mean rather than today's richer multiple (the conservative convention), the taxable-account share of US corporate equity, the measured fraction of the accrued gain stock realized per year, and the average effective rate on realized gains. None is calibrated against anything the model targets, and the multiple — the one input no source can pin — is not where the answer comes from: the bottleneck is the measured leakage chain, which is why the finding survives generous multiples. The result is </w:t>
      </w:r>
      <w:r>
        <w:rPr>
          <w:b/>
          <w:bCs/>
          <w:i w:val="false"/>
          <w:iCs w:val="false"/>
        </w:rPr>
        <w:t xml:space="preserve">conditional accounting, not a forecast</w:t>
      </w:r>
      <w:r>
        <w:rPr>
          <w:b w:val="false"/>
          <w:bCs w:val="false"/>
          <w:i w:val="false"/>
          <w:iCs w:val="false"/>
        </w:rPr>
        <w:t xml:space="preserve">: </w:t>
      </w:r>
      <w:r>
        <w:rPr>
          <w:b w:val="false"/>
          <w:bCs w:val="false"/>
          <w:i/>
          <w:iCs/>
        </w:rPr>
        <w:t xml:space="preserve">if</w:t>
      </w:r>
      <w:r>
        <w:rPr>
          <w:b w:val="false"/>
          <w:bCs w:val="false"/>
          <w:i w:val="false"/>
          <w:iCs w:val="false"/>
        </w:rPr>
        <w:t xml:space="preserve"> the surplus lands as permanent corporate earnings, this is what the current shareholder-side regime collects on it. Section 7.13 reports the magnitude, and why it is small.</w:t>
      </w:r>
    </w:p>
    <w:p>
      <w:pPr>
        <w:pStyle w:val="Heading2"/>
      </w:pPr>
      <w:r>
        <w:t xml:space="preserve">4.6 Demand: a level-targeting controller</w:t>
      </w:r>
    </w:p>
    <w:p>
      <w:pPr>
        <w:spacing w:after="120"/>
      </w:pPr>
      <w:r>
        <w:rPr>
          <w:b w:val="false"/>
          <w:bCs w:val="false"/>
          <w:i w:val="false"/>
          <w:iCs w:val="false"/>
        </w:rPr>
        <w:t xml:space="preserve">Second-round demand is modeled as a stock, not a ratchet. The standing net income withdrawal — take-home pay lost by every non-employed stock, minus UI and transfers actually received, minus UBI net of recapture, minus survivor raises — defines a target level of induced layoffs through an Okun-style multiplier; the induced stock adjusts toward that target with a one-period lag, and </w:t>
      </w:r>
      <w:r>
        <w:rPr>
          <w:b w:val="false"/>
          <w:bCs w:val="false"/>
          <w:i/>
          <w:iCs/>
        </w:rPr>
        <w:t xml:space="preserve">releases</w:t>
      </w:r>
      <w:r>
        <w:rPr>
          <w:b w:val="false"/>
          <w:bCs w:val="false"/>
          <w:i w:val="false"/>
          <w:iCs w:val="false"/>
        </w:rPr>
        <w:t xml:space="preserve"> workers back when the withdrawal shrinks (a UBI visibly re-employs induced workers). The loop gain is provably below one at every shipped configuration, so the feedback converges geometrically instead of spiraling — and the model asserts this at construction rather than trusting it.</w:t>
      </w:r>
    </w:p>
    <w:p>
      <w:pPr>
        <w:pStyle w:val="Heading2"/>
      </w:pPr>
      <w:r>
        <w:t xml:space="preserve">4.7 Prices and productivity</w:t>
      </w:r>
    </w:p>
    <w:p>
      <w:pPr>
        <w:spacing w:after="120"/>
      </w:pPr>
      <w:r>
        <w:rPr>
          <w:b w:val="false"/>
          <w:bCs w:val="false"/>
          <w:i w:val="false"/>
          <w:iCs w:val="false"/>
        </w:rPr>
        <w:t xml:space="preserve">Automation deflates prices through the price-reduction disposition (pass-through configurable) and raises real output through an output-weighted productivity dividend (full automation of the compensation bill raises GDP by </w:t>
      </w:r>
      <w:r>
        <w:rPr>
          <w:rFonts w:ascii="Consolas" w:cs="Consolas" w:eastAsia="Consolas" w:hAnsi="Consolas"/>
          <w:b w:val="false"/>
          <w:bCs w:val="false"/>
          <w:i w:val="false"/>
          <w:iCs w:val="false"/>
        </w:rPr>
        <w:t xml:space="preserve">productivity_passthrough</w:t>
      </w:r>
      <w:r>
        <w:rPr>
          <w:b w:val="false"/>
          <w:bCs w:val="false"/>
          <w:i w:val="false"/>
          <w:iCs w:val="false"/>
        </w:rPr>
        <w:t xml:space="preserve">). Both are </w:t>
      </w:r>
      <w:r>
        <w:rPr>
          <w:b/>
          <w:bCs/>
          <w:i w:val="false"/>
          <w:iCs w:val="false"/>
        </w:rPr>
        <w:t xml:space="preserve">reporting-layer</w:t>
      </w:r>
      <w:r>
        <w:rPr>
          <w:b w:val="false"/>
          <w:bCs w:val="false"/>
          <w:i w:val="false"/>
          <w:iCs w:val="false"/>
        </w:rPr>
        <w:t xml:space="preserve"> effects by design: the price level deflates real and percent-of-GDP columns but is never injected into nominal tax computations — a discipline (the "A2 rule") that prevents double-counting deflation through bracket schedules that are nominally indexed in reality. The consequences of this choice for external comparability are quantified in Section 9.</w:t>
      </w:r>
    </w:p>
    <w:p>
      <w:r>
        <w:br w:type="page"/>
      </w:r>
    </w:p>
    <w:p>
      <w:pPr>
        <w:pStyle w:val="Heading1"/>
      </w:pPr>
      <w:r>
        <w:t xml:space="preserve">5. Correctness discipline</w:t>
      </w:r>
    </w:p>
    <w:p>
      <w:pPr>
        <w:spacing w:after="120"/>
      </w:pPr>
      <w:r>
        <w:rPr>
          <w:b w:val="false"/>
          <w:bCs w:val="false"/>
          <w:i w:val="false"/>
          <w:iCs w:val="false"/>
        </w:rPr>
        <w:t xml:space="preserve">A model whose output is an accounting claim should be held to accounting standards. Two mechanisms do that here: conservation identities asserted at runtime, and an exact reduction anchor.</w:t>
      </w:r>
    </w:p>
    <w:p>
      <w:pPr>
        <w:pStyle w:val="Heading2"/>
      </w:pPr>
      <w:r>
        <w:t xml:space="preserve">5.1 The conservation battery</w:t>
      </w:r>
    </w:p>
    <w:p>
      <w:pPr>
        <w:spacing w:after="120"/>
      </w:pPr>
      <w:r>
        <w:rPr>
          <w:b w:val="false"/>
          <w:bCs w:val="false"/>
          <w:i w:val="false"/>
          <w:iCs w:val="false"/>
        </w:rPr>
        <w:t xml:space="preserve">Nine identities hold on every period of every run — including every Monte Carlo draw sampled for this report, and including the presentation layer (the fiscal summary tables in Section 7 assert their own reconciliation before rendering):</w:t>
      </w:r>
    </w:p>
    <w:p>
      <w:pPr>
        <w:pStyle w:val="ListParagraph"/>
        <w:numPr>
          <w:ilvl w:val="0"/>
          <w:numId w:val="3"/>
        </w:numPr>
        <w:spacing w:after="60"/>
      </w:pPr>
      <w:r>
        <w:rPr>
          <w:b/>
          <w:bCs/>
          <w:i w:val="false"/>
          <w:iCs w:val="false"/>
        </w:rPr>
        <w:t xml:space="preserve">C1 (headcount).</w:t>
      </w:r>
      <w:r>
        <w:rPr>
          <w:b w:val="false"/>
          <w:bCs w:val="false"/>
          <w:i w:val="false"/>
          <w:iCs w:val="false"/>
        </w:rPr>
        <w:t xml:space="preserve"> The seven worker stocks sum to baseline employment in every occupation ×</w:t>
      </w:r>
    </w:p>
    <w:p>
      <w:pPr>
        <w:spacing w:after="120"/>
      </w:pPr>
      <w:r>
        <w:rPr>
          <w:b w:val="false"/>
          <w:bCs w:val="false"/>
          <w:i w:val="false"/>
          <w:iCs w:val="false"/>
        </w:rPr>
        <w:t xml:space="preserve">state cell, every period. No worker is created, destroyed, or double-counted.</w:t>
      </w:r>
    </w:p>
    <w:p>
      <w:pPr>
        <w:pStyle w:val="ListParagraph"/>
        <w:numPr>
          <w:ilvl w:val="0"/>
          <w:numId w:val="3"/>
        </w:numPr>
        <w:spacing w:after="60"/>
      </w:pPr>
      <w:r>
        <w:rPr>
          <w:b/>
          <w:bCs/>
          <w:i w:val="false"/>
          <w:iCs w:val="false"/>
        </w:rPr>
        <w:t xml:space="preserve">C2 (disposition partition).</w:t>
      </w:r>
      <w:r>
        <w:rPr>
          <w:b w:val="false"/>
          <w:bCs w:val="false"/>
          <w:i w:val="false"/>
          <w:iCs w:val="false"/>
        </w:rPr>
        <w:t xml:space="preserve"> `automation_spend + retained_profit + price_reduction +</w:t>
      </w:r>
    </w:p>
    <w:p>
      <w:pPr>
        <w:spacing w:after="120"/>
      </w:pPr>
      <w:r>
        <w:rPr>
          <w:b w:val="false"/>
          <w:bCs w:val="false"/>
          <w:i w:val="false"/>
          <w:iCs w:val="false"/>
        </w:rPr>
        <w:t xml:space="preserve">survivor_gains = saved_bill`, per sector, per period — every saved dollar has exactly one destination.</w:t>
      </w:r>
    </w:p>
    <w:p>
      <w:pPr>
        <w:pStyle w:val="ListParagraph"/>
        <w:numPr>
          <w:ilvl w:val="0"/>
          <w:numId w:val="3"/>
        </w:numPr>
        <w:spacing w:after="60"/>
      </w:pPr>
      <w:r>
        <w:rPr>
          <w:b/>
          <w:bCs/>
          <w:i w:val="false"/>
          <w:iCs w:val="false"/>
        </w:rPr>
        <w:t xml:space="preserve">C3 (compute pool).</w:t>
      </w:r>
      <w:r>
        <w:rPr>
          <w:b w:val="false"/>
          <w:bCs w:val="false"/>
          <w:i w:val="false"/>
          <w:iCs w:val="false"/>
        </w:rPr>
        <w:t xml:space="preserve"> Pool tax equals the domestic inflow times the effective rate; leakage is</w:t>
      </w:r>
    </w:p>
    <w:p>
      <w:pPr>
        <w:spacing w:after="120"/>
      </w:pPr>
      <w:r>
        <w:rPr>
          <w:b w:val="false"/>
          <w:bCs w:val="false"/>
          <w:i w:val="false"/>
          <w:iCs w:val="false"/>
        </w:rPr>
        <w:t xml:space="preserve">metered, not lost.</w:t>
      </w:r>
    </w:p>
    <w:p>
      <w:pPr>
        <w:pStyle w:val="ListParagraph"/>
        <w:numPr>
          <w:ilvl w:val="0"/>
          <w:numId w:val="3"/>
        </w:numPr>
        <w:spacing w:after="60"/>
      </w:pPr>
      <w:r>
        <w:rPr>
          <w:b/>
          <w:bCs/>
          <w:i w:val="false"/>
          <w:iCs w:val="false"/>
        </w:rPr>
        <w:t xml:space="preserve">C4 (deflation).</w:t>
      </w:r>
      <w:r>
        <w:rPr>
          <w:b w:val="false"/>
          <w:bCs w:val="false"/>
          <w:i w:val="false"/>
          <w:iCs w:val="false"/>
        </w:rPr>
        <w:t xml:space="preserve"> Real aggregates equal nominal divided by the price level — the price channel</w:t>
      </w:r>
    </w:p>
    <w:p>
      <w:pPr>
        <w:spacing w:after="120"/>
      </w:pPr>
      <w:r>
        <w:rPr>
          <w:b w:val="false"/>
          <w:bCs w:val="false"/>
          <w:i w:val="false"/>
          <w:iCs w:val="false"/>
        </w:rPr>
        <w:t xml:space="preserve">cannot double-apply.</w:t>
      </w:r>
    </w:p>
    <w:p>
      <w:pPr>
        <w:pStyle w:val="ListParagraph"/>
        <w:numPr>
          <w:ilvl w:val="0"/>
          <w:numId w:val="3"/>
        </w:numPr>
        <w:spacing w:after="60"/>
      </w:pPr>
      <w:r>
        <w:rPr>
          <w:b/>
          <w:bCs/>
          <w:i w:val="false"/>
          <w:iCs w:val="false"/>
        </w:rPr>
        <w:t xml:space="preserve">C5c (funded raises).</w:t>
      </w:r>
      <w:r>
        <w:rPr>
          <w:b w:val="false"/>
          <w:bCs w:val="false"/>
          <w:i w:val="false"/>
          <w:iCs w:val="false"/>
        </w:rPr>
        <w:t xml:space="preserve"> Survivor wage cost plus overflows exactly equals the routed survivor</w:t>
      </w:r>
    </w:p>
    <w:p>
      <w:pPr>
        <w:spacing w:after="120"/>
      </w:pPr>
      <w:r>
        <w:rPr>
          <w:b w:val="false"/>
          <w:bCs w:val="false"/>
          <w:i w:val="false"/>
          <w:iCs w:val="false"/>
        </w:rPr>
        <w:t xml:space="preserve">gains, in every branch of the funding logic — raises cannot be paid out of nothing.</w:t>
      </w:r>
    </w:p>
    <w:p>
      <w:pPr>
        <w:pStyle w:val="ListParagraph"/>
        <w:numPr>
          <w:ilvl w:val="0"/>
          <w:numId w:val="3"/>
        </w:numPr>
        <w:spacing w:after="60"/>
      </w:pPr>
      <w:r>
        <w:rPr>
          <w:b/>
          <w:bCs/>
          <w:i w:val="false"/>
          <w:iCs w:val="false"/>
        </w:rPr>
        <w:t xml:space="preserve">C6 (federal reconciliation).</w:t>
      </w:r>
      <w:r>
        <w:rPr>
          <w:b w:val="false"/>
          <w:bCs w:val="false"/>
          <w:i w:val="false"/>
          <w:iCs w:val="false"/>
        </w:rPr>
        <w:t xml:space="preserve"> The federal deficit equals the signed sum of its nineteen</w:t>
      </w:r>
    </w:p>
    <w:p>
      <w:pPr>
        <w:spacing w:after="120"/>
      </w:pPr>
      <w:r>
        <w:rPr>
          <w:b w:val="false"/>
          <w:bCs w:val="false"/>
          <w:i w:val="false"/>
          <w:iCs w:val="false"/>
        </w:rPr>
        <w:t xml:space="preserve">labeled components. Any new fiscal flow that is not added to the reconciliation breaks the build, which is the point: the ledger cannot silently drop a leg. The shareholder windfall line (Section 4.5) was added under exactly that constraint.</w:t>
      </w:r>
    </w:p>
    <w:p>
      <w:pPr>
        <w:pStyle w:val="ListParagraph"/>
        <w:numPr>
          <w:ilvl w:val="0"/>
          <w:numId w:val="3"/>
        </w:numPr>
        <w:spacing w:after="60"/>
      </w:pPr>
      <w:r>
        <w:rPr>
          <w:b/>
          <w:bCs/>
          <w:i w:val="false"/>
          <w:iCs w:val="false"/>
        </w:rPr>
        <w:t xml:space="preserve">C-sh (shareholder stock ledger).</w:t>
      </w:r>
      <w:r>
        <w:rPr>
          <w:b w:val="false"/>
          <w:bCs w:val="false"/>
          <w:i w:val="false"/>
          <w:iCs w:val="false"/>
        </w:rPr>
        <w:t xml:space="preserve"> The accrued windfall stock moves by capitalized increment</w:t>
      </w:r>
    </w:p>
    <w:p>
      <w:pPr>
        <w:spacing w:after="120"/>
      </w:pPr>
      <w:r>
        <w:rPr>
          <w:b w:val="false"/>
          <w:bCs w:val="false"/>
          <w:i w:val="false"/>
          <w:iCs w:val="false"/>
        </w:rPr>
        <w:t xml:space="preserve">minus realizations, realizations are the measured rate times last period's stock, and the tax is the effective rate times realizations — asserted per period, so the channel cannot book revenue without a stock to draw it from, and the stock cannot go negative.</w:t>
      </w:r>
    </w:p>
    <w:p>
      <w:pPr>
        <w:pStyle w:val="ListParagraph"/>
        <w:numPr>
          <w:ilvl w:val="0"/>
          <w:numId w:val="3"/>
        </w:numPr>
        <w:spacing w:after="60"/>
      </w:pPr>
      <w:r>
        <w:rPr>
          <w:b/>
          <w:bCs/>
          <w:i w:val="false"/>
          <w:iCs w:val="false"/>
        </w:rPr>
        <w:t xml:space="preserve">C6-state / C7 (state composition and closure).</w:t>
      </w:r>
      <w:r>
        <w:rPr>
          <w:b w:val="false"/>
          <w:bCs w:val="false"/>
          <w:i w:val="false"/>
          <w:iCs w:val="false"/>
        </w:rPr>
        <w:t xml:space="preserve"> Each state's revenue change is composed from</w:t>
      </w:r>
    </w:p>
    <w:p>
      <w:pPr>
        <w:spacing w:after="120"/>
      </w:pPr>
      <w:r>
        <w:rPr>
          <w:b w:val="false"/>
          <w:bCs w:val="false"/>
          <w:i w:val="false"/>
          <w:iCs w:val="false"/>
        </w:rPr>
        <w:t xml:space="preserve">its labeled parts before the balanced-budget solve, and the solve closes the gap to numerical residual zero.</w:t>
      </w:r>
    </w:p>
    <w:p>
      <w:pPr>
        <w:pStyle w:val="ListParagraph"/>
        <w:numPr>
          <w:ilvl w:val="0"/>
          <w:numId w:val="3"/>
        </w:numPr>
        <w:spacing w:after="60"/>
      </w:pPr>
      <w:r>
        <w:rPr>
          <w:b/>
          <w:bCs/>
          <w:i w:val="false"/>
          <w:iCs w:val="false"/>
        </w:rPr>
        <w:t xml:space="preserve">C8 (reduction).</w:t>
      </w:r>
      <w:r>
        <w:rPr>
          <w:b w:val="false"/>
          <w:bCs w:val="false"/>
          <w:i w:val="false"/>
          <w:iCs w:val="false"/>
        </w:rPr>
        <w:t xml:space="preserve"> With every behavioral lever at its off value, the full multi-actor system</w:t>
      </w:r>
    </w:p>
    <w:p>
      <w:pPr>
        <w:spacing w:after="120"/>
      </w:pPr>
      <w:r>
        <w:rPr>
          <w:b w:val="false"/>
          <w:bCs w:val="false"/>
          <w:i w:val="false"/>
          <w:iCs w:val="false"/>
        </w:rPr>
        <w:t xml:space="preserve">reproduces the static kernel's dynamic wrapper </w:t>
      </w:r>
      <w:r>
        <w:rPr>
          <w:b/>
          <w:bCs/>
          <w:i w:val="false"/>
          <w:iCs w:val="false"/>
        </w:rPr>
        <w:t xml:space="preserve">bit-for-bit</w:t>
      </w:r>
      <w:r>
        <w:rPr>
          <w:b w:val="false"/>
          <w:bCs w:val="false"/>
          <w:i w:val="false"/>
          <w:iCs w:val="false"/>
        </w:rPr>
        <w:t xml:space="preserve"> — not approximately: the test is exact float equality across output columns, and it is differential (v2 against v1 run on the same inputs), so shared re-bases cannot mask a divergence.</w:t>
      </w:r>
    </w:p>
    <w:p>
      <w:pPr>
        <w:pStyle w:val="Heading2"/>
      </w:pPr>
      <w:r>
        <w:t xml:space="preserve">5.2 Why C8 matters</w:t>
      </w:r>
    </w:p>
    <w:p>
      <w:pPr>
        <w:spacing w:after="120"/>
      </w:pPr>
      <w:r>
        <w:rPr>
          <w:b w:val="false"/>
          <w:bCs w:val="false"/>
          <w:i w:val="false"/>
          <w:iCs w:val="false"/>
        </w:rPr>
        <w:t xml:space="preserve">Every behavioral mechanism in Section 4 is gated by a lever whose off value removes it exactly. That means the elaborate system is pinned, at a reachable point of its configuration space, to a small model that can be checked by hand against the national accounts (the t = 0 base-rate gate of Section 2.3). Complexity added above that anchor must justify itself lever by lever, and a regression anywhere in the machinery — including refactors that merely change floating-point operation order — is caught as a bit-level diff. The Monte Carlo machinery is held to the same standard: the fast path that re-binds lever values onto a prebuilt model is verified to reproduce fresh construction exactly, so 1,000-draw uncertainty bands are 1,000 real model runs, not an approximation of them.</w:t>
      </w:r>
    </w:p>
    <w:p>
      <w:pPr>
        <w:pStyle w:val="Heading2"/>
      </w:pPr>
      <w:r>
        <w:t xml:space="preserve">5.3 Test surface</w:t>
      </w:r>
    </w:p>
    <w:p>
      <w:pPr>
        <w:spacing w:after="120"/>
      </w:pPr>
      <w:r>
        <w:rPr>
          <w:b w:val="false"/>
          <w:bCs w:val="false"/>
          <w:i w:val="false"/>
          <w:iCs w:val="false"/>
        </w:rPr>
        <w:t xml:space="preserve">The repository carries 359 regression tests: the conservation battery across lever sweeps, numeric anchors for each kernel channel, the displacement-literature behavioral pins (attrition lowers the deficit; a job stays automated after its worker is reabsorbed; a stationary shock produces a stationary induced-layoff stock), sampler domain properties for the Monte Carlo, UI-grid representability and provenance completeness for every scenario preset, and the C8 sweep. The artifact pipeline that generated every number in this document is seeded and re-runs deterministically; its build stamp is in the footer of every page.</w:t>
      </w:r>
    </w:p>
    <w:p>
      <w:r>
        <w:br w:type="page"/>
      </w:r>
    </w:p>
    <w:p>
      <w:pPr>
        <w:pStyle w:val="Heading1"/>
      </w:pPr>
      <w:r>
        <w:t xml:space="preserve">6. Calibration: scenarios and policy overlays</w:t>
      </w:r>
    </w:p>
    <w:p>
      <w:pPr>
        <w:spacing w:after="120"/>
      </w:pPr>
      <w:r>
        <w:rPr>
          <w:b w:val="false"/>
          <w:bCs w:val="false"/>
          <w:i w:val="false"/>
          <w:iCs w:val="false"/>
        </w:rPr>
        <w:t xml:space="preserve">The model has roughly thirty continuous levers. Rather than defend one setting, we anchor them to the literature — every anchor fetch-verified against the source text, with verbatim quotes and URLs preserved in the repository's evidence base — and package coherent configurations as </w:t>
      </w:r>
      <w:r>
        <w:rPr>
          <w:b/>
          <w:bCs/>
          <w:i w:val="false"/>
          <w:iCs w:val="false"/>
        </w:rPr>
        <w:t xml:space="preserve">presets</w:t>
      </w:r>
      <w:r>
        <w:rPr>
          <w:b w:val="false"/>
          <w:bCs w:val="false"/>
          <w:i w:val="false"/>
          <w:iCs w:val="false"/>
        </w:rPr>
        <w:t xml:space="preserve">. Three unit conversions recur and are worth stating once, because getting them wrong changes answers by an order of magnitude.</w:t>
      </w:r>
    </w:p>
    <w:p>
      <w:pPr>
        <w:pStyle w:val="ListParagraph"/>
        <w:numPr>
          <w:ilvl w:val="0"/>
          <w:numId w:val="2"/>
        </w:numPr>
        <w:spacing w:after="60"/>
      </w:pPr>
      <w:r>
        <w:rPr>
          <w:b/>
          <w:bCs/>
          <w:i w:val="false"/>
          <w:iCs w:val="false"/>
        </w:rPr>
        <w:t xml:space="preserve">Exposure is not feasibility is not adoption.</w:t>
      </w:r>
      <w:r>
        <w:rPr>
          <w:b w:val="false"/>
          <w:bCs w:val="false"/>
          <w:i w:val="false"/>
          <w:iCs w:val="false"/>
        </w:rPr>
        <w:t xml:space="preserve"> Task-exposure measures (Eloundou et al.'s</w:t>
      </w:r>
    </w:p>
    <w:p>
      <w:pPr>
        <w:spacing w:after="120"/>
      </w:pPr>
      <w:r>
        <w:rPr>
          <w:b w:val="false"/>
          <w:bCs w:val="false"/>
          <w:i w:val="false"/>
          <w:iCs w:val="false"/>
        </w:rPr>
        <w:t xml:space="preserve">"GPTs are GPTs") are time-savings potentials, agnostic between augmentation and substitution. We treat them as upper bounds on </w:t>
      </w:r>
      <w:r>
        <w:rPr>
          <w:b w:val="false"/>
          <w:bCs w:val="false"/>
          <w:i/>
          <w:iCs/>
        </w:rPr>
        <w:t xml:space="preserve">feasibility</w:t>
      </w:r>
      <w:r>
        <w:rPr>
          <w:b w:val="false"/>
          <w:bCs w:val="false"/>
          <w:i w:val="false"/>
          <w:iCs w:val="false"/>
        </w:rPr>
        <w:t xml:space="preserve"> and let </w:t>
      </w:r>
      <w:r>
        <w:rPr>
          <w:b w:val="false"/>
          <w:bCs w:val="false"/>
          <w:i/>
          <w:iCs/>
        </w:rPr>
        <w:t xml:space="preserve">adoption</w:t>
      </w:r>
      <w:r>
        <w:rPr>
          <w:b w:val="false"/>
          <w:bCs w:val="false"/>
          <w:i w:val="false"/>
          <w:iCs w:val="false"/>
        </w:rPr>
        <w:t xml:space="preserve"> — a cumulative ceiling with its own timeline — carry realized automation.</w:t>
      </w:r>
    </w:p>
    <w:p>
      <w:pPr>
        <w:pStyle w:val="ListParagraph"/>
        <w:numPr>
          <w:ilvl w:val="0"/>
          <w:numId w:val="2"/>
        </w:numPr>
        <w:spacing w:after="60"/>
      </w:pPr>
      <w:r>
        <w:rPr>
          <w:b/>
          <w:bCs/>
          <w:i w:val="false"/>
          <w:iCs w:val="false"/>
        </w:rPr>
        <w:t xml:space="preserve">Ad-valorem robot taxes are levied on robot spending, not on saved wages.</w:t>
      </w:r>
      <w:r>
        <w:rPr>
          <w:b w:val="false"/>
          <w:bCs w:val="false"/>
          <w:i w:val="false"/>
          <w:iCs w:val="false"/>
        </w:rPr>
        <w:t xml:space="preserve"> The</w:t>
      </w:r>
    </w:p>
    <w:p>
      <w:pPr>
        <w:spacing w:after="120"/>
      </w:pPr>
      <w:r>
        <w:rPr>
          <w:b w:val="false"/>
          <w:bCs w:val="false"/>
          <w:i w:val="false"/>
          <w:iCs w:val="false"/>
        </w:rPr>
        <w:t xml:space="preserve">optimal-taxation literature's "1–3.7 percent robot tax" (Costinot–Werning) applies to the price of automation inputs. On this model's saved-compensation base the equivalent rate is that number </w:t>
      </w:r>
      <w:r>
        <w:rPr>
          <w:b/>
          <w:bCs/>
          <w:i w:val="false"/>
          <w:iCs w:val="false"/>
        </w:rPr>
        <w:t xml:space="preserve">times `auto_cost`</w:t>
      </w:r>
      <w:r>
        <w:rPr>
          <w:b w:val="false"/>
          <w:bCs w:val="false"/>
          <w:i w:val="false"/>
          <w:iCs w:val="false"/>
        </w:rPr>
        <w:t xml:space="preserve"> — roughly 0.3–1 percent, not 3 percent. Presets that skip this conversion overstate optimal robot-tax revenue by 10–25×.</w:t>
      </w:r>
    </w:p>
    <w:p>
      <w:pPr>
        <w:pStyle w:val="ListParagraph"/>
        <w:numPr>
          <w:ilvl w:val="0"/>
          <w:numId w:val="2"/>
        </w:numPr>
        <w:spacing w:after="60"/>
      </w:pPr>
      <w:r>
        <w:rPr>
          <w:b/>
          <w:bCs/>
          <w:i w:val="false"/>
          <w:iCs w:val="false"/>
        </w:rPr>
        <w:t xml:space="preserve">Present-value earnings losses bundle spells with scars.</w:t>
      </w:r>
      <w:r>
        <w:rPr>
          <w:b w:val="false"/>
          <w:bCs w:val="false"/>
          <w:i w:val="false"/>
          <w:iCs w:val="false"/>
        </w:rPr>
        <w:t xml:space="preserve"> Davis–von Wachter's 1.4–2.8 years</w:t>
      </w:r>
    </w:p>
    <w:p>
      <w:pPr>
        <w:spacing w:after="120"/>
      </w:pPr>
      <w:r>
        <w:rPr>
          <w:b w:val="false"/>
          <w:bCs w:val="false"/>
          <w:i w:val="false"/>
          <w:iCs w:val="false"/>
        </w:rPr>
        <w:t xml:space="preserve">of pre-displacement earnings include unemployment time the model prices separately through UI and reabsorption; only the long-run </w:t>
      </w:r>
      <w:r>
        <w:rPr>
          <w:b w:val="false"/>
          <w:bCs w:val="false"/>
          <w:i/>
          <w:iCs/>
        </w:rPr>
        <w:t xml:space="preserve">annual</w:t>
      </w:r>
      <w:r>
        <w:rPr>
          <w:b w:val="false"/>
          <w:bCs w:val="false"/>
          <w:i w:val="false"/>
          <w:iCs w:val="false"/>
        </w:rPr>
        <w:t xml:space="preserve"> loss (10–20 percent, ten-plus years out) maps to the permanent re-employment haircut.</w:t>
      </w:r>
    </w:p>
    <w:p>
      <w:pPr>
        <w:spacing w:after="120"/>
      </w:pPr>
      <w:r>
        <w:rPr>
          <w:b w:val="false"/>
          <w:bCs w:val="false"/>
          <w:i w:val="false"/>
          <w:iCs w:val="false"/>
        </w:rPr>
        <w:t xml:space="preserve">Each preset is a full lever configuration with per-lever provenance (the application surfaces the anchor sentence for every value; the evidence document carries the quotes). Because a scenario's anchoring story and its results are one subject, each preset is introduced where its numbers are reported, in Section 7. The as-shipped lever table for all twelve appears in Appendix B.</w:t>
      </w:r>
    </w:p>
    <w:p>
      <w:pPr>
        <w:pStyle w:val="Heading2"/>
      </w:pPr>
      <w:r>
        <w:t xml:space="preserve">6.1 The four policy overlays</w:t>
      </w:r>
    </w:p>
    <w:p>
      <w:pPr>
        <w:spacing w:after="120"/>
      </w:pPr>
      <w:r>
        <w:rPr>
          <w:b w:val="false"/>
          <w:bCs w:val="false"/>
          <w:i w:val="false"/>
          <w:iCs w:val="false"/>
        </w:rPr>
        <w:t xml:space="preserve">Policy composes on top of any scenario and overrides the corresponding levers:</w:t>
      </w:r>
    </w:p>
    <w:p>
      <w:pPr>
        <w:pStyle w:val="ListParagraph"/>
        <w:numPr>
          <w:ilvl w:val="0"/>
          <w:numId w:val="3"/>
        </w:numPr>
        <w:spacing w:after="60"/>
      </w:pPr>
      <w:r>
        <w:rPr>
          <w:b/>
          <w:bCs/>
          <w:i w:val="false"/>
          <w:iCs w:val="false"/>
        </w:rPr>
        <w:t xml:space="preserve">Robot tax, Costinot–Werning optimal</w:t>
      </w:r>
      <w:r>
        <w:rPr>
          <w:b w:val="false"/>
          <w:bCs w:val="false"/>
          <w:i w:val="false"/>
          <w:iCs w:val="false"/>
        </w:rPr>
        <w:t xml:space="preserve"> — 2.7 percent ad-valorem on robot spending (their</w:t>
      </w:r>
    </w:p>
    <w:p>
      <w:pPr>
        <w:spacing w:after="120"/>
      </w:pPr>
      <w:r>
        <w:rPr>
          <w:b w:val="false"/>
          <w:bCs w:val="false"/>
          <w:i w:val="false"/>
          <w:iCs w:val="false"/>
        </w:rPr>
        <w:t xml:space="preserve">sufficient-statistic central value), converted through </w:t>
      </w:r>
      <w:r>
        <w:rPr>
          <w:rFonts w:ascii="Consolas" w:cs="Consolas" w:eastAsia="Consolas" w:hAnsi="Consolas"/>
          <w:b w:val="false"/>
          <w:bCs w:val="false"/>
          <w:i w:val="false"/>
          <w:iCs w:val="false"/>
        </w:rPr>
        <w:t xml:space="preserve">auto_cost</w:t>
      </w:r>
      <w:r>
        <w:rPr>
          <w:b w:val="false"/>
          <w:bCs w:val="false"/>
          <w:i w:val="false"/>
          <w:iCs w:val="false"/>
        </w:rPr>
        <w:t xml:space="preserve">.</w:t>
      </w:r>
    </w:p>
    <w:p>
      <w:pPr>
        <w:pStyle w:val="ListParagraph"/>
        <w:numPr>
          <w:ilvl w:val="0"/>
          <w:numId w:val="3"/>
        </w:numPr>
        <w:spacing w:after="60"/>
      </w:pPr>
      <w:r>
        <w:rPr>
          <w:b/>
          <w:bCs/>
          <w:i w:val="false"/>
          <w:iCs w:val="false"/>
        </w:rPr>
        <w:t xml:space="preserve">Robot tax, Guerreiro–Rebelo–Teles transitional</w:t>
      </w:r>
      <w:r>
        <w:rPr>
          <w:b w:val="false"/>
          <w:bCs w:val="false"/>
          <w:i w:val="false"/>
          <w:iCs w:val="false"/>
        </w:rPr>
        <w:t xml:space="preserve"> — their 5.1 percent decade-one Mirrleesian</w:t>
      </w:r>
    </w:p>
    <w:p>
      <w:pPr>
        <w:spacing w:after="120"/>
      </w:pPr>
      <w:r>
        <w:rPr>
          <w:b w:val="false"/>
          <w:bCs w:val="false"/>
          <w:i w:val="false"/>
          <w:iCs w:val="false"/>
        </w:rPr>
        <w:t xml:space="preserve">rate; their steady state is zero, and the overlay flags that holding decade-one constant overstates the tax beyond year ten.</w:t>
      </w:r>
    </w:p>
    <w:p>
      <w:pPr>
        <w:pStyle w:val="ListParagraph"/>
        <w:numPr>
          <w:ilvl w:val="0"/>
          <w:numId w:val="3"/>
        </w:numPr>
        <w:spacing w:after="60"/>
      </w:pPr>
      <w:r>
        <w:rPr>
          <w:b/>
          <w:bCs/>
          <w:i w:val="false"/>
          <w:iCs w:val="false"/>
        </w:rPr>
        <w:t xml:space="preserve">UBI</w:t>
      </w:r>
      <w:r>
        <w:rPr>
          <w:b w:val="false"/>
          <w:bCs w:val="false"/>
          <w:i w:val="false"/>
          <w:iCs w:val="false"/>
        </w:rPr>
        <w:t xml:space="preserve"> — $12,000 per worker per year with 30 percent recapture (income-tax clawback per</w:t>
      </w:r>
    </w:p>
    <w:p>
      <w:pPr>
        <w:spacing w:after="120"/>
      </w:pPr>
      <w:r>
        <w:rPr>
          <w:b w:val="false"/>
          <w:bCs w:val="false"/>
          <w:i w:val="false"/>
          <w:iCs w:val="false"/>
        </w:rPr>
        <w:t xml:space="preserve">Korinek–Lockwood's 0.25–0.375 range).</w:t>
      </w:r>
    </w:p>
    <w:p>
      <w:pPr>
        <w:pStyle w:val="ListParagraph"/>
        <w:numPr>
          <w:ilvl w:val="0"/>
          <w:numId w:val="3"/>
        </w:numPr>
        <w:spacing w:after="60"/>
      </w:pPr>
      <w:r>
        <w:rPr>
          <w:b/>
          <w:bCs/>
          <w:i w:val="false"/>
          <w:iCs w:val="false"/>
        </w:rPr>
        <w:t xml:space="preserve">Compute-pool parity</w:t>
      </w:r>
      <w:r>
        <w:rPr>
          <w:b w:val="false"/>
          <w:bCs w:val="false"/>
          <w:i w:val="false"/>
          <w:iCs w:val="false"/>
        </w:rPr>
        <w:t xml:space="preserve"> — the compute-capital pool taxed like domestic capital (26.7 percent,</w:t>
      </w:r>
    </w:p>
    <w:p>
      <w:pPr>
        <w:spacing w:after="120"/>
      </w:pPr>
      <w:r>
        <w:rPr>
          <w:b w:val="false"/>
          <w:bCs w:val="false"/>
          <w:i w:val="false"/>
          <w:iCs w:val="false"/>
        </w:rPr>
        <w:t xml:space="preserve">the Windfall capital ETR) instead of the 5 percent post-TCJA effective rate.</w:t>
      </w:r>
    </w:p>
    <w:p>
      <w:pPr>
        <w:spacing w:after="120"/>
      </w:pPr>
      <w:r>
        <w:rPr>
          <w:b w:val="false"/>
          <w:bCs w:val="false"/>
          <w:i w:val="false"/>
          <w:iCs w:val="false"/>
        </w:rPr>
        <w:t xml:space="preserve">Scenarios ship with the robot tax at zero deliberately. The separation keeps the question clean: Section 7 reports what each world does to the budget; Section 8 reports what policy recovers.</w:t>
      </w:r>
    </w:p>
    <w:p>
      <w:r>
        <w:br w:type="page"/>
      </w:r>
    </w:p>
    <w:p>
      <w:pPr>
        <w:pStyle w:val="Heading1"/>
      </w:pPr>
      <w:r>
        <w:t xml:space="preserve">7. Findings: twelve worlds</w:t>
      </w:r>
    </w:p>
    <w:p>
      <w:pPr>
        <w:spacing w:after="120"/>
      </w:pPr>
      <w:r>
        <w:rPr>
          <w:b w:val="false"/>
          <w:bCs w:val="false"/>
          <w:i w:val="false"/>
          <w:iCs w:val="false"/>
        </w:rPr>
        <w:t xml:space="preserve">Each unit below is one scenario: the anchor its levers encode, its headline numbers, and the one thing it shows that the others do not. Dollar figures are nominal changes against the 2024 baseline; </w:t>
      </w:r>
      <w:r>
        <w:rPr>
          <w:b w:val="false"/>
          <w:bCs w:val="false"/>
          <w:i/>
          <w:iCs/>
        </w:rPr>
        <w:t xml:space="preserve">net fiscal impact</w:t>
      </w:r>
      <w:r>
        <w:rPr>
          <w:b w:val="false"/>
          <w:bCs w:val="false"/>
          <w:i w:val="false"/>
          <w:iCs w:val="false"/>
        </w:rPr>
        <w:t xml:space="preserve"> is the signed change in the federal balance and reconciles to the deficit by identity C6. Two small-multiples grids carry the paths and attributions for all twelve at once; the cross-scenario table and dot plot in Section 1.3 carry the levels. Per-year fiscal summaries, channel decompositions, and full lever rankings live in the artifact CSVs and the web application.</w:t>
      </w:r>
    </w:p>
    <w:p>
      <w:pPr>
        <w:spacing w:before="160"/>
        <w:jc w:val="center"/>
      </w:pPr>
      <w:r>
        <w:drawing>
          <wp:inline distT="0" distB="0" distL="0" distR="0">
            <wp:extent cx="5943600" cy="3409950"/>
            <wp:effectExtent t="0" r="0" b="0" l="0"/>
            <wp:docPr id="1" name="Figure 2 — Federal deficit change by scenario, 1000-draw Mon" descr="Figure 2 — Federal deficit change by scenario, 1000-draw Monte Carlo fans (P10–P90 and P25–P75 bands, median line, dashed base run). Axes are $B per year against years from scenario start, **scaled per panel**: horizons run eight to twenty years and final-year deficits span three orders of magnitude, so the grid compares path *shape*. Levels are in the cross-scenario table." title="Figure 2 — Federal deficit change by scenario, 1000-draw Monte Carlo fans (P10–P90 and P25–P75 bands, median line, dashed base run). Axes are $B per year against years from scenario start, **scaled per panel**: horizons run eight to twenty years and final-year deficits span three orders of magnitude, so the grid compares path *shape*. Levels are in the cross-scenario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409950"/>
                    </a:xfrm>
                    <a:prstGeom prst="rect">
                      <a:avLst/>
                    </a:prstGeom>
                  </pic:spPr>
                </pic:pic>
              </a:graphicData>
            </a:graphic>
          </wp:inline>
        </w:drawing>
      </w:r>
    </w:p>
    <w:p>
      <w:pPr>
        <w:pStyle w:val="Caption"/>
        <w:spacing w:after="160"/>
        <w:jc w:val="center"/>
      </w:pPr>
      <w:r>
        <w:t xml:space="preserve">Figure 2 — Federal deficit change by scenario, 1000-draw Monte Carlo fans (P10–P90 and P25–P75 bands, median line, dashed base run). Axes are $B per year against years from scenario start, **scaled per panel**: horizons run eight to twenty years and final-year deficits span three orders of magnitude, so the grid compares path *shape*. Levels are in the cross-scenario table.</w:t>
      </w:r>
    </w:p>
    <w:p>
      <w:pPr>
        <w:spacing w:before="160"/>
        <w:jc w:val="center"/>
      </w:pPr>
      <w:r>
        <w:drawing>
          <wp:inline distT="0" distB="0" distL="0" distR="0">
            <wp:extent cx="5943600" cy="4810125"/>
            <wp:effectExtent t="0" r="0" b="0" l="0"/>
            <wp:docPr id="1" name="Figure 3 — Deficit attribution by scenario: Spearman rank co" descr="Figure 3 — Deficit attribution by scenario: Spearman rank correlation of each perturbed lever with the final-year deficit change, top six levers per scenario. Which assumptions matter is itself scenario-dependent — that dependence is the figure's content." title="Figure 3 — Deficit attribution by scenario: Spearman rank correlation of each perturbed lever with the final-year deficit change, top six levers per scenario. Which assumptions matter is itself scenario-dependent — that dependence is the figure's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810125"/>
                    </a:xfrm>
                    <a:prstGeom prst="rect">
                      <a:avLst/>
                    </a:prstGeom>
                  </pic:spPr>
                </pic:pic>
              </a:graphicData>
            </a:graphic>
          </wp:inline>
        </w:drawing>
      </w:r>
    </w:p>
    <w:p>
      <w:pPr>
        <w:pStyle w:val="Caption"/>
        <w:spacing w:after="160"/>
        <w:jc w:val="center"/>
      </w:pPr>
      <w:r>
        <w:t xml:space="preserve">Figure 3 — Deficit attribution by scenario: Spearman rank correlation of each perturbed lever with the final-year deficit change, top six levers per scenario. Which assumptions matter is itself scenario-dependent — that dependence is the figure's content.</w:t>
      </w:r>
    </w:p>
    <w:p>
      <w:pPr>
        <w:spacing w:after="120"/>
      </w:pPr>
      <w:r>
        <w:rPr>
          <w:b w:val="false"/>
          <w:bCs w:val="false"/>
          <w:i w:val="false"/>
          <w:iCs w:val="false"/>
        </w:rPr>
        <w:t xml:space="preserve">A word on what the bands are — and are not. The Monte Carlo perturbs each lever independently by ±15 percent around its scenario setting, so a band measures </w:t>
      </w:r>
      <w:r>
        <w:rPr>
          <w:b/>
          <w:bCs/>
          <w:i w:val="false"/>
          <w:iCs w:val="false"/>
        </w:rPr>
        <w:t xml:space="preserve">robustness to lever mis-calibration within a world</w:t>
      </w:r>
      <w:r>
        <w:rPr>
          <w:b w:val="false"/>
          <w:bCs w:val="false"/>
          <w:i w:val="false"/>
          <w:iCs w:val="false"/>
        </w:rPr>
        <w:t xml:space="preserve">: how wrong the headline could be if each anchor is somewhat off. It is not a calibrated probability interval — the perturbation spread is a convention, not an estimated distribution. The model's honest uncertainty statement is the </w:t>
      </w:r>
      <w:r>
        <w:rPr>
          <w:b/>
          <w:bCs/>
          <w:i w:val="false"/>
          <w:iCs w:val="false"/>
        </w:rPr>
        <w:t xml:space="preserve">spread across the twelve scenarios</w:t>
      </w:r>
      <w:r>
        <w:rPr>
          <w:b w:val="false"/>
          <w:bCs w:val="false"/>
          <w:i w:val="false"/>
          <w:iCs w:val="false"/>
        </w:rPr>
        <w:t xml:space="preserve"> (the cross-scenario table and comparison dot plot in Section 1.3), which is driven by genuinely contested quantities: how much work AI can do, how fast firms adopt it, and whether the labor market heals or scars. Which of those quantities matter </w:t>
      </w:r>
      <w:r>
        <w:rPr>
          <w:b w:val="false"/>
          <w:bCs w:val="false"/>
          <w:i/>
          <w:iCs/>
        </w:rPr>
        <w:t xml:space="preserve">anywhere</w:t>
      </w:r>
      <w:r>
        <w:rPr>
          <w:b w:val="false"/>
          <w:bCs w:val="false"/>
          <w:i w:val="false"/>
          <w:iCs w:val="false"/>
        </w:rPr>
        <w:t xml:space="preserve"> in the lever space — not just near a preset — is the subject of the global screening in Section 7.13.</w:t>
      </w:r>
    </w:p>
    <w:p>
      <w:pPr>
        <w:spacing w:after="120"/>
      </w:pPr>
      <w:r>
        <w:rPr>
          <w:b w:val="false"/>
          <w:bCs w:val="false"/>
          <w:i w:val="false"/>
          <w:iCs w:val="false"/>
        </w:rPr>
        <w:t xml:space="preserve">Two structural features of the set are visible before any individual world. First, </w:t>
      </w:r>
      <w:r>
        <w:rPr>
          <w:b/>
          <w:bCs/>
          <w:i w:val="false"/>
          <w:iCs w:val="false"/>
        </w:rPr>
        <w:t xml:space="preserve">five of the twelve end with the federal balance better than baseline</w:t>
      </w:r>
      <w:r>
        <w:rPr>
          <w:b w:val="false"/>
          <w:bCs w:val="false"/>
          <w:i w:val="false"/>
          <w:iCs w:val="false"/>
        </w:rPr>
        <w:t xml:space="preserve">, and three of those are cumulative paydowns across the whole horizon: where displacement is modest and the labor market functions, capital-side recoveries do overtake labor-side losses inside a decade. The fiscal problem is not automatic. Second, the twelve do not spread evenly. They cluster — final-year deficit changes either sit below roughly $628 billion or above $2,284 billion, with nothing anchored in between. No published scenario we could find lands in the middle; the literature offers manageable worlds and regime changes, and no gradual path between them.</w:t>
      </w:r>
    </w:p>
    <w:p>
      <w:pPr>
        <w:pStyle w:val="Heading2"/>
      </w:pPr>
      <w:r>
        <w:t xml:space="preserve">7.1 Acemoglu — Modest AI</w:t>
      </w:r>
    </w:p>
    <w:p>
      <w:pPr>
        <w:spacing w:after="120"/>
      </w:pPr>
      <w:r>
        <w:rPr>
          <w:b w:val="false"/>
          <w:bCs w:val="false"/>
          <w:i w:val="false"/>
          <w:iCs w:val="false"/>
        </w:rPr>
        <w:t xml:space="preserve">His ten-year upper bounds at face value: a fifth of the wage bill exposed, 23 percent of that profitably automatable within the decade, a 0.15 productivity pass-through from his own TFP arithmetic, no wage response, and a normal labor market. Employment falls 3.0 percent by year ten and the federal balance moves by +12.3 billion dollars — </w:t>
      </w:r>
      <w:r>
        <w:rPr>
          <w:b w:val="false"/>
          <w:bCs w:val="false"/>
          <w:i/>
          <w:iCs/>
        </w:rPr>
        <w:t xml:space="preserve">favorably</w:t>
      </w:r>
      <w:r>
        <w:rPr>
          <w:b w:val="false"/>
          <w:bCs w:val="false"/>
          <w:i w:val="false"/>
          <w:iCs w:val="false"/>
        </w:rPr>
        <w:t xml:space="preserve">. That sign is the finding: given modest displacement and a functioning labor market, the capital-side recoveries outgrow the shrinking labor losses within a decade. Cumulative new debt is 28 billion against a $1,833 billion baseline deficit. This scenario sets the floor of the set: inside Acemoglu's bounds the fiscal system barely notices.</w:t>
      </w:r>
    </w:p>
    <w:p>
      <w:pPr>
        <w:pStyle w:val="Heading2"/>
      </w:pPr>
      <w:r>
        <w:t xml:space="preserve">7.2 Brynjolfsson — Augmentation</w:t>
      </w:r>
    </w:p>
    <w:p>
      <w:pPr>
        <w:spacing w:after="120"/>
      </w:pPr>
      <w:r>
        <w:rPr>
          <w:b w:val="false"/>
          <w:bCs w:val="false"/>
          <w:i w:val="false"/>
          <w:iCs w:val="false"/>
        </w:rPr>
        <w:t xml:space="preserve">AI complements more than it substitutes: adoption starts at the ~2 percent cumulative pace early payroll data actually measured, survivors capture a fifth of the surplus with positive wage complementarity, scarring is mild, and productivity pass-through is strong. Employment falls 6.0 percent, the final-year balance changes by +72.9 billion dollars, and the cumulative debt change is -219 billion — a net </w:t>
      </w:r>
      <w:r>
        <w:rPr>
          <w:b w:val="false"/>
          <w:bCs w:val="false"/>
          <w:i/>
          <w:iCs/>
        </w:rPr>
        <w:t xml:space="preserve">paydown</w:t>
      </w:r>
      <w:r>
        <w:rPr>
          <w:b w:val="false"/>
          <w:bCs w:val="false"/>
          <w:i w:val="false"/>
          <w:iCs w:val="false"/>
        </w:rPr>
        <w:t xml:space="preserve">. The distinctive mechanism is the survivor-wage channel doing real fiscal work: raises re-taxed at full marginal rates rebuild part of the base displacement erodes. It is the one channel by which the labor share of revenue defends itself, and this is the world built to show it working.</w:t>
      </w:r>
    </w:p>
    <w:p>
      <w:pPr>
        <w:pStyle w:val="Heading2"/>
      </w:pPr>
      <w:r>
        <w:t xml:space="preserve">7.3 Windfall Trust — Medium</w:t>
      </w:r>
    </w:p>
    <w:p>
      <w:pPr>
        <w:spacing w:after="120"/>
      </w:pPr>
      <w:r>
        <w:rPr>
          <w:b w:val="false"/>
          <w:bCs w:val="false"/>
          <w:i w:val="false"/>
          <w:iCs w:val="false"/>
        </w:rPr>
        <w:t xml:space="preserve">The comparator, and the only scenario whose target comes from another model's published output: 60 percent of jobs exposed, half of exposed work automated in a decade, re-employment at 70 percent of prior wage, value capture split evenly between firms and consumers, capital at their 26.7 percent effective rate. Employment falls 21 percent, the final-year balance deteriorates by 219 billion dollars, and cumulative debt reaches 1,858 billion. The ten-year total-revenue change of -1.38 percent is what Section 9.1 sets against their −2.8 percent. Note the composition: the state consumption-tax line barely moves even as prices fall — the taxable-to-consumer-surplus channel is quantitatively real and almost entirely untaxed.</w:t>
      </w:r>
    </w:p>
    <w:p>
      <w:pPr>
        <w:pStyle w:val="Caption"/>
        <w:spacing w:after="60" w:before="160"/>
      </w:pPr>
      <w:r>
        <w:t xml:space="preserve">Table 2 — Windfall Trust — Medium: fiscal summary ($B, condensed years; the full table and the four-channel decomposition are in Appendix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capital gains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SWF profit share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VAT</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-48.7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-79.7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-93.3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-739.0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510.9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141.6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924.4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-218.7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-1,663.4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4,960.6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4,934.1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4,889.5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1,989.5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1,857.8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138.4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-569.5</w:t>
            </w:r>
          </w:p>
        </w:tc>
      </w:tr>
    </w:tbl>
    <w:p>
      <w:pPr>
        <w:spacing w:after="120"/>
      </w:pPr>
    </w:p>
    <w:p>
      <w:pPr>
        <w:pStyle w:val="Heading2"/>
      </w:pPr>
      <w:r>
        <w:t xml:space="preserve">7.4 Autor et al. — China-shock dynamics</w:t>
      </w:r>
    </w:p>
    <w:p>
      <w:pPr>
        <w:spacing w:after="120"/>
      </w:pPr>
      <w:r>
        <w:rPr>
          <w:b w:val="false"/>
          <w:bCs w:val="false"/>
          <w:i w:val="false"/>
          <w:iCs w:val="false"/>
        </w:rPr>
        <w:t xml:space="preserve">The displacement here is </w:t>
      </w:r>
      <w:r>
        <w:rPr>
          <w:b w:val="false"/>
          <w:bCs w:val="false"/>
          <w:i/>
          <w:iCs/>
        </w:rPr>
        <w:t xml:space="preserve">smaller</w:t>
      </w:r>
      <w:r>
        <w:rPr>
          <w:b w:val="false"/>
          <w:bCs w:val="false"/>
          <w:i w:val="false"/>
          <w:iCs w:val="false"/>
        </w:rPr>
        <w:t xml:space="preserve"> than Windfall-Medium's — 40 percent of a moderately exposed economy over fifteen years — but the labor market is the one Autor, Dorn, and Hanson actually measured: reabsorption at 0.075 per year, labor-force exit the dominant margin, a 25 percent permanent scar, and demand amplification at the no-monetary-offset end of the evidence. Nothing heals, so everything accumulates: employment ends 19 percent down, the final-year deficit change is 628 billion dollars, induced layoffs stand at 6.6 million, and cumulative debt reaches 5,063 billion. This is the mechanism scenario: it converts a moderate technology shock into a large fiscal one purely through adjustment failure.</w:t>
      </w:r>
    </w:p>
    <w:p>
      <w:pPr>
        <w:pStyle w:val="Heading2"/>
      </w:pPr>
      <w:r>
        <w:t xml:space="preserve">7.5 Korinek–Suh — AGI in 20 years</w:t>
      </w:r>
    </w:p>
    <w:p>
      <w:pPr>
        <w:spacing w:after="120"/>
      </w:pPr>
      <w:r>
        <w:rPr>
          <w:b w:val="false"/>
          <w:bCs w:val="false"/>
          <w:i w:val="false"/>
          <w:iCs w:val="false"/>
        </w:rPr>
        <w:t xml:space="preserve">Full automation, slowly: over twenty years the ceiling climbs to one, wages collapse ahead of it, and capital keeps 80 percent of the net saving. Employment ends 100 percent down, the deficit change is 2,284 billion dollars per year, and cumulative new debt is 38,227 billion — the largest in the set, because twenty years of near-total automation is simply more years of it. Real output ends 60 percent above baseline, which is the point: </w:t>
      </w:r>
      <w:r>
        <w:rPr>
          <w:b/>
          <w:bCs/>
          <w:i w:val="false"/>
          <w:iCs w:val="false"/>
        </w:rPr>
        <w:t xml:space="preserve">the fiscal crisis and the abundance are simultaneous</w:t>
      </w:r>
      <w:r>
        <w:rPr>
          <w:b w:val="false"/>
          <w:bCs w:val="false"/>
          <w:i w:val="false"/>
          <w:iCs w:val="false"/>
        </w:rPr>
        <w:t xml:space="preserve">, because the tax system is plumbed to wages while the abundance arrives as profit, price declines, and capital income. The states close 605 billion in the final year alone, half of it by spending cuts that feed back into demand.</w:t>
      </w:r>
    </w:p>
    <w:p>
      <w:pPr>
        <w:pStyle w:val="Heading2"/>
      </w:pPr>
      <w:r>
        <w:t xml:space="preserve">7.6 Korinek–Suh — AGI in 5 years</w:t>
      </w:r>
    </w:p>
    <w:p>
      <w:pPr>
        <w:spacing w:after="120"/>
      </w:pPr>
      <w:r>
        <w:rPr>
          <w:b w:val="false"/>
          <w:bCs w:val="false"/>
          <w:i w:val="false"/>
          <w:iCs w:val="false"/>
        </w:rPr>
        <w:t xml:space="preserve">The same destination at year five — linear to full automation, flat thereafter, over a ten-year fiscal window — with crash robotics build-out, mass labor-force exit, and crisis-regime demand. Employment effectively ceases to be the tax base: down 100 percent, final-year deficit change 3,091 billion dollars, cumulative debt 25,961 billion, against a GDP simultaneously 60 percent larger in real terms. The distinctive result is </w:t>
      </w:r>
      <w:r>
        <w:rPr>
          <w:b w:val="false"/>
          <w:bCs w:val="false"/>
          <w:i/>
          <w:iCs/>
        </w:rPr>
        <w:t xml:space="preserve">insensitivity</w:t>
      </w:r>
      <w:r>
        <w:rPr>
          <w:b w:val="false"/>
          <w:bCs w:val="false"/>
          <w:i w:val="false"/>
          <w:iCs w:val="false"/>
        </w:rPr>
        <w:t xml:space="preserve">: the final-year P10–P90 band spans 2,755 to 3,369 billion, so the best decile of this world is worse than the worst decile of everything outside the AGI-and-takeoff class. It is also where the state caps bind hardest — 38 states at their ceiling in the final year.</w:t>
      </w:r>
    </w:p>
    <w:p>
      <w:pPr>
        <w:pStyle w:val="Heading2"/>
      </w:pPr>
      <w:r>
        <w:t xml:space="preserve">7.7 AI 2027 — Fast takeoff</w:t>
      </w:r>
    </w:p>
    <w:p>
      <w:pPr>
        <w:spacing w:after="120"/>
      </w:pPr>
      <w:r>
        <w:rPr>
          <w:b w:val="false"/>
          <w:bCs w:val="false"/>
          <w:i w:val="false"/>
          <w:iCs w:val="false"/>
        </w:rPr>
        <w:t xml:space="preserve">The AI Futures shape: cognition maxes almost immediately, robots ramp over three years of crash build-out, and nearly a third of the saved bill goes to compute. The path starts at the scenario's own 20-percent-AI milestone and saturates at year five, three years inside the eight-year window. Employment falls 100 percent and cumulative debt reaches 15,786 billion. The finding is </w:t>
      </w:r>
      <w:r>
        <w:rPr>
          <w:b w:val="false"/>
          <w:bCs w:val="false"/>
          <w:i/>
          <w:iCs/>
        </w:rPr>
        <w:t xml:space="preserve">where</w:t>
      </w:r>
      <w:r>
        <w:rPr>
          <w:b w:val="false"/>
          <w:bCs w:val="false"/>
          <w:i w:val="false"/>
          <w:iCs w:val="false"/>
        </w:rPr>
        <w:t xml:space="preserve"> the base lands, not how much moves: the heavy automation-input bill shrinks the net saving available for profit — and so the corporate offset — while swelling a compute pool taxed at 5 percent. Fast takeoff routes an unusually large share of the migrated base to the lowest-taxed destination, which is why compute parity binds hardest here (Section 8).</w:t>
      </w:r>
    </w:p>
    <w:p>
      <w:pPr>
        <w:pStyle w:val="Heading2"/>
      </w:pPr>
      <w:r>
        <w:t xml:space="preserve">7.8 AI 2040 — Plan A (The Deal)</w:t>
      </w:r>
    </w:p>
    <w:p>
      <w:pPr>
        <w:spacing w:after="120"/>
      </w:pPr>
      <w:r>
        <w:rPr>
          <w:b w:val="false"/>
          <w:bCs w:val="false"/>
          <w:i w:val="false"/>
          <w:iCs w:val="false"/>
        </w:rPr>
        <w:t xml:space="preserve">The AI Futures Project's managed transition: a 2029 US–China deal slows the takeoff, 95 percent of tasks are automatable by 2035–36, employment falls from 62 to 12 percent over 2032–2040. The adoption path is knotted to their published trajectory — 20 percent of value-weighted labor by 2032, 85 percent by 2035 — so its shape is theirs. Employment ends 100 percent down over fourteen years, the final-year deficit change is 2,318 billion dollars, cumulative debt 18,198 billion. What earns it a place is the </w:t>
      </w:r>
      <w:r>
        <w:rPr>
          <w:b w:val="false"/>
          <w:bCs w:val="false"/>
          <w:i/>
          <w:iCs/>
        </w:rPr>
        <w:t xml:space="preserve">exclusion</w:t>
      </w:r>
      <w:r>
        <w:rPr>
          <w:b w:val="false"/>
          <w:bCs w:val="false"/>
          <w:i w:val="false"/>
          <w:iCs w:val="false"/>
        </w:rPr>
        <w:t xml:space="preserve">: their permit-fee regime and Citizen's Dividend are policy, not world state, so this prices Plan A's world under </w:t>
      </w:r>
      <w:r>
        <w:rPr>
          <w:b/>
          <w:bCs/>
          <w:i w:val="false"/>
          <w:iCs w:val="false"/>
        </w:rPr>
        <w:t xml:space="preserve">current US law</w:t>
      </w:r>
      <w:r>
        <w:rPr>
          <w:b w:val="false"/>
          <w:bCs w:val="false"/>
          <w:i w:val="false"/>
          <w:iCs w:val="false"/>
        </w:rPr>
        <w:t xml:space="preserve">. The gap it reports measures the hole their policy was designed to fill.</w:t>
      </w:r>
    </w:p>
    <w:p>
      <w:pPr>
        <w:pStyle w:val="Heading2"/>
      </w:pPr>
      <w:r>
        <w:t xml:space="preserve">7.9 AI 2040 — Plan D (The Race)</w:t>
      </w:r>
    </w:p>
    <w:p>
      <w:pPr>
        <w:spacing w:after="120"/>
      </w:pPr>
      <w:r>
        <w:rPr>
          <w:b w:val="false"/>
          <w:bCs w:val="false"/>
          <w:i w:val="false"/>
          <w:iCs w:val="false"/>
        </w:rPr>
        <w:t xml:space="preserve">The same authors' no-deal branch — identical technology, opposite governance, and so a controlled comparison. Superintelligence in early 2031, then integration "as fast as the markets and laws allow": the path holds at its starting level through year four, because nothing integrates before takeoff, then runs to full automation by year seven — the steepest ramp in the set. Employment ends 100 percent down, the final-year deficit change is 2,859 billion dollars, and 45 states hit their rate-hike caps. The comparison is the finding: the deferred-then-vertical path buys four quiet years and spends them at once, reaching a </w:t>
      </w:r>
      <w:r>
        <w:rPr>
          <w:b w:val="false"/>
          <w:bCs w:val="false"/>
          <w:i/>
          <w:iCs/>
        </w:rPr>
        <w:t xml:space="preserve">worse</w:t>
      </w:r>
      <w:r>
        <w:rPr>
          <w:b w:val="false"/>
          <w:bCs w:val="false"/>
          <w:i w:val="false"/>
          <w:iCs w:val="false"/>
        </w:rPr>
        <w:t xml:space="preserve"> annual deficit than Plan A on a horizon four years shorter. Speed, not eventual extent, is what the fiscal system cannot absorb.</w:t>
      </w:r>
    </w:p>
    <w:p>
      <w:pPr>
        <w:pStyle w:val="Heading2"/>
      </w:pPr>
      <w:r>
        <w:t xml:space="preserve">7.10 Karger et al. — Expert survey, rapid</w:t>
      </w:r>
    </w:p>
    <w:p>
      <w:pPr>
        <w:spacing w:after="120"/>
      </w:pPr>
      <w:r>
        <w:rPr>
          <w:b w:val="false"/>
          <w:bCs w:val="false"/>
          <w:i w:val="false"/>
          <w:iCs w:val="false"/>
        </w:rPr>
        <w:t xml:space="preserve">The NBER expert survey's rapid branch at its elicited 14 percent probability — the first preset anchored to an elicited </w:t>
      </w:r>
      <w:r>
        <w:rPr>
          <w:b w:val="false"/>
          <w:bCs w:val="false"/>
          <w:i/>
          <w:iCs/>
        </w:rPr>
        <w:t xml:space="preserve">distribution</w:t>
      </w:r>
      <w:r>
        <w:rPr>
          <w:b w:val="false"/>
          <w:bCs w:val="false"/>
          <w:i w:val="false"/>
          <w:iCs w:val="false"/>
        </w:rPr>
        <w:t xml:space="preserve"> rather than an authored scenario, and carrying the survey's signature: unemployment stays at 5–6 percent because displacement exits the labor force instead of joining the unemployment rolls. Employment falls 6.1 percent; the final-year balance moves by +15.5 billion dollars while the cumulative change is -85 billion — a world that costs money on the way through and ends better than it started. It is also the first to switch on the Baumol pull: the work humans still do gets expensive as everything else gets cheap, which is how the survey's rising median income reaches labor in this accounting.</w:t>
      </w:r>
    </w:p>
    <w:p>
      <w:pPr>
        <w:pStyle w:val="Heading2"/>
      </w:pPr>
      <w:r>
        <w:t xml:space="preserve">7.11 Metaculus — Crowd median, 2035</w:t>
      </w:r>
    </w:p>
    <w:p>
      <w:pPr>
        <w:spacing w:after="120"/>
      </w:pPr>
      <w:r>
        <w:rPr>
          <w:b w:val="false"/>
          <w:bCs w:val="false"/>
          <w:i w:val="false"/>
          <w:iCs w:val="false"/>
        </w:rPr>
        <w:t xml:space="preserve">The Labor Automation Hub's community medians: employment roughly 7.5 percent below the no-AI baseline by 2035, labor share down four to five points, survivor wages up — displacement without a doom loop, and the only anchor here that is a live, revisable forecast rather than a fixed publication. Employment falls 7.3 percent, the final-year balance moves by +69.3 billion dollars, and cumulative debt changes by -152 billion. It is the only scenario running </w:t>
      </w:r>
      <w:r>
        <w:rPr>
          <w:b/>
          <w:bCs/>
          <w:i w:val="false"/>
          <w:iCs w:val="false"/>
        </w:rPr>
        <w:t xml:space="preserve">both</w:t>
      </w:r>
      <w:r>
        <w:rPr>
          <w:b w:val="false"/>
          <w:bCs w:val="false"/>
          <w:i w:val="false"/>
          <w:iCs w:val="false"/>
        </w:rPr>
        <w:t xml:space="preserve"> refuge-wage forces — a Baumol pull and a crowding pressure — because that is what the crowd's simultaneous forecasts of falling labor share and rising real wages require: the two reconcile only if the gains concentrate in the work that stays human.</w:t>
      </w:r>
    </w:p>
    <w:p>
      <w:pPr>
        <w:pStyle w:val="Heading2"/>
      </w:pPr>
      <w:r>
        <w:t xml:space="preserve">7.12 OpenAI — Jobs transition framework</w:t>
      </w:r>
    </w:p>
    <w:p>
      <w:pPr>
        <w:spacing w:after="120"/>
      </w:pPr>
      <w:r>
        <w:rPr>
          <w:b w:val="false"/>
          <w:bCs w:val="false"/>
          <w:i w:val="false"/>
          <w:iCs w:val="false"/>
        </w:rPr>
        <w:t xml:space="preserve">Their four archetypes read as a decade of displacement pressure: the 18 percent high-risk cohort plus partial staffing compression where jobs reorganize. Their framing is explicit that this maps pressure, not job losses, and the preset honors that by pairing substantial cognitive exposure with the healthiest labor market in the set — reabsorption 0.55, the grow-with-AI bucket absorbing — and a physical channel near zero. Employment falls 8.6 percent, </w:t>
      </w:r>
      <w:r>
        <w:rPr>
          <w:b w:val="false"/>
          <w:bCs w:val="false"/>
          <w:i/>
          <w:iCs/>
        </w:rPr>
        <w:t xml:space="preserve">more</w:t>
      </w:r>
      <w:r>
        <w:rPr>
          <w:b w:val="false"/>
          <w:bCs w:val="false"/>
          <w:i w:val="false"/>
          <w:iCs w:val="false"/>
        </w:rPr>
        <w:t xml:space="preserve"> than in either survey-anchored world, yet the final-year balance improves by +114 billion dollars and the horizon is a cumulative paydown of +241 billion, the largest here. That inversion is the cleanest demonstration of the recurring result: </w:t>
      </w:r>
      <w:r>
        <w:rPr>
          <w:b/>
          <w:bCs/>
          <w:i w:val="false"/>
          <w:iCs w:val="false"/>
        </w:rPr>
        <w:t xml:space="preserve">how the labor market responds moves the fiscal outcome more than how much work is automated.</w:t>
      </w:r>
      <w:r>
        <w:rPr>
          <w:b w:val="false"/>
          <w:bCs w:val="false"/>
          <w:i w:val="false"/>
          <w:iCs w:val="false"/>
        </w:rPr>
        <w:t xml:space="preserve"> The same displacement met by the China-Shock labor market is a crisis.</w:t>
      </w:r>
    </w:p>
    <w:p>
      <w:pPr>
        <w:pStyle w:val="Heading2"/>
      </w:pPr>
      <w:r>
        <w:t xml:space="preserve">7.13 The three theses, across worlds</w:t>
      </w:r>
    </w:p>
    <w:p>
      <w:pPr>
        <w:spacing w:after="120"/>
      </w:pPr>
      <w:r>
        <w:rPr>
          <w:b/>
          <w:bCs/>
          <w:i w:val="false"/>
          <w:iCs w:val="false"/>
        </w:rPr>
        <w:t xml:space="preserve">Base migration.</w:t>
      </w:r>
      <w:r>
        <w:rPr>
          <w:b w:val="false"/>
          <w:bCs w:val="false"/>
          <w:i w:val="false"/>
          <w:iCs w:val="false"/>
        </w:rPr>
        <w:t xml:space="preserve"> In every scenario with substantial displacement, the channel decomposition (the four-channel view for the Windfall comparator is in Appendix C) shows the same anatomy: labor taxes lost at combined marginal rates, partially recovered through capital-side channels at roughly half those rates or less, with the consumer-surplus channel — price declines — recovered at roughly two cents on the dollar through state consumption taxes. The shareholder leg completes the capital-side picture and is the smallest of them: in the five-year AGI world the windfall capital-gains line raises 28.9 billion dollars in the final year against a standing unrealized stock of $3,656 billion — the accrued equity claim the automation surplus creates is real and large, and current law reaches almost none of it inside the fiscal window. Deferral, the taxable-holder share, and step-up at death do that work, and pricing the channel rather than assuming it is what licenses the conclusion that the equity windfall is fiscally near-mute (Section 4.5).</w:t>
      </w:r>
    </w:p>
    <w:p>
      <w:pPr>
        <w:spacing w:after="120"/>
      </w:pPr>
      <w:r>
        <w:rPr>
          <w:b/>
          <w:bCs/>
          <w:i w:val="false"/>
          <w:iCs w:val="false"/>
        </w:rPr>
        <w:t xml:space="preserve">Revenue vs. employment.</w:t>
      </w:r>
      <w:r>
        <w:rPr>
          <w:b w:val="false"/>
          <w:bCs w:val="false"/>
          <w:i w:val="false"/>
          <w:iCs w:val="false"/>
        </w:rPr>
        <w:t xml:space="preserve"> Because exposure skews above-median-wage and the schedules are progressive, the percentage revenue loss exceeds the percentage employment loss early in every scenario; the wedge narrows only where survivor raises rebuild the base (the augmentation and crowd-median worlds) and widens where scarring is deep (the grind).</w:t>
      </w:r>
    </w:p>
    <w:p>
      <w:pPr>
        <w:spacing w:after="120"/>
      </w:pPr>
      <w:r>
        <w:rPr>
          <w:b/>
          <w:bCs/>
          <w:i w:val="false"/>
          <w:iCs w:val="false"/>
        </w:rPr>
        <w:t xml:space="preserve">The state amplifier.</w:t>
      </w:r>
      <w:r>
        <w:rPr>
          <w:b w:val="false"/>
          <w:bCs w:val="false"/>
          <w:i w:val="false"/>
          <w:iCs w:val="false"/>
        </w:rPr>
        <w:t xml:space="preserve"> The federal government's deficit is a shock absorber; the states' balance requirement is a shock </w:t>
      </w:r>
      <w:r>
        <w:rPr>
          <w:b w:val="false"/>
          <w:bCs w:val="false"/>
          <w:i/>
          <w:iCs/>
        </w:rPr>
        <w:t xml:space="preserve">transmitter</w:t>
      </w:r>
      <w:r>
        <w:rPr>
          <w:b w:val="false"/>
          <w:bCs w:val="false"/>
          <w:i w:val="false"/>
          <w:iCs w:val="false"/>
        </w:rPr>
        <w:t xml:space="preserve">. Across scenarios, state gaps scale with displacement, the rate-hike caps bind in the severe worlds, and every dollar of forced spending cuts re-enters the demand channel as first-round-multiplier withdrawal — visible in the induced-layoff stocks and in the difference between scenarios with and without state stress in their configuration.</w:t>
      </w:r>
    </w:p>
    <w:p>
      <w:pPr>
        <w:pStyle w:val="Heading2"/>
      </w:pPr>
      <w:r>
        <w:t xml:space="preserve">7.14 Global sensitivity screening</w:t>
      </w:r>
    </w:p>
    <w:p>
      <w:pPr>
        <w:spacing w:after="120"/>
      </w:pPr>
      <w:r>
        <w:rPr>
          <w:b w:val="false"/>
          <w:bCs w:val="false"/>
          <w:i w:val="false"/>
          <w:iCs w:val="false"/>
        </w:rPr>
        <w:t xml:space="preserve">The per-scenario bands above are deliberately local. To ask which assumptions matter </w:t>
      </w:r>
      <w:r>
        <w:rPr>
          <w:b w:val="false"/>
          <w:bCs w:val="false"/>
          <w:i/>
          <w:iCs/>
        </w:rPr>
        <w:t xml:space="preserve">anywhere</w:t>
      </w:r>
      <w:r>
        <w:rPr>
          <w:b w:val="false"/>
          <w:bCs w:val="false"/>
          <w:i w:val="false"/>
          <w:iCs w:val="false"/>
        </w:rPr>
        <w:t xml:space="preserve"> — and where in the lever space the fiscal picture changes qualitatively — we sweep the whole space: a 10,000-point Latin hypercube over 26 lever dimensions spanning the full interface ranges (adoption ceilings from 5 to 100 percent of exposed work, reabsorption from frozen to near-frictionless, demand amplification from none to crisis-regime, and the policy dials from off to their maxima), each point run at a common ten-year horizon. Every one of the 10,000 runs passes the full conservation battery — the C1–C8 identities hold at every sampled corner of the space (0 failures) — and an employment-oscillation screen (0 runs flagged). A dedicated 400-point batch at a twenty-year horizon, concentrated in the near-total-automation corner that produced the demand-controller artifact fixed during development (high adoption, hot demand feedback, cold re-employment), regression-guards that fix: no sampled path shows more than 0 above-threshold employment reversal, against a flag threshold of two.</w:t>
      </w:r>
    </w:p>
    <w:p>
      <w:pPr>
        <w:spacing w:after="120"/>
      </w:pPr>
      <w:r>
        <w:rPr>
          <w:b/>
          <w:bCs/>
          <w:i w:val="false"/>
          <w:iCs w:val="false"/>
        </w:rPr>
        <w:t xml:space="preserve">The regime map.</w:t>
      </w:r>
      <w:r>
        <w:rPr>
          <w:b w:val="false"/>
          <w:bCs w:val="false"/>
          <w:i w:val="false"/>
          <w:iCs w:val="false"/>
        </w:rPr>
        <w:t xml:space="preserve"> Classified by the final-year deficit change as a share of GDP, the global space splits into four regimes: the federal balance </w:t>
      </w:r>
      <w:r>
        <w:rPr>
          <w:b w:val="false"/>
          <w:bCs w:val="false"/>
          <w:i/>
          <w:iCs/>
        </w:rPr>
        <w:t xml:space="preserve">improves</w:t>
      </w:r>
      <w:r>
        <w:rPr>
          <w:b w:val="false"/>
          <w:bCs w:val="false"/>
          <w:i w:val="false"/>
          <w:iCs w:val="false"/>
        </w:rPr>
        <w:t xml:space="preserve"> in 6 percent of the space (survivor-wage and capital-recapture channels outrunning small displacement), worsens by under one percent of GDP in 11 percent, by one to three percent in 30 percent, and by more than three percent of GDP — fiscal stress on the scale of a permanent Great-Recession revenue shock — in 53 percent. State rate-hike caps bind somewhere along the path in 0.6 percent of the space. The twelve presets of this section were chosen before this sweep was run; the map confirms they span the regimes rather than clustering in one. The four shareholder-channel levers are not swept as dimensions: they are measured current-law constants riding at their shipped values in every run, so the sweep explores the worlds that create the equity claim, not alternative tax treatments of it.</w:t>
      </w:r>
    </w:p>
    <w:p>
      <w:pPr>
        <w:spacing w:before="160"/>
        <w:jc w:val="center"/>
      </w:pPr>
      <w:r>
        <w:drawing>
          <wp:inline distT="0" distB="0" distL="0" distR="0">
            <wp:extent cx="5943600" cy="3143250"/>
            <wp:effectExtent t="0" r="0" b="0" l="0"/>
            <wp:docPr id="1" name="Figure 4 — Global regime map: each point is one sampled worl" descr="Figure 4 — Global regime map: each point is one sampled world, positioned by the two strongest uncertainty drivers and colored by its final-year fiscal regime." title="Figure 4 — Global regime map: each point is one sampled world, positioned by the two strongest uncertainty drivers and colored by its final-year fiscal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143250"/>
                    </a:xfrm>
                    <a:prstGeom prst="rect">
                      <a:avLst/>
                    </a:prstGeom>
                  </pic:spPr>
                </pic:pic>
              </a:graphicData>
            </a:graphic>
          </wp:inline>
        </w:drawing>
      </w:r>
    </w:p>
    <w:p>
      <w:pPr>
        <w:pStyle w:val="Caption"/>
        <w:spacing w:after="160"/>
        <w:jc w:val="center"/>
      </w:pPr>
      <w:r>
        <w:t xml:space="preserve">Figure 4 — Global regime map: each point is one sampled world, positioned by the two strongest uncertainty drivers and colored by its final-year fiscal regime.</w:t>
      </w:r>
    </w:p>
    <w:p>
      <w:pPr>
        <w:spacing w:after="120"/>
      </w:pPr>
      <w:r>
        <w:rPr>
          <w:b/>
          <w:bCs/>
          <w:i w:val="false"/>
          <w:iCs w:val="false"/>
        </w:rPr>
        <w:t xml:space="preserve">The global tornado.</w:t>
      </w:r>
      <w:r>
        <w:rPr>
          <w:b w:val="false"/>
          <w:bCs w:val="false"/>
          <w:i w:val="false"/>
          <w:iCs w:val="false"/>
        </w:rPr>
        <w:t xml:space="preserve"> Rank correlations against the final-year deficit are computed per lever and reported on two panels — the </w:t>
      </w:r>
      <w:r>
        <w:rPr>
          <w:b w:val="false"/>
          <w:bCs w:val="false"/>
          <w:i/>
          <w:iCs/>
        </w:rPr>
        <w:t xml:space="preserve">uncertainty</w:t>
      </w:r>
      <w:r>
        <w:rPr>
          <w:b w:val="false"/>
          <w:bCs w:val="false"/>
          <w:i w:val="false"/>
          <w:iCs w:val="false"/>
        </w:rPr>
        <w:t xml:space="preserve"> dimensions (what the world does) separately from the </w:t>
      </w:r>
      <w:r>
        <w:rPr>
          <w:b w:val="false"/>
          <w:bCs w:val="false"/>
          <w:i/>
          <w:iCs/>
        </w:rPr>
        <w:t xml:space="preserve">policy</w:t>
      </w:r>
      <w:r>
        <w:rPr>
          <w:b w:val="false"/>
          <w:bCs w:val="false"/>
          <w:i w:val="false"/>
          <w:iCs w:val="false"/>
        </w:rPr>
        <w:t xml:space="preserve"> dimensions (what governments choose) — because the policy dollars are mechanically large: a maxed UBI dial moves trillions and would otherwise drown the attribution of genuine uncertainty. Among the uncertainty dimensions the strongest global driver is </w:t>
      </w:r>
      <w:r>
        <w:rPr>
          <w:rFonts w:ascii="Consolas" w:cs="Consolas" w:eastAsia="Consolas" w:hAnsi="Consolas"/>
          <w:b w:val="false"/>
          <w:bCs w:val="false"/>
          <w:i w:val="false"/>
          <w:iCs w:val="false"/>
        </w:rPr>
        <w:t xml:space="preserve">retained_profit_share</w:t>
      </w:r>
      <w:r>
        <w:rPr>
          <w:b w:val="false"/>
          <w:bCs w:val="false"/>
          <w:i w:val="false"/>
          <w:iCs w:val="false"/>
        </w:rPr>
        <w:t xml:space="preserve"> (ρ = -0.16); among policy dimensions it is </w:t>
      </w:r>
      <w:r>
        <w:rPr>
          <w:rFonts w:ascii="Consolas" w:cs="Consolas" w:eastAsia="Consolas" w:hAnsi="Consolas"/>
          <w:b w:val="false"/>
          <w:bCs w:val="false"/>
          <w:i w:val="false"/>
          <w:iCs w:val="false"/>
        </w:rPr>
        <w:t xml:space="preserve">ubi_annual</w:t>
      </w:r>
      <w:r>
        <w:rPr>
          <w:b w:val="false"/>
          <w:bCs w:val="false"/>
          <w:i w:val="false"/>
          <w:iCs w:val="false"/>
        </w:rPr>
        <w:t xml:space="preserve"> (ρ = +0.82). Alongside the rank correlation each lever carries a binned correlation ratio (η², a first-order Sobol proxy): agreement between the two indicates a monotone effect, while a high η² with a near-zero ρ flags the conditionally activated levers — a robotics lag matters only where physical feasibility is high, UBI recapture only where UBI is on — whose influence rank correlation alone understates.</w:t>
      </w:r>
    </w:p>
    <w:p>
      <w:pPr>
        <w:spacing w:before="160"/>
        <w:jc w:val="center"/>
      </w:pPr>
      <w:r>
        <w:drawing>
          <wp:inline distT="0" distB="0" distL="0" distR="0">
            <wp:extent cx="5943600" cy="4705350"/>
            <wp:effectExtent t="0" r="0" b="0" l="0"/>
            <wp:docPr id="1" name="Figure 5 — Global drivers of the final-year federal deficit " descr="Figure 5 — Global drivers of the final-year federal deficit across the whole lever space — uncertainty dimensions." title="Figure 5 — Global drivers of the final-year federal deficit across the whole lever space — uncertainty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705350"/>
                    </a:xfrm>
                    <a:prstGeom prst="rect">
                      <a:avLst/>
                    </a:prstGeom>
                  </pic:spPr>
                </pic:pic>
              </a:graphicData>
            </a:graphic>
          </wp:inline>
        </w:drawing>
      </w:r>
    </w:p>
    <w:p>
      <w:pPr>
        <w:pStyle w:val="Caption"/>
        <w:spacing w:after="160"/>
        <w:jc w:val="center"/>
      </w:pPr>
      <w:r>
        <w:t xml:space="preserve">Figure 5 — Global drivers of the final-year federal deficit across the whole lever space — uncertainty dimensions.</w:t>
      </w:r>
    </w:p>
    <w:p>
      <w:pPr>
        <w:spacing w:before="160"/>
        <w:jc w:val="center"/>
      </w:pPr>
      <w:r>
        <w:drawing>
          <wp:inline distT="0" distB="0" distL="0" distR="0">
            <wp:extent cx="5943600" cy="2247900"/>
            <wp:effectExtent t="0" r="0" b="0" l="0"/>
            <wp:docPr id="1" name="Figure 6 — Global drivers of the final-year federal deficit " descr="Figure 6 — Global drivers of the final-year federal deficit — policy dimensions. The UBI dial dominates by construction: it is the only lever that moves trillions of dollars directly." title="Figure 6 — Global drivers of the final-year federal deficit — policy dimensions. The UBI dial dominates by construction: it is the only lever that moves trillions of dollars dire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247900"/>
                    </a:xfrm>
                    <a:prstGeom prst="rect">
                      <a:avLst/>
                    </a:prstGeom>
                  </pic:spPr>
                </pic:pic>
              </a:graphicData>
            </a:graphic>
          </wp:inline>
        </w:drawing>
      </w:r>
    </w:p>
    <w:p>
      <w:pPr>
        <w:pStyle w:val="Caption"/>
        <w:spacing w:after="160"/>
        <w:jc w:val="center"/>
      </w:pPr>
      <w:r>
        <w:t xml:space="preserve">Figure 6 — Global drivers of the final-year federal deficit — policy dimensions. The UBI dial dominates by construction: it is the only lever that moves trillions of dollars directly.</w:t>
      </w:r>
    </w:p>
    <w:p>
      <w:pPr>
        <w:spacing w:after="120"/>
      </w:pPr>
      <w:r>
        <w:rPr>
          <w:b w:val="false"/>
          <w:bCs w:val="false"/>
          <w:i w:val="false"/>
          <w:iCs w:val="false"/>
        </w:rPr>
        <w:t xml:space="preserve">Two honest caveats. First, the sweep samples the lever space </w:t>
      </w:r>
      <w:r>
        <w:rPr>
          <w:b w:val="false"/>
          <w:bCs w:val="false"/>
          <w:i/>
          <w:iCs/>
        </w:rPr>
        <w:t xml:space="preserve">uniformly</w:t>
      </w:r>
      <w:r>
        <w:rPr>
          <w:b w:val="false"/>
          <w:bCs w:val="false"/>
          <w:i w:val="false"/>
          <w:iCs w:val="false"/>
        </w:rPr>
        <w:t xml:space="preserve"> — it weights a five-year-AGI corner equally with a modest-AI corner, so regime frequencies describe the model's behavior over its input space, not probabilities over futures. Second, the screening holds the model's structure fixed; it explores parameter space, not specification space — the simplifications table in Section 10 is the honest account of the latter.</w:t>
      </w:r>
    </w:p>
    <w:p>
      <w:r>
        <w:br w:type="page"/>
      </w:r>
    </w:p>
    <w:p>
      <w:pPr>
        <w:pStyle w:val="Heading1"/>
      </w:pPr>
      <w:r>
        <w:t xml:space="preserve">8. Policy overlays: what government recovers</w:t>
      </w:r>
    </w:p>
    <w:p>
      <w:pPr>
        <w:spacing w:after="120"/>
      </w:pPr>
      <w:r>
        <w:rPr>
          <w:b w:val="false"/>
          <w:bCs w:val="false"/>
          <w:i w:val="false"/>
          <w:iCs w:val="false"/>
        </w:rPr>
        <w:t xml:space="preserve">Each overlay is applied on top of each scenario and re-run; the recovery is the year-by-year difference in the federal deficit. The table reports the cumulative recovery over each scenario's horizon, with the share of the scenario's cumulative fiscal gap in parentheses where the gap is large enough for the ratio to be meaningful.</w:t>
      </w:r>
    </w:p>
    <w:p>
      <w:pPr>
        <w:pStyle w:val="Caption"/>
        <w:spacing w:after="60" w:before="160"/>
      </w:pPr>
      <w:r>
        <w:t xml:space="preserve">Table 3 — Cumulative federal deficit recovery by scenario × overlay, $B (share of the scenario's cumulative gap in parentheses; omitted where the cumulative gap is below $100B). The UBI column is negative: it is a net cost, shown here for the same accounting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(CW optimal)</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(GRT trans.)</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UBI $12k + 30% recapture</w:t>
            </w:r>
          </w:p>
        </w:tc>
        <w:tc>
          <w:tcPr>
            <w:tcW w:type="dxa" w:w="1684"/>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Compute parity 0.27</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-12,929</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+57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-12,609 (-758%)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 (0%)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Autor et al. — China-shock dynamics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 (0%)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-16,875 (-380%)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 (4%)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+347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+655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-20,682 (-71%)</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+3,724 (13%)</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+322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+609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-11,203 (-50%)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+3,466 (15%)</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+362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+684 (5%)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-9,038 (-64%)</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+3,890 (27%)</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+930 (6%)</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-15,064 (-95%)</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+5,297 (33%)</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+287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+542 (4%)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-11,571 (-92%)</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+3,083 (24%)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Karger et al. — Expert survey, rapid (P≈14%)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-12,913</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Metaculus — Crowd median, 2035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OpenAI — Jobs transition framework</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-12,898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+230</w:t>
            </w:r>
          </w:p>
        </w:tc>
      </w:tr>
    </w:tbl>
    <w:p>
      <w:pPr>
        <w:spacing w:after="120"/>
      </w:pPr>
    </w:p>
    <w:p>
      <w:pPr>
        <w:spacing w:after="120"/>
      </w:pPr>
      <w:r>
        <w:rPr>
          <w:b w:val="false"/>
          <w:bCs w:val="false"/>
          <w:i w:val="false"/>
          <w:iCs w:val="false"/>
        </w:rPr>
        <w:t xml:space="preserve">Three results.</w:t>
      </w:r>
    </w:p>
    <w:p>
      <w:pPr>
        <w:spacing w:after="120"/>
      </w:pPr>
      <w:r>
        <w:rPr>
          <w:b/>
          <w:bCs/>
          <w:i w:val="false"/>
          <w:iCs w:val="false"/>
        </w:rPr>
        <w:t xml:space="preserve">Literature-optimal robot taxes are small money.</w:t>
      </w:r>
      <w:r>
        <w:rPr>
          <w:b w:val="false"/>
          <w:bCs w:val="false"/>
          <w:i w:val="false"/>
          <w:iCs w:val="false"/>
        </w:rPr>
        <w:t xml:space="preserve"> This is the section's headline and it follows from an accounting identity, not a modeling choice: the optimal-taxation literature's rates are ad-valorem on robot </w:t>
      </w:r>
      <w:r>
        <w:rPr>
          <w:b w:val="false"/>
          <w:bCs w:val="false"/>
          <w:i/>
          <w:iCs/>
        </w:rPr>
        <w:t xml:space="preserve">spending</w:t>
      </w:r>
      <w:r>
        <w:rPr>
          <w:b w:val="false"/>
          <w:bCs w:val="false"/>
          <w:i w:val="false"/>
          <w:iCs w:val="false"/>
        </w:rPr>
        <w:t xml:space="preserve"> (Costinot–Werning's sufficient statistic tops out at 3.7 percent; Thuemmel's published estimate is near zero; Guerreiro–Rebelo–Teles is transitional and zero in steady state), and converting to the saved-wage base multiplies them by </w:t>
      </w:r>
      <w:r>
        <w:rPr>
          <w:rFonts w:ascii="Consolas" w:cs="Consolas" w:eastAsia="Consolas" w:hAnsi="Consolas"/>
          <w:b w:val="false"/>
          <w:bCs w:val="false"/>
          <w:i w:val="false"/>
          <w:iCs w:val="false"/>
        </w:rPr>
        <w:t xml:space="preserve">auto_cost</w:t>
      </w:r>
      <w:r>
        <w:rPr>
          <w:b w:val="false"/>
          <w:bCs w:val="false"/>
          <w:i w:val="false"/>
          <w:iCs w:val="false"/>
        </w:rPr>
        <w:t xml:space="preserve">. At Costinot–Werning's central 2.7 percent the effective rate on saved compensation is 0.3–0.8 percent across scenarios — recovering single-digit percentages of the fiscal gap everywhere the gap is large. A robot tax big enough to </w:t>
      </w:r>
      <w:r>
        <w:rPr>
          <w:b w:val="false"/>
          <w:bCs w:val="false"/>
          <w:i/>
          <w:iCs/>
        </w:rPr>
        <w:t xml:space="preserve">replace</w:t>
      </w:r>
      <w:r>
        <w:rPr>
          <w:b w:val="false"/>
          <w:bCs w:val="false"/>
          <w:i w:val="false"/>
          <w:iCs w:val="false"/>
        </w:rPr>
        <w:t xml:space="preserve"> the lost labor wedge would need to be an order of magnitude above anything in the optimal-taxation literature, which that literature rules out precisely because such a tax would suppress the automation that funds the productivity gains — a behavioral response this model does not even represent (Section 10), meaning these recovery numbers are </w:t>
      </w:r>
      <w:r>
        <w:rPr>
          <w:b w:val="false"/>
          <w:bCs w:val="false"/>
          <w:i/>
          <w:iCs/>
        </w:rPr>
        <w:t xml:space="preserve">upper</w:t>
      </w:r>
      <w:r>
        <w:rPr>
          <w:b w:val="false"/>
          <w:bCs w:val="false"/>
          <w:i w:val="false"/>
          <w:iCs w:val="false"/>
        </w:rPr>
        <w:t xml:space="preserve"> bounds.</w:t>
      </w:r>
    </w:p>
    <w:p>
      <w:pPr>
        <w:spacing w:after="120"/>
      </w:pPr>
      <w:r>
        <w:rPr>
          <w:b/>
          <w:bCs/>
          <w:i w:val="false"/>
          <w:iCs w:val="false"/>
        </w:rPr>
        <w:t xml:space="preserve">UBI is a fiscal decision, not a fiscal offset.</w:t>
      </w:r>
      <w:r>
        <w:rPr>
          <w:b w:val="false"/>
          <w:bCs w:val="false"/>
          <w:i w:val="false"/>
          <w:iCs w:val="false"/>
        </w:rPr>
        <w:t xml:space="preserve"> At $12,000 per worker with 30 percent recapture, the UBI's cumulative net cost over the Windfall-Medium decade is 12,932 billion dollars — dwarfing the fiscal damage of every scenario except the AGI transitions, in which it is comparable to the damage. Its demand-side effect is real (the level-targeting controller visibly releases induced workers when the UBI lands) but second-order against its gross cost. In the AGI worlds the interesting number is different: the required flat tax rate on the </w:t>
      </w:r>
      <w:r>
        <w:rPr>
          <w:b w:val="false"/>
          <w:bCs w:val="false"/>
          <w:i/>
          <w:iCs/>
        </w:rPr>
        <w:t xml:space="preserve">eroded</w:t>
      </w:r>
      <w:r>
        <w:rPr>
          <w:b w:val="false"/>
          <w:bCs w:val="false"/>
          <w:i w:val="false"/>
          <w:iCs w:val="false"/>
        </w:rPr>
        <w:t xml:space="preserve"> base to fund it exceeds 100 percent — UBI in those worlds is only fundable from the capital side, which is Korinek and Lockwood's point.</w:t>
      </w:r>
    </w:p>
    <w:p>
      <w:pPr>
        <w:spacing w:after="120"/>
      </w:pPr>
      <w:r>
        <w:rPr>
          <w:b/>
          <w:bCs/>
          <w:i w:val="false"/>
          <w:iCs w:val="false"/>
        </w:rPr>
        <w:t xml:space="preserve">Compute parity is the sleeper.</w:t>
      </w:r>
      <w:r>
        <w:rPr>
          <w:b w:val="false"/>
          <w:bCs w:val="false"/>
          <w:i w:val="false"/>
          <w:iCs w:val="false"/>
        </w:rPr>
        <w:t xml:space="preserve"> Taxing the compute-capital pool at the domestic-capital ETR (26.7 percent) instead of the post-TCJA 5 percent recovers the most where automation investment is heaviest — the fast-takeoff world, where nearly a third of the saved bill flows through the pool. It is also the overlay with the cleanest incidence story: it taxes the new capital stock that displacement creates, rather than the act of automation itself.</w:t>
      </w:r>
    </w:p>
    <w:p>
      <w:pPr>
        <w:spacing w:before="160"/>
        <w:jc w:val="center"/>
      </w:pPr>
      <w:r>
        <w:drawing>
          <wp:inline distT="0" distB="0" distL="0" distR="0">
            <wp:extent cx="5943600" cy="2914650"/>
            <wp:effectExtent t="0" r="0" b="0" l="0"/>
            <wp:docPr id="1" name="Figure 7 — Reprise: the scenario space the overlays operate " descr="Figure 7 — Reprise: the scenario space the overlays operate in. No overlay moves a scenario across the bands separating the modest, grinding, and AGI worlds." title="Figure 7 — Reprise: the scenario space the overlays operate in. No overlay moves a scenario across the bands separating the modest, grinding, and AGI 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14650"/>
                    </a:xfrm>
                    <a:prstGeom prst="rect">
                      <a:avLst/>
                    </a:prstGeom>
                  </pic:spPr>
                </pic:pic>
              </a:graphicData>
            </a:graphic>
          </wp:inline>
        </w:drawing>
      </w:r>
    </w:p>
    <w:p>
      <w:pPr>
        <w:pStyle w:val="Caption"/>
        <w:spacing w:after="160"/>
        <w:jc w:val="center"/>
      </w:pPr>
      <w:r>
        <w:t xml:space="preserve">Figure 7 — Reprise: the scenario space the overlays operate in. No overlay moves a scenario across the bands separating the modest, grinding, and AGI worlds.</w:t>
      </w:r>
    </w:p>
    <w:p>
      <w:r>
        <w:br w:type="page"/>
      </w:r>
    </w:p>
    <w:p>
      <w:pPr>
        <w:pStyle w:val="Heading1"/>
      </w:pPr>
      <w:r>
        <w:t xml:space="preserve">9. Validation against external models</w:t>
      </w:r>
    </w:p>
    <w:p>
      <w:pPr>
        <w:spacing w:after="120"/>
      </w:pPr>
      <w:r>
        <w:rPr>
          <w:b w:val="false"/>
          <w:bCs w:val="false"/>
          <w:i w:val="false"/>
          <w:iCs w:val="false"/>
        </w:rPr>
        <w:t xml:space="preserve">No other public model computes exactly this object, but three come close enough to triangulate. The comparisons below are run inside the artifact pipeline — the external targets are hard-coded from the source documents; the model numbers are computed fresh each build. We deliberately do not tune any preset to hit an external number.</w:t>
      </w:r>
    </w:p>
    <w:p>
      <w:pPr>
        <w:pStyle w:val="Heading2"/>
      </w:pPr>
      <w:r>
        <w:t xml:space="preserve">9.1 Windfall Trust (Ieong, Saputra, Maniar, and Cheng 2026)</w:t>
      </w:r>
    </w:p>
    <w:p>
      <w:pPr>
        <w:spacing w:after="120"/>
      </w:pPr>
      <w:r>
        <w:rPr>
          <w:b w:val="false"/>
          <w:bCs w:val="false"/>
          <w:i w:val="false"/>
          <w:iCs w:val="false"/>
        </w:rPr>
        <w:t xml:space="preserve">Their simulator computes ten-year total tax revenue changes for an </w:t>
      </w:r>
      <w:r>
        <w:rPr>
          <w:b w:val="false"/>
          <w:bCs w:val="false"/>
          <w:i/>
          <w:iCs/>
        </w:rPr>
        <w:t xml:space="preserve">average OECD country</w:t>
      </w:r>
      <w:r>
        <w:rPr>
          <w:b w:val="false"/>
          <w:bCs w:val="false"/>
          <w:i w:val="false"/>
          <w:iCs w:val="false"/>
        </w:rPr>
        <w:t xml:space="preserve"> under three displacement scenarios and two value-capture regimes. We replicate their grid on our machinery: the scenario axis maps to adoption ceilings of 0.20/0.50/0.80 with scarring of 20/30/40 percent; their high-capture allocation (45 percent firms / 45 percent consumers / 10 percent residual) is the Windfall-Medium preset's disposition, and their low-capture allocation (15/15/70) maps exactly by routing 70 percent of the saved bill to automation inputs that leak untaxed. Our metric matches theirs: cumulative ten-year total (federal plus pre-closure state) revenue change as a share of baseline.</w:t>
      </w:r>
    </w:p>
    <w:p>
      <w:pPr>
        <w:pStyle w:val="Caption"/>
        <w:spacing w:after="60" w:before="160"/>
      </w:pPr>
      <w:r>
        <w:t xml:space="preserve">Table 4 — Windfall Trust replication grid: this model vs. their published targets (10-year total revenue change, % of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20"/>
                <w:szCs w:val="20"/>
              </w:rPr>
              <w:t xml:space="preserve">Scenario</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Value capture</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This model</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Windfall Trust</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-0.45%</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+0.2%</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-0.74%</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-1.38%</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-2.00%</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-7.7%</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-2.50%</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-7.3%</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-3.47%</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-15.3%</w:t>
            </w:r>
          </w:p>
        </w:tc>
      </w:tr>
    </w:tbl>
    <w:p>
      <w:pPr>
        <w:spacing w:after="120"/>
      </w:pPr>
    </w:p>
    <w:p>
      <w:pPr>
        <w:spacing w:after="120"/>
      </w:pPr>
      <w:r>
        <w:rPr>
          <w:b w:val="false"/>
          <w:bCs w:val="false"/>
          <w:i w:val="false"/>
          <w:iCs w:val="false"/>
        </w:rPr>
        <w:t xml:space="preserve">The comparison validates </w:t>
      </w:r>
      <w:r>
        <w:rPr>
          <w:b w:val="false"/>
          <w:bCs w:val="false"/>
          <w:i/>
          <w:iCs/>
        </w:rPr>
        <w:t xml:space="preserve">structure</w:t>
      </w:r>
      <w:r>
        <w:rPr>
          <w:b w:val="false"/>
          <w:bCs w:val="false"/>
          <w:i w:val="false"/>
          <w:iCs w:val="false"/>
        </w:rPr>
        <w:t xml:space="preserve">, not magnitude: our grid reproduces their sign everywhere and their double monotonicity — worse with more displacement, worse with less value capture — but at roughly half their magnitudes. The wedge has a known anatomy: their tax base is an average OECD country (46 percent labor, with a VAT that taxes the consumption their consumer-surplus channel feeds), while ours is the actual US federal-plus-state system — more labor-skewed on the loss side, but with corporate, compute, and survivor-wage recoveries their static accounting does not model, and with only a ~2 percent consumption wedge for prices to escape through. A model of the US that agreed with a model of the average OECD country would be wrong.</w:t>
      </w:r>
    </w:p>
    <w:p>
      <w:pPr>
        <w:pStyle w:val="Heading2"/>
      </w:pPr>
      <w:r>
        <w:t xml:space="preserve">9.2 RAND (Price and Suresh 2025)</w:t>
      </w:r>
    </w:p>
    <w:p>
      <w:pPr>
        <w:spacing w:after="120"/>
      </w:pPr>
      <w:r>
        <w:rPr>
          <w:b w:val="false"/>
          <w:bCs w:val="false"/>
          <w:i w:val="false"/>
          <w:iCs w:val="false"/>
        </w:rPr>
        <w:t xml:space="preserve">Their at-cost scenario runs a +10 percentage-point unemployment shock for five years through FRB/US with AI pricing at cost, and finds federal revenue roughly 25 percent lower by 2035, almost entirely via a 26 percent lower </w:t>
      </w:r>
      <w:r>
        <w:rPr>
          <w:b w:val="false"/>
          <w:bCs w:val="false"/>
          <w:i/>
          <w:iCs/>
        </w:rPr>
        <w:t xml:space="preserve">nominal</w:t>
      </w:r>
      <w:r>
        <w:rPr>
          <w:b w:val="false"/>
          <w:bCs w:val="false"/>
          <w:i w:val="false"/>
          <w:iCs w:val="false"/>
        </w:rPr>
        <w:t xml:space="preserve"> GDP. We replicate the shock: a one-shot displacement calibrated to exactly 10 percent of the workforce (flat adoption ceiling, solved to 0.222), reabsorption at 0.2 per year (their five-year full return — our unemployment proxy starts at 10.0 percent and falls to 3.8 percent by year five), with all net saving routed to price reductions at full pass-through.</w:t>
      </w:r>
    </w:p>
    <w:p>
      <w:pPr>
        <w:spacing w:after="120"/>
      </w:pPr>
      <w:r>
        <w:rPr>
          <w:b w:val="false"/>
          <w:bCs w:val="false"/>
          <w:i w:val="false"/>
          <w:iCs w:val="false"/>
        </w:rPr>
        <w:t xml:space="preserve">Our federal revenue at year ten is -3.1 percent below baseline in the model's own accounting, and -7.9 percent below after scaling revenue unit-elastically by our modeled price level (0.951 at year ten) — against their −25 percent. The gap is a mechanism difference, stated plainly: RAND's number is overwhelmingly a </w:t>
      </w:r>
      <w:r>
        <w:rPr>
          <w:b w:val="false"/>
          <w:bCs w:val="false"/>
          <w:i/>
          <w:iCs/>
        </w:rPr>
        <w:t xml:space="preserve">deflation</w:t>
      </w:r>
      <w:r>
        <w:rPr>
          <w:b w:val="false"/>
          <w:bCs w:val="false"/>
          <w:i w:val="false"/>
          <w:iCs w:val="false"/>
        </w:rPr>
        <w:t xml:space="preserve"> result inside a nominal macro model with an active Federal Reserve, while this model deliberately never feeds price-level changes into nominal tax computations (the A2 rule, Section 4.7) because real-world bracket schedules are indexed and the double-count risk runs the other way. What the comparison does confirm: when we let prices carry revenue the way theirs do (the adjusted number), the two models' </w:t>
      </w:r>
      <w:r>
        <w:rPr>
          <w:b w:val="false"/>
          <w:bCs w:val="false"/>
          <w:i/>
          <w:iCs/>
        </w:rPr>
        <w:t xml:space="preserve">displacement-plus-pricing</w:t>
      </w:r>
      <w:r>
        <w:rPr>
          <w:b w:val="false"/>
          <w:bCs w:val="false"/>
          <w:i w:val="false"/>
          <w:iCs w:val="false"/>
        </w:rPr>
        <w:t xml:space="preserve"> stories are the same order of magnitude, and the remaining difference is our recovery channels — corporate offset and reabsorption — which their five-year-recovery scenario also builds in on the employment side but not the revenue side.</w:t>
      </w:r>
    </w:p>
    <w:p>
      <w:pPr>
        <w:pStyle w:val="Heading2"/>
      </w:pPr>
      <w:r>
        <w:t xml:space="preserve">9.3 Acemoglu (2024) and Korinek–Suh (2024)</w:t>
      </w:r>
    </w:p>
    <w:p>
      <w:pPr>
        <w:spacing w:after="120"/>
      </w:pPr>
      <w:r>
        <w:rPr>
          <w:b w:val="false"/>
          <w:bCs w:val="false"/>
          <w:i w:val="false"/>
          <w:iCs w:val="false"/>
        </w:rPr>
        <w:t xml:space="preserve">Two cheap but non-trivial checks. The Acemoglu preset's real-output gain at year ten is 0.44 percent — inside his ~1.1 percent upper bound (which includes capital-deepening effects our productivity dividend does not claim). And the non-AGI presets run on a baseline growth rate consistent with Korinek and Suh's business-as-usual 2 percent real growth. Neither is a strong test; both would have caught a gross mis-calibration.</w:t>
      </w:r>
    </w:p>
    <w:p>
      <w:pPr>
        <w:pStyle w:val="Heading2"/>
      </w:pPr>
      <w:r>
        <w:t xml:space="preserve">9.4 What validation cannot do here</w:t>
      </w:r>
    </w:p>
    <w:p>
      <w:pPr>
        <w:spacing w:after="120"/>
      </w:pPr>
      <w:r>
        <w:rPr>
          <w:b w:val="false"/>
          <w:bCs w:val="false"/>
          <w:i w:val="false"/>
          <w:iCs w:val="false"/>
        </w:rPr>
        <w:t xml:space="preserve">All three external models are themselves models. Agreement in sign and ordering across independent architectures — static accounting (Windfall), a DSGE with monetary policy (RAND), and this bottom-up cell-level machine — is evidence that the base-migration mechanism is robust to modeling choices. The magnitudes disagree for identified, mechanical reasons, and we have chosen to display the disagreement rather than tune it away.</w:t>
      </w:r>
    </w:p>
    <w:p>
      <w:r>
        <w:br w:type="page"/>
      </w:r>
    </w:p>
    <w:p>
      <w:pPr>
        <w:pStyle w:val="Heading1"/>
      </w:pPr>
      <w:r>
        <w:t xml:space="preserve">10. Simplifications and biases</w:t>
      </w:r>
    </w:p>
    <w:p>
      <w:pPr>
        <w:spacing w:after="120"/>
      </w:pPr>
      <w:r>
        <w:rPr>
          <w:b/>
          <w:bCs/>
          <w:i w:val="false"/>
          <w:iCs w:val="false"/>
        </w:rPr>
        <w:t xml:space="preserve">The deliberate simplifications of this model.</w:t>
      </w:r>
      <w:r>
        <w:rPr>
          <w:b w:val="false"/>
          <w:bCs w:val="false"/>
          <w:i w:val="false"/>
          <w:iCs w:val="false"/>
        </w:rPr>
        <w:t xml:space="preserve"> There are two significant structural decisions that this model makes. First, capital income does not spend: retained profit reaches the economy only as tax — corporate tax, and for the undistributed remainder the shareholder realization channel of Section 4.5 — and never as shareholder consumption or investment, with the latter likely being a significant source of economic growth. Second, there is no task creation: displaced workers re-enter only through a fixed re-employment rate into a finite set of low-exposure occupations; automation never endogenously creates new kinds of work. Both of these decisions are deliberate. The history of automation shows that offsets will eventually arrive, but this model asks what the fiscal impacts will be if the offsets arrive late or never. Fiscal authorities will still need to be able to respond to this scenario, but consider the numbers to be in a world with no offsets.</w:t>
      </w:r>
    </w:p>
    <w:p>
      <w:pPr>
        <w:spacing w:after="120"/>
      </w:pPr>
      <w:r>
        <w:rPr>
          <w:b w:val="false"/>
          <w:bCs w:val="false"/>
          <w:i w:val="false"/>
          <w:iCs w:val="false"/>
        </w:rPr>
        <w:t xml:space="preserve">Following the practice we admired in the Windfall Trust's paper, every known simplification is listed with its direction of bias on the headline (the federal fiscal gap). "Overstates" means the true gap is likely smaller than modeled; "understates" means larger.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Simplification</w:t>
            </w:r>
          </w:p>
        </w:tc>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Direction of bias on the fiscal gap</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behavioral response of automation to the robot tax (Korea evidence: a 2pp tax-credit cut reduced robot installations 28%)</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overlay recoveries are upper bounds; scenario paths unaffected at shipped tax = 0</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monetary-policy block (no Fed response to the demand shock)</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in crisis scenarios (dm calibrated to partially compensate)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Within-job augmentation not represented (a worker made more productive but retained)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where augmentation dominates (the Brynjolfsson preset carries it only via survivor shares)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channel books full conversion of saved compensation to taxable surplus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 deliberate steelman of the recovery)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Pass-through (proprietor) capital tax routed federal-only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the federal share, understates the state share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Shareholder channel omits the 1 percent buyback excise (IRC §4501, JCT-scored $74B/10y) and all state-side taxation of dividends and realized gains (following the same federal-only convention as pass-through capital)</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the channel's recovery, therefore **overstates** the gap — both omissions are small against a channel that is itself near-mute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Shareholder capitalization uses a disclosed price/earnings convention (the long-run market mean, not the current richer multiple) rather than a modeled equity price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the multiple; the finding is insensitive to it because the binding constraint is the measured taxable-holder × realization chain, not the multiple (§4.5)</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UI parameters national (45% replacement, 26 weeks, $20k cap), not per-state DOL schedules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ambiguous, small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Transfer federal/state splits flat (e.g. Medicaid 65/35) vs. actual FMAP 50–77% by state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shifts fed/state composition, not the total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are entitlement values, not take-up-adjusted spending</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transfer outlays (especially ACA PTC)</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looked up by total household income, not earned income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EITC deltas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 anchored to the current patent stock (dexterity/care/performance occupations near zero even at full feasibility)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physical channel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Price level never enters nominal tax computations (A2 rule)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relative to deflation-driven models (quantified in §9.2)</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Cross-sectional local evidence (China shock, fiscal multipliers) applied nationally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if national general-equilibrium offsets are large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Fixed baseline economy (no counterfactual growth in the wage base beyond a denominator trend)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losses at long horizons in level terms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AGI presets run a wage-economy accounting frame through a post-wage transition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frame itself strains; treat the near-total-automation scenarios (⑤–⑨) as transition stories, not steady states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Adoption is linear between anchored points (piecewise through published trajectory knots; §4.1). Measured cost of the convention: re-running every non-knotted scenario under asymmetric-S alternatives moves cumulative debt by up to 17 percent in the large-displacement worlds and at most $93B in the modest ones; final-year deficits leave the Monte Carlo P10–P90 band in 5 of 20 re-runs, but in only 1 of the 10 large-displacement runs — the excursions concentrate in the modest worlds, where a band only tens of billions wide makes a small dollar move look like a large one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which S variant — front-loaded shapes raise cumulative debt in the severe worlds, back-loaded shapes lower it; endpoints are pinned by construction</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Monte Carlo perturbs levers locally and independently (no correlated shocks, no Latin-hypercube global exploration)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bands are local credibility intervals, not full uncertainty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Reabsorption is rationed by refuge capacity (inflow), but already-reabsorbed workers are never re-displaced (no outflow churn)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modestly — the inflow choke already carries most of the effect</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Reabsorbed wage dynamics (Baumol pull, crowding pressure) ship at zero in every preset</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which force dominates; both are exposed as levers</w:t>
            </w:r>
          </w:p>
        </w:tc>
      </w:tr>
    </w:tbl>
    <w:p>
      <w:pPr>
        <w:spacing w:after="120"/>
      </w:pPr>
    </w:p>
    <w:p>
      <w:pPr>
        <w:spacing w:after="120"/>
      </w:pPr>
      <w:r>
        <w:rPr>
          <w:b w:val="false"/>
          <w:bCs w:val="false"/>
          <w:i w:val="false"/>
          <w:iCs w:val="false"/>
        </w:rPr>
        <w:t xml:space="preserve">Two of these deserve emphasis because they cut </w:t>
      </w:r>
      <w:r>
        <w:rPr>
          <w:b w:val="false"/>
          <w:bCs w:val="false"/>
          <w:i/>
          <w:iCs/>
        </w:rPr>
        <w:t xml:space="preserve">against</w:t>
      </w:r>
      <w:r>
        <w:rPr>
          <w:b w:val="false"/>
          <w:bCs w:val="false"/>
          <w:i w:val="false"/>
          <w:iCs w:val="false"/>
        </w:rPr>
        <w:t xml:space="preserve"> the model's thesis: the corporate steelman and the robotics floor both make the modeled fiscal gap smaller than the mechanism implies. The headline findings survive their correction in the wrong-for-the-thesis direction.</w:t>
      </w:r>
    </w:p>
    <w:p>
      <w:pPr>
        <w:pStyle w:val="Heading1"/>
      </w:pPr>
      <w:r>
        <w:t xml:space="preserve">11. Conclusion and further work</w:t>
      </w:r>
    </w:p>
    <w:p>
      <w:pPr>
        <w:spacing w:after="120"/>
      </w:pPr>
      <w:r>
        <w:rPr>
          <w:b w:val="false"/>
          <w:bCs w:val="false"/>
          <w:i w:val="false"/>
          <w:iCs w:val="false"/>
        </w:rPr>
        <w:t xml:space="preserve">The United States taxes work. This model prices what happens when machines do some of it instead, and the answer is robust across twelve differently-anchored futures: the money the economy keeps making stops flowing through the fiscal system's main intake. In the modest worlds the effect is absorbable — even self-correcting, once capital-side recoveries compound. In the grinding and AGI worlds the deficit widens by hundreds to thousands of billions per year </w:t>
      </w:r>
      <w:r>
        <w:rPr>
          <w:b w:val="false"/>
          <w:bCs w:val="false"/>
          <w:i/>
          <w:iCs/>
        </w:rPr>
        <w:t xml:space="preserve">while real output booms</w:t>
      </w:r>
      <w:r>
        <w:rPr>
          <w:b w:val="false"/>
          <w:bCs w:val="false"/>
          <w:i w:val="false"/>
          <w:iCs w:val="false"/>
        </w:rPr>
        <w:t xml:space="preserve">, the states hit their rate caps and transmit austerity back into demand, and the taxes the optimal-taxation literature recommends recover cents on the dollar. The policy problem, on this accounting, is not how to tax robots; it is how to re-plumb a wage-based revenue system for an economy whose value increasingly arrives as profit, price declines, and capital income.</w:t>
      </w:r>
    </w:p>
    <w:p>
      <w:pPr>
        <w:spacing w:after="120"/>
      </w:pPr>
      <w:r>
        <w:rPr>
          <w:b w:val="false"/>
          <w:bCs w:val="false"/>
          <w:i w:val="false"/>
          <w:iCs w:val="false"/>
        </w:rPr>
        <w:t xml:space="preserve">Further work, in rough order of value: a take-up adjustment and earned-income axis for the transfer bake (closing the known level-vs-mechanics gap); per-state UI and FMAP schedules; a behavioral adoption response to automation taxation (the Korea elasticity); an augmentation channel distinct from displacement; O*NET-anchored physical-task ceilings to replace the patent-stock robotics floor; a shareholder-consumption and investment channel, so that capital income does something besides sit in the ledger; and a skill-similarity reabsorption matrix to replace the service-floor approximation. The scaffolding for each — lever seams, conservation gates, and the reduction anchor — is already in place.</w:t>
      </w:r>
    </w:p>
    <w:p>
      <w:r>
        <w:br w:type="page"/>
      </w:r>
    </w:p>
    <w:p>
      <w:pPr>
        <w:pStyle w:val="Heading1"/>
      </w:pPr>
      <w:r>
        <w:t xml:space="preserve">Appendix A — Equation reference</w:t>
      </w:r>
    </w:p>
    <w:p>
      <w:pPr>
        <w:spacing w:after="120"/>
      </w:pPr>
      <w:r>
        <w:rPr>
          <w:b w:val="false"/>
          <w:bCs w:val="false"/>
          <w:i w:val="false"/>
          <w:iCs w:val="false"/>
        </w:rPr>
        <w:t xml:space="preserve">The complete reference, including the per-lever effect table and the Monte Carlo whitelist, lives in the repository (</w:t>
      </w:r>
      <w:r>
        <w:rPr>
          <w:rFonts w:ascii="Consolas" w:cs="Consolas" w:eastAsia="Consolas" w:hAnsi="Consolas"/>
          <w:b w:val="false"/>
          <w:bCs w:val="false"/>
          <w:i w:val="false"/>
          <w:iCs w:val="false"/>
        </w:rPr>
        <w:t xml:space="preserve">docs/EQUATIONS.md</w:t>
      </w:r>
      <w:r>
        <w:rPr>
          <w:b w:val="false"/>
          <w:bCs w:val="false"/>
          <w:i w:val="false"/>
          <w:iCs w:val="false"/>
        </w:rPr>
        <w:t xml:space="preserve">); this appendix carries the load-bearing core in execution order. Notation: per-cell quantities are (occupation × state) vectors; </w:t>
      </w:r>
      <w:r>
        <w:rPr>
          <w:rFonts w:ascii="Consolas" w:cs="Consolas" w:eastAsia="Consolas" w:hAnsi="Consolas"/>
          <w:b w:val="false"/>
          <w:bCs w:val="false"/>
          <w:i w:val="false"/>
          <w:iCs w:val="false"/>
        </w:rPr>
        <w:t xml:space="preserve">Σ</w:t>
      </w:r>
      <w:r>
        <w:rPr>
          <w:b w:val="false"/>
          <w:bCs w:val="false"/>
          <w:i w:val="false"/>
          <w:iCs w:val="false"/>
        </w:rPr>
        <w:t xml:space="preserve"> sums over cells unless subscripted.</w:t>
      </w:r>
    </w:p>
    <w:p>
      <w:pPr>
        <w:pStyle w:val="Heading2"/>
      </w:pPr>
      <w:r>
        <w:t xml:space="preserve">A.1 Displacement (per period t)</w:t>
      </w:r>
    </w:p>
    <w:p>
      <w:pPr>
        <w:shd w:fill="F4F4F4" w:val="clear"/>
        <w:spacing w:after="0" w:before="120"/>
      </w:pPr>
      <w:r>
        <w:rPr>
          <w:rFonts w:ascii="Consolas" w:cs="Consolas" w:eastAsia="Consolas" w:hAnsi="Consolas"/>
          <w:sz w:val="18"/>
          <w:szCs w:val="18"/>
        </w:rPr>
        <w:t xml:space="preserve">g_cell(t) = 1 − (1 − cog_exposure · cognitive_feasibility)</w:t>
      </w:r>
    </w:p>
    <w:p>
      <w:pPr>
        <w:shd w:fill="F4F4F4" w:val="clear"/>
        <w:spacing w:after="0" w:before="0"/>
      </w:pPr>
      <w:r>
        <w:rPr>
          <w:rFonts w:ascii="Consolas" w:cs="Consolas" w:eastAsia="Consolas" w:hAnsi="Consolas"/>
          <w:sz w:val="18"/>
          <w:szCs w:val="18"/>
        </w:rPr>
        <w:t xml:space="preserve">              · (1 − robot_exposure · physical_feasibility · min(1, t / robotics_lag))</w:t>
      </w:r>
    </w:p>
    <w:p>
      <w:pPr>
        <w:shd w:fill="F4F4F4" w:val="clear"/>
        <w:spacing w:after="0" w:before="0"/>
      </w:pPr>
      <w:r>
        <w:rPr>
          <w:rFonts w:ascii="Consolas" w:cs="Consolas" w:eastAsia="Consolas" w:hAnsi="Consolas"/>
          <w:sz w:val="18"/>
          <w:szCs w:val="18"/>
        </w:rPr>
        <w:t xml:space="preserve">target(t) = clip(g_cell(t) · adoption(t), 0, 1) · emp0        # cumulative ceiling vs baseline</w:t>
      </w:r>
    </w:p>
    <w:p>
      <w:pPr>
        <w:shd w:fill="F4F4F4" w:val="clear"/>
        <w:spacing w:after="0" w:before="0"/>
      </w:pPr>
      <w:r>
        <w:rPr>
          <w:rFonts w:ascii="Consolas" w:cs="Consolas" w:eastAsia="Consolas" w:hAnsi="Consolas"/>
          <w:sz w:val="18"/>
          <w:szCs w:val="18"/>
        </w:rPr>
        <w:t xml:space="preserve">flow(t)   = clip(target(t) − auto_disp, 0, employed)          # never un-automates, never overdraws</w:t>
      </w:r>
    </w:p>
    <w:p>
      <w:pPr>
        <w:shd w:fill="F4F4F4" w:val="clear"/>
        <w:spacing w:after="120" w:before="0"/>
      </w:pPr>
      <w:r>
        <w:rPr>
          <w:rFonts w:ascii="Consolas" w:cs="Consolas" w:eastAsia="Consolas" w:hAnsi="Consolas"/>
          <w:sz w:val="18"/>
          <w:szCs w:val="18"/>
        </w:rPr>
        <w:t xml:space="preserve">auto_disp += flow(t)                                          # the firm side keys off this stock</w:t>
      </w:r>
    </w:p>
    <w:p>
      <w:pPr>
        <w:pStyle w:val="Heading2"/>
      </w:pPr>
      <w:r>
        <w:t xml:space="preserve">A.2 Worker transitions</w:t>
      </w:r>
    </w:p>
    <w:p>
      <w:pPr>
        <w:shd w:fill="F4F4F4" w:val="clear"/>
        <w:spacing w:after="0" w:before="120"/>
      </w:pPr>
      <w:r>
        <w:rPr>
          <w:rFonts w:ascii="Consolas" w:cs="Consolas" w:eastAsia="Consolas" w:hAnsi="Consolas"/>
          <w:sz w:val="18"/>
          <w:szCs w:val="18"/>
        </w:rPr>
        <w:t xml:space="preserve">employed → on_ui → exhausted → { reabsorbed   at reabsorption_rate</w:t>
      </w:r>
    </w:p>
    <w:p>
      <w:pPr>
        <w:shd w:fill="F4F4F4" w:val="clear"/>
        <w:spacing w:after="0" w:before="0"/>
      </w:pPr>
      <w:r>
        <w:rPr>
          <w:rFonts w:ascii="Consolas" w:cs="Consolas" w:eastAsia="Consolas" w:hAnsi="Consolas"/>
          <w:sz w:val="18"/>
          <w:szCs w:val="18"/>
        </w:rPr>
        <w:t xml:space="preserve">                                 exited(SSDI) at lfp_exit_rate</w:t>
      </w:r>
    </w:p>
    <w:p>
      <w:pPr>
        <w:shd w:fill="F4F4F4" w:val="clear"/>
        <w:spacing w:after="0" w:before="0"/>
      </w:pPr>
      <w:r>
        <w:rPr>
          <w:rFonts w:ascii="Consolas" w:cs="Consolas" w:eastAsia="Consolas" w:hAnsi="Consolas"/>
          <w:sz w:val="18"/>
          <w:szCs w:val="18"/>
        </w:rPr>
        <w:t xml:space="preserve">                                 retired      at attrition_rate }     (induced joins the pool)</w:t>
      </w:r>
    </w:p>
    <w:p>
      <w:pPr>
        <w:shd w:fill="F4F4F4" w:val="clear"/>
        <w:spacing w:after="0" w:before="0"/>
      </w:pPr>
      <w:r>
        <w:rPr>
          <w:rFonts w:ascii="Consolas" w:cs="Consolas" w:eastAsia="Consolas" w:hAnsi="Consolas"/>
          <w:sz w:val="18"/>
          <w:szCs w:val="18"/>
        </w:rPr>
        <w:t xml:space="preserve">w_d = max(origin_wage · (1 − haircut), service_floor)          # re-employment wage, permanent scar</w:t>
      </w:r>
    </w:p>
    <w:p>
      <w:pPr>
        <w:shd w:fill="F4F4F4" w:val="clear"/>
        <w:spacing w:after="120" w:before="0"/>
      </w:pPr>
      <w:r>
        <w:rPr>
          <w:rFonts w:ascii="Consolas" w:cs="Consolas" w:eastAsia="Consolas" w:hAnsi="Consolas"/>
          <w:sz w:val="18"/>
          <w:szCs w:val="18"/>
        </w:rPr>
        <w:t xml:space="preserve">C1:  employed + on_ui + exhausted + reabsorbed + exited + induced + retired = emp0   (per cell)</w:t>
      </w:r>
    </w:p>
    <w:p>
      <w:pPr>
        <w:pStyle w:val="Heading2"/>
      </w:pPr>
      <w:r>
        <w:t xml:space="preserve">A.3 Disposition of the saved bill</w:t>
      </w:r>
    </w:p>
    <w:p>
      <w:pPr>
        <w:shd w:fill="F4F4F4" w:val="clear"/>
        <w:spacing w:after="0" w:before="120"/>
      </w:pPr>
      <w:r>
        <w:rPr>
          <w:rFonts w:ascii="Consolas" w:cs="Consolas" w:eastAsia="Consolas" w:hAnsi="Consolas"/>
          <w:sz w:val="18"/>
          <w:szCs w:val="18"/>
        </w:rPr>
        <w:t xml:space="preserve">saved_bill       = Σ_auto_disp comp_per_worker</w:t>
      </w:r>
    </w:p>
    <w:p>
      <w:pPr>
        <w:shd w:fill="F4F4F4" w:val="clear"/>
        <w:spacing w:after="0" w:before="0"/>
      </w:pPr>
      <w:r>
        <w:rPr>
          <w:rFonts w:ascii="Consolas" w:cs="Consolas" w:eastAsia="Consolas" w:hAnsi="Consolas"/>
          <w:sz w:val="18"/>
          <w:szCs w:val="18"/>
        </w:rPr>
        <w:t xml:space="preserve">automation_spend = auto_cost · saved_bill                      → compute pool</w:t>
      </w:r>
    </w:p>
    <w:p>
      <w:pPr>
        <w:shd w:fill="F4F4F4" w:val="clear"/>
        <w:spacing w:after="0" w:before="0"/>
      </w:pPr>
      <w:r>
        <w:rPr>
          <w:rFonts w:ascii="Consolas" w:cs="Consolas" w:eastAsia="Consolas" w:hAnsi="Consolas"/>
          <w:sz w:val="18"/>
          <w:szCs w:val="18"/>
        </w:rPr>
        <w:t xml:space="preserve">net_saving       = saved_bill − automation_spend               (≥ 0, C-gate)</w:t>
      </w:r>
    </w:p>
    <w:p>
      <w:pPr>
        <w:shd w:fill="F4F4F4" w:val="clear"/>
        <w:spacing w:after="0" w:before="0"/>
      </w:pPr>
      <w:r>
        <w:rPr>
          <w:rFonts w:ascii="Consolas" w:cs="Consolas" w:eastAsia="Consolas" w:hAnsi="Consolas"/>
          <w:sz w:val="18"/>
          <w:szCs w:val="18"/>
        </w:rPr>
        <w:t xml:space="preserve">net_saving       = retained_profit + price_reduction + survivor_gains        (simplex, C2)</w:t>
      </w:r>
    </w:p>
    <w:p>
      <w:pPr>
        <w:shd w:fill="F4F4F4" w:val="clear"/>
        <w:spacing w:after="0" w:before="0"/>
      </w:pPr>
      <w:r>
        <w:rPr>
          <w:rFonts w:ascii="Consolas" w:cs="Consolas" w:eastAsia="Consolas" w:hAnsi="Consolas"/>
          <w:sz w:val="18"/>
          <w:szCs w:val="18"/>
        </w:rPr>
        <w:t xml:space="preserve">corp_offset      = auto_disp · corp_per_worker · [retained_share·(1−auto_cost) − robot_tax_rate]</w:t>
      </w:r>
    </w:p>
    <w:p>
      <w:pPr>
        <w:shd w:fill="F4F4F4" w:val="clear"/>
        <w:spacing w:after="0" w:before="0"/>
      </w:pPr>
      <w:r>
        <w:rPr>
          <w:rFonts w:ascii="Consolas" w:cs="Consolas" w:eastAsia="Consolas" w:hAnsi="Consolas"/>
          <w:sz w:val="18"/>
          <w:szCs w:val="18"/>
        </w:rPr>
        <w:t xml:space="preserve">compute_pool_tax = compute_effective_rate · (1 − offshore_share) · automation_spend</w:t>
      </w:r>
    </w:p>
    <w:p>
      <w:pPr>
        <w:shd w:fill="F4F4F4" w:val="clear"/>
        <w:spacing w:after="120" w:before="0"/>
      </w:pPr>
      <w:r>
        <w:rPr>
          <w:rFonts w:ascii="Consolas" w:cs="Consolas" w:eastAsia="Consolas" w:hAnsi="Consolas"/>
          <w:sz w:val="18"/>
          <w:szCs w:val="18"/>
        </w:rPr>
        <w:t xml:space="preserve">automation_tax   = automation_tax_rate · saved_bill            # paid from retained profit</w:t>
      </w:r>
    </w:p>
    <w:p>
      <w:pPr>
        <w:pStyle w:val="Heading2"/>
      </w:pPr>
      <w:r>
        <w:t xml:space="preserve">A.4 Survivor wages (funded W*)</w:t>
      </w:r>
    </w:p>
    <w:p>
      <w:pPr>
        <w:shd w:fill="F4F4F4" w:val="clear"/>
        <w:spacing w:after="0" w:before="120"/>
      </w:pPr>
      <w:r>
        <w:rPr>
          <w:rFonts w:ascii="Consolas" w:cs="Consolas" w:eastAsia="Consolas" w:hAnsi="Consolas"/>
          <w:sz w:val="18"/>
          <w:szCs w:val="18"/>
        </w:rPr>
        <w:t xml:space="preserve">ℓ           = Σ emp_post · comp_pw / Σ emp_post · wage         # compensation loading ≈ 1.4</w:t>
      </w:r>
    </w:p>
    <w:p>
      <w:pPr>
        <w:shd w:fill="F4F4F4" w:val="clear"/>
        <w:spacing w:after="0" w:before="0"/>
      </w:pPr>
      <w:r>
        <w:rPr>
          <w:rFonts w:ascii="Consolas" w:cs="Consolas" w:eastAsia="Consolas" w:hAnsi="Consolas"/>
          <w:sz w:val="18"/>
          <w:szCs w:val="18"/>
        </w:rPr>
        <w:t xml:space="preserve">maintenance = ℓ · wage_bill · (W_mech − 1)</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0" w:before="0"/>
      </w:pPr>
      <w:r>
        <w:rPr>
          <w:rFonts w:ascii="Consolas" w:cs="Consolas" w:eastAsia="Consolas" w:hAnsi="Consolas"/>
          <w:sz w:val="18"/>
          <w:szCs w:val="18"/>
        </w:rPr>
        <w:t xml:space="preserve">if available ≥ 0:  room = ℓ·wage_bill·(ceiling − W_mech)</w:t>
      </w:r>
    </w:p>
    <w:p>
      <w:pPr>
        <w:shd w:fill="F4F4F4" w:val="clear"/>
        <w:spacing w:after="0" w:before="0"/>
      </w:pPr>
      <w:r>
        <w:rPr>
          <w:rFonts w:ascii="Consolas" w:cs="Consolas" w:eastAsia="Consolas" w:hAnsi="Consolas"/>
          <w:sz w:val="18"/>
          <w:szCs w:val="18"/>
        </w:rPr>
        <w:t xml:space="preserve">                   W_mech += min(available, room)/(ℓ·wage_bill);  overflow = available − room⁺</w:t>
      </w:r>
    </w:p>
    <w:p>
      <w:pPr>
        <w:shd w:fill="F4F4F4" w:val="clear"/>
        <w:spacing w:after="0" w:before="0"/>
      </w:pPr>
      <w:r>
        <w:rPr>
          <w:rFonts w:ascii="Consolas" w:cs="Consolas" w:eastAsia="Consolas" w:hAnsi="Consolas"/>
          <w:sz w:val="18"/>
          <w:szCs w:val="18"/>
        </w:rPr>
        <w:t xml:space="preserve">else:              W_mech = 1 + max(0, survivor_gains)/(ℓ·wage_bill)          # snap</w:t>
      </w:r>
    </w:p>
    <w:p>
      <w:pPr>
        <w:shd w:fill="F4F4F4" w:val="clear"/>
        <w:spacing w:after="0" w:before="0"/>
      </w:pPr>
      <w:r>
        <w:rPr>
          <w:rFonts w:ascii="Consolas" w:cs="Consolas" w:eastAsia="Consolas" w:hAnsi="Consolas"/>
          <w:sz w:val="18"/>
          <w:szCs w:val="18"/>
        </w:rPr>
        <w:t xml:space="preserve">C5c: ℓ·wage_bill·(W_mech_new − 1) + overflow_to_profit + overflow_to_price = survivor_gains</w:t>
      </w:r>
    </w:p>
    <w:p>
      <w:pPr>
        <w:shd w:fill="F4F4F4" w:val="clear"/>
        <w:spacing w:after="120" w:before="0"/>
      </w:pPr>
      <w:r>
        <w:rPr>
          <w:rFonts w:ascii="Consolas" w:cs="Consolas" w:eastAsia="Consolas" w:hAnsi="Consolas"/>
          <w:sz w:val="18"/>
          <w:szCs w:val="18"/>
        </w:rPr>
        <w:t xml:space="preserve">W = W_mech + elasticity · slack(t−1) · market_frac             # market component, lagged slack</w:t>
      </w:r>
    </w:p>
    <w:p>
      <w:pPr>
        <w:pStyle w:val="Heading2"/>
      </w:pPr>
      <w:r>
        <w:t xml:space="preserve">A.5 Macro</w:t>
      </w:r>
    </w:p>
    <w:p>
      <w:pPr>
        <w:shd w:fill="F4F4F4" w:val="clear"/>
        <w:spacing w:after="0" w:before="120"/>
      </w:pPr>
      <w:r>
        <w:rPr>
          <w:rFonts w:ascii="Consolas" w:cs="Consolas" w:eastAsia="Consolas" w:hAnsi="Consolas"/>
          <w:sz w:val="18"/>
          <w:szCs w:val="18"/>
        </w:rPr>
        <w:t xml:space="preserve">Y(t) = 1 + productivity_passthrough · saved_bill / COMP_TOTAL   # output-weighted dividend</w:t>
      </w:r>
    </w:p>
    <w:p>
      <w:pPr>
        <w:shd w:fill="F4F4F4" w:val="clear"/>
        <w:spacing w:after="0" w:before="0"/>
      </w:pPr>
      <w:r>
        <w:rPr>
          <w:rFonts w:ascii="Consolas" w:cs="Consolas" w:eastAsia="Consolas" w:hAnsi="Consolas"/>
          <w:sz w:val="18"/>
          <w:szCs w:val="18"/>
        </w:rPr>
        <w:t xml:space="preserve">P(t) = P(t−1) · (1 − price_passthrough · price_reduction_flow / consumption_base)</w:t>
      </w:r>
    </w:p>
    <w:p>
      <w:pPr>
        <w:shd w:fill="F4F4F4" w:val="clear"/>
        <w:spacing w:after="120" w:before="0"/>
      </w:pPr>
      <w:r>
        <w:rPr>
          <w:rFonts w:ascii="Consolas" w:cs="Consolas" w:eastAsia="Consolas" w:hAnsi="Consolas"/>
          <w:sz w:val="18"/>
          <w:szCs w:val="18"/>
        </w:rPr>
        <w:t xml:space="preserve">real X = nominal X / P(t)                                       # reporting only (A2 rule); C4</w:t>
      </w:r>
    </w:p>
    <w:p>
      <w:pPr>
        <w:pStyle w:val="Heading2"/>
      </w:pPr>
      <w:r>
        <w:t xml:space="preserve">A.6 Government</w:t>
      </w:r>
    </w:p>
    <w:p>
      <w:pPr>
        <w:shd w:fill="F4F4F4" w:val="clear"/>
        <w:spacing w:after="0" w:before="120"/>
      </w:pPr>
      <w:r>
        <w:rPr>
          <w:rFonts w:ascii="Consolas" w:cs="Consolas" w:eastAsia="Consolas" w:hAnsi="Consolas"/>
          <w:sz w:val="18"/>
          <w:szCs w:val="18"/>
        </w:rPr>
        <w:t xml:space="preserve">fed_deficit = inc_fed_loss + payroll_loss + transfer_fed + ui_outlay − ui_tax − corp_offset</w:t>
      </w:r>
    </w:p>
    <w:p>
      <w:pPr>
        <w:shd w:fill="F4F4F4" w:val="clear"/>
        <w:spacing w:after="0" w:before="0"/>
      </w:pPr>
      <w:r>
        <w:rPr>
          <w:rFonts w:ascii="Consolas" w:cs="Consolas" w:eastAsia="Consolas" w:hAnsi="Consolas"/>
          <w:sz w:val="18"/>
          <w:szCs w:val="18"/>
        </w:rPr>
        <w:t xml:space="preserve">            − survivor_gain_fed − compute_pool_tax − overflow_corp_tax + ubi_outlay</w:t>
      </w:r>
    </w:p>
    <w:p>
      <w:pPr>
        <w:shd w:fill="F4F4F4" w:val="clear"/>
        <w:spacing w:after="0" w:before="0"/>
      </w:pPr>
      <w:r>
        <w:rPr>
          <w:rFonts w:ascii="Consolas" w:cs="Consolas" w:eastAsia="Consolas" w:hAnsi="Consolas"/>
          <w:sz w:val="18"/>
          <w:szCs w:val="18"/>
        </w:rPr>
        <w:t xml:space="preserve">            − ubi_recapture − automation_tax + ssdi_outlay                          (C6, asserted)</w:t>
      </w:r>
    </w:p>
    <w:p>
      <w:pPr>
        <w:shd w:fill="F4F4F4" w:val="clear"/>
        <w:spacing w:after="0" w:before="0"/>
      </w:pPr>
      <w:r>
        <w:rPr>
          <w:rFonts w:ascii="Consolas" w:cs="Consolas" w:eastAsia="Consolas" w:hAnsi="Consolas"/>
          <w:sz w:val="18"/>
          <w:szCs w:val="18"/>
        </w:rPr>
        <w:t xml:space="preserve">fed_debt(t) = fed_debt(t−1) · (1 + r) + fed_deficit(t)</w:t>
      </w:r>
    </w:p>
    <w:p>
      <w:pPr>
        <w:shd w:fill="F4F4F4" w:val="clear"/>
        <w:spacing w:after="0" w:before="0"/>
      </w:pPr>
      <w:r>
        <w:rPr>
          <w:rFonts w:ascii="Consolas" w:cs="Consolas" w:eastAsia="Consolas" w:hAnsi="Consolas"/>
          <w:sz w:val="18"/>
          <w:szCs w:val="18"/>
        </w:rPr>
        <w:t xml:space="preserve">state gap_s = losses_s − recoveries_s ;  closed by Δrate ≤ cap · base_s, remainder forced cuts</w:t>
      </w:r>
    </w:p>
    <w:p>
      <w:pPr>
        <w:shd w:fill="F4F4F4" w:val="clear"/>
        <w:spacing w:after="120" w:before="0"/>
      </w:pPr>
      <w:r>
        <w:rPr>
          <w:rFonts w:ascii="Consolas" w:cs="Consolas" w:eastAsia="Consolas" w:hAnsi="Consolas"/>
          <w:sz w:val="18"/>
          <w:szCs w:val="18"/>
        </w:rPr>
        <w:t xml:space="preserve">contraction_s = cuts_s · MPC_gov + hikes_s · MPC_hh                                  (C7 ≈ 0)</w:t>
      </w:r>
    </w:p>
    <w:p>
      <w:pPr>
        <w:pStyle w:val="Heading2"/>
      </w:pPr>
      <w:r>
        <w:t xml:space="preserve">A.7 Demand (level-targeting controller)</w:t>
      </w:r>
    </w:p>
    <w:p>
      <w:pPr>
        <w:shd w:fill="F4F4F4" w:val="clear"/>
        <w:spacing w:after="0" w:before="120"/>
      </w:pPr>
      <w:r>
        <w:rPr>
          <w:rFonts w:ascii="Consolas" w:cs="Consolas" w:eastAsia="Consolas" w:hAnsi="Consolas"/>
          <w:sz w:val="18"/>
          <w:szCs w:val="18"/>
        </w:rPr>
        <w:t xml:space="preserve">withdrawal = Σ_stocks stock · net_income_pw − wage_bill·(W−1) − ubi_net       # standing LEVEL</w:t>
      </w:r>
    </w:p>
    <w:p>
      <w:pPr>
        <w:shd w:fill="F4F4F4" w:val="clear"/>
        <w:spacing w:after="0" w:before="0"/>
      </w:pPr>
      <w:r>
        <w:rPr>
          <w:rFonts w:ascii="Consolas" w:cs="Consolas" w:eastAsia="Consolas" w:hAnsi="Consolas"/>
          <w:sz w:val="18"/>
          <w:szCs w:val="18"/>
        </w:rPr>
        <w:t xml:space="preserve">target_induced = k · [max(0, withdrawal) · emp_share + contraction_s · state_share]</w:t>
      </w:r>
    </w:p>
    <w:p>
      <w:pPr>
        <w:shd w:fill="F4F4F4" w:val="clear"/>
        <w:spacing w:after="0" w:before="0"/>
      </w:pPr>
      <w:r>
        <w:rPr>
          <w:rFonts w:ascii="Consolas" w:cs="Consolas" w:eastAsia="Consolas" w:hAnsi="Consolas"/>
          <w:sz w:val="18"/>
          <w:szCs w:val="18"/>
        </w:rPr>
        <w:t xml:space="preserve">k = demand_multiplier · mpc · stickiness / va_per_worker</w:t>
      </w:r>
    </w:p>
    <w:p>
      <w:pPr>
        <w:shd w:fill="F4F4F4" w:val="clear"/>
        <w:spacing w:after="0" w:before="0"/>
      </w:pPr>
      <w:r>
        <w:rPr>
          <w:rFonts w:ascii="Consolas" w:cs="Consolas" w:eastAsia="Consolas" w:hAnsi="Consolas"/>
          <w:sz w:val="18"/>
          <w:szCs w:val="18"/>
        </w:rPr>
        <w:t xml:space="preserve">induced(t+1) → target_induced                                  # signed flow; releases on recovery</w:t>
      </w:r>
    </w:p>
    <w:p>
      <w:pPr>
        <w:shd w:fill="F4F4F4" w:val="clear"/>
        <w:spacing w:after="120" w:before="0"/>
      </w:pPr>
      <w:r>
        <w:rPr>
          <w:rFonts w:ascii="Consolas" w:cs="Consolas" w:eastAsia="Consolas" w:hAnsi="Consolas"/>
          <w:sz w:val="18"/>
          <w:szCs w:val="18"/>
        </w:rPr>
        <w:t xml:space="preserve">loop gain ρ = k · d̄ ≈ 0.22 · demand_multiplier &lt; 1            # asserted at construction</w:t>
      </w:r>
    </w:p>
    <w:p>
      <w:pPr>
        <w:sectPr>
          <w:footerReference w:type="default" r:id="rId7"/>
          <w:pgSz w:w="12240" w:h="15840" w:orient="portrait"/>
          <w:pgMar w:top="1440" w:right="1440" w:bottom="1440" w:left="1440" w:header="708" w:footer="708" w:gutter="0"/>
          <w:pgNumType/>
          <w:docGrid w:linePitch="360"/>
        </w:sectPr>
      </w:pPr>
    </w:p>
    <w:p>
      <w:pPr>
        <w:pStyle w:val="Heading1"/>
      </w:pPr>
      <w:r>
        <w:t xml:space="preserve">Appendix B — The twelve scenarios, as shipped</w:t>
      </w:r>
    </w:p>
    <w:p>
      <w:pPr>
        <w:spacing w:after="120"/>
      </w:pPr>
      <w:r>
        <w:rPr>
          <w:b w:val="false"/>
          <w:bCs w:val="false"/>
          <w:i w:val="false"/>
          <w:iCs w:val="false"/>
        </w:rPr>
        <w:t xml:space="preserve">Scenarios are rows, levers columns, split across two tables to stay legible. Values not shown inherit the shipped defaults, identical in every scenario: reabsorption rung 1 (service-floor), UI 26 weeks, raise ceiling 1.5, spillover 0.5, offshore share 0, </w:t>
      </w:r>
      <w:r>
        <w:rPr>
          <w:rFonts w:ascii="Consolas" w:cs="Consolas" w:eastAsia="Consolas" w:hAnsi="Consolas"/>
          <w:b w:val="false"/>
          <w:bCs w:val="false"/>
          <w:i w:val="false"/>
          <w:iCs w:val="false"/>
        </w:rPr>
        <w:t xml:space="preserve">automation_tax_rate</w:t>
      </w:r>
      <w:r>
        <w:rPr>
          <w:b w:val="false"/>
          <w:bCs w:val="false"/>
          <w:i w:val="false"/>
          <w:iCs w:val="false"/>
        </w:rPr>
        <w:t xml:space="preserve"> 0 (taxation is a composable overlay, never a scenario), and the four shareholder-channel levers at their measured current-law anchors (price/earnings multiple 16, taxable-holder share 0.27, realization rate 0.04, effective rate on realized gains 0.19). Two values are grid-snapped from their sources — Windfall </w:t>
      </w:r>
      <w:r>
        <w:rPr>
          <w:rFonts w:ascii="Consolas" w:cs="Consolas" w:eastAsia="Consolas" w:hAnsi="Consolas"/>
          <w:b w:val="false"/>
          <w:bCs w:val="false"/>
          <w:i w:val="false"/>
          <w:iCs w:val="false"/>
        </w:rPr>
        <w:t xml:space="preserve">lfp_exit_rate</w:t>
      </w:r>
      <w:r>
        <w:rPr>
          <w:b w:val="false"/>
          <w:bCs w:val="false"/>
          <w:i w:val="false"/>
          <w:iCs w:val="false"/>
        </w:rPr>
        <w:t xml:space="preserve"> 0.033 → 0.03 and capital effective rate 0.267 → 0.27. Per-lever provenance is in </w:t>
      </w:r>
      <w:r>
        <w:rPr>
          <w:rFonts w:ascii="Consolas" w:cs="Consolas" w:eastAsia="Consolas" w:hAnsi="Consolas"/>
          <w:b w:val="false"/>
          <w:bCs w:val="false"/>
          <w:i w:val="false"/>
          <w:iCs w:val="false"/>
        </w:rPr>
        <w:t xml:space="preserve">fiscal_model/presets.py</w:t>
      </w:r>
      <w:r>
        <w:rPr>
          <w:b w:val="false"/>
          <w:bCs w:val="false"/>
          <w:i w:val="false"/>
          <w:iCs w:val="false"/>
        </w:rPr>
        <w:t xml:space="preserve"> and </w:t>
      </w:r>
      <w:r>
        <w:rPr>
          <w:rFonts w:ascii="Consolas" w:cs="Consolas" w:eastAsia="Consolas" w:hAnsi="Consolas"/>
          <w:b w:val="false"/>
          <w:bCs w:val="false"/>
          <w:i w:val="false"/>
          <w:iCs w:val="false"/>
        </w:rPr>
        <w:t xml:space="preserve">docs/PRESET_EVIDENCE.md</w:t>
      </w:r>
      <w:r>
        <w:rPr>
          <w:b w:val="false"/>
          <w:bCs w:val="false"/>
          <w:i w:val="false"/>
          <w:iCs w:val="false"/>
        </w:rPr>
        <w:t xml:space="preserve">.</w:t>
      </w:r>
    </w:p>
    <w:p>
      <w:pPr>
        <w:spacing w:after="120"/>
      </w:pPr>
      <w:r>
        <w:rPr>
          <w:b w:val="false"/>
          <w:bCs w:val="false"/>
          <w:i w:val="false"/>
          <w:iCs w:val="false"/>
        </w:rPr>
        <w:t xml:space="preserve">In the adoption column </w:t>
      </w:r>
      <w:r>
        <w:rPr>
          <w:b/>
          <w:bCs/>
          <w:i w:val="false"/>
          <w:iCs w:val="false"/>
        </w:rPr>
        <w:t xml:space="preserve">†</w:t>
      </w:r>
      <w:r>
        <w:rPr>
          <w:b w:val="false"/>
          <w:bCs w:val="false"/>
          <w:i w:val="false"/>
          <w:iCs w:val="false"/>
        </w:rPr>
        <w:t xml:space="preserve"> marks a parametric kink (linear to the end value by the reach year, flat after) and </w:t>
      </w:r>
      <w:r>
        <w:rPr>
          <w:b/>
          <w:bCs/>
          <w:i w:val="false"/>
          <w:iCs w:val="false"/>
        </w:rPr>
        <w:t xml:space="preserve">‡</w:t>
      </w:r>
      <w:r>
        <w:rPr>
          <w:b w:val="false"/>
          <w:bCs w:val="false"/>
          <w:i w:val="false"/>
          <w:iCs w:val="false"/>
        </w:rPr>
        <w:t xml:space="preserve"> a path threaded piecewise-linearly through trajectory points the source itself publishes; unmarked is linear across the whole horizon.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440"/>
        <w:gridCol w:w="1440"/>
        <w:gridCol w:w="1440"/>
        <w:gridCol w:w="1440"/>
      </w:tblGrid>
      <w:tr>
        <w:trPr>
          <w:tblHeader/>
        </w:trPr>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Scenario</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cog / phys feas.</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 lag</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adoption</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reach yr</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horizon</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reab. / haircut</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lfp exit / attrition</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Baumol / crowding</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①Acemoglu</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0.02→0.23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0.5/0.13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②Brynjolfsson</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0.02→0.3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0.02/0.025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③Windfall</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④China-Shock</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0.075/0.25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⑤AGI-20y</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⑥AGI-5y</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0.2→1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⑦AI-2027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0.2→1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⑧2040 Plan A</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0.95/0.95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0.05→1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⑨2040 Plan D</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0.05→1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⑩Karger rapid</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0.03→0.16</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0.35/0.13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0.06/0.025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⑪Metaculus</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0.02→0.2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0.45/0.12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0.35/0.1</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⑫OpenAI</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0.05→0.2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0.55/0.12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bl>
    <w:p>
      <w:pPr>
        <w:spacing w:after="12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440"/>
        <w:gridCol w:w="1440"/>
        <w:gridCol w:w="1440"/>
        <w:gridCol w:w="1440"/>
      </w:tblGrid>
      <w:tr>
        <w:trPr>
          <w:tblHeader/>
        </w:trPr>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Scenario</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retained/price/surv.</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auto_cost / compute ETR</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surv. elasticity</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prod. / price passthru</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demand mult.</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growth / interest</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state cut / cap</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start yr</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①Acemoglu</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0.6/0.35/0.05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②Brynjolfsson</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0.55/0.25/0.2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0.045/0.03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③Windfall</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0.1/0.27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④China-Shock</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0.7/0.2/0.1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0.035/0.03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⑤AGI-20y</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0.8/0.15/0.05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0.06/0.04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⑥AGI-5y</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0.8/0.15/0.05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0.08/0.04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⑦AI-2027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0.7/0.2/0.1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0.08/0.04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⑧2040 Plan A</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0.55/0.3/0.15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0.08/0.04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2027</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⑨2040 Plan D</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0.8/0.15/0.05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0.08/0.04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2027</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⑩Karger rapid</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0.55/0.25/0.2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⑪Metaculus</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0.45/0.2/0.35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⑫OpenAI</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0.55/0.3/0.15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bl>
    <w:p>
      <w:pPr>
        <w:spacing w:after="120"/>
      </w:pPr>
    </w:p>
    <w:p>
      <w:pPr>
        <w:spacing w:after="120"/>
      </w:pPr>
      <w:r>
        <w:rPr>
          <w:b w:val="false"/>
          <w:bCs w:val="false"/>
          <w:i w:val="false"/>
          <w:iCs w:val="false"/>
        </w:rPr>
        <w:t xml:space="preserve">The survivor share is derived, never set: it is the remainder of the disposition simplex after retained profit and price reduction, which is why the three always sum to one. A blank state entry means the scenario leaves the default closure (rate hikes first, cuts for the remainder); </w:t>
      </w:r>
      <w:r>
        <w:rPr>
          <w:rFonts w:ascii="Consolas" w:cs="Consolas" w:eastAsia="Consolas" w:hAnsi="Consolas"/>
          <w:b w:val="false"/>
          <w:bCs w:val="false"/>
          <w:i w:val="false"/>
          <w:iCs w:val="false"/>
        </w:rPr>
        <w:t xml:space="preserve">0.5/0.5</w:t>
      </w:r>
      <w:r>
        <w:rPr>
          <w:b w:val="false"/>
          <w:bCs w:val="false"/>
          <w:i w:val="false"/>
          <w:iCs w:val="false"/>
        </w:rPr>
        <w:t xml:space="preserve"> means half the gap closes by spending cuts under a 50 percent rate-hike feasibility cap, the configuration the AGI-class scenarios use because labor-base rate hikes cannot close AGI-stage gaps.</w:t>
      </w:r>
    </w:p>
    <w:p>
      <w:r>
        <w:br w:type="page"/>
      </w:r>
    </w:p>
    <w:p>
      <w:pPr>
        <w:pStyle w:val="Heading1"/>
      </w:pPr>
      <w:r>
        <w:t xml:space="preserve">Appendix C — Fiscal summaries, the external comparator</w:t>
      </w:r>
    </w:p>
    <w:p>
      <w:pPr>
        <w:spacing w:after="120"/>
      </w:pPr>
      <w:r>
        <w:rPr>
          <w:b w:val="false"/>
          <w:bCs w:val="false"/>
          <w:i w:val="false"/>
          <w:iCs w:val="false"/>
        </w:rPr>
        <w:t xml:space="preserve">Complete per-year fiscal summaries and four-channel decompositions for all twelve scenarios are in the artifact CSVs (</w:t>
      </w:r>
      <w:r>
        <w:rPr>
          <w:rFonts w:ascii="Consolas" w:cs="Consolas" w:eastAsia="Consolas" w:hAnsi="Consolas"/>
          <w:b w:val="false"/>
          <w:bCs w:val="false"/>
          <w:i w:val="false"/>
          <w:iCs w:val="false"/>
        </w:rPr>
        <w:t xml:space="preserve">docs/report/artifacts/presets/&lt;key&gt;/summary_tax.csv</w:t>
      </w:r>
      <w:r>
        <w:rPr>
          <w:b w:val="false"/>
          <w:bCs w:val="false"/>
          <w:i w:val="false"/>
          <w:iCs w:val="false"/>
        </w:rPr>
        <w:t xml:space="preserve"> and </w:t>
      </w:r>
      <w:r>
        <w:rPr>
          <w:rFonts w:ascii="Consolas" w:cs="Consolas" w:eastAsia="Consolas" w:hAnsi="Consolas"/>
          <w:b w:val="false"/>
          <w:bCs w:val="false"/>
          <w:i w:val="false"/>
          <w:iCs w:val="false"/>
        </w:rPr>
        <w:t xml:space="preserve">summary_channel.csv</w:t>
      </w:r>
      <w:r>
        <w:rPr>
          <w:b w:val="false"/>
          <w:bCs w:val="false"/>
          <w:i w:val="false"/>
          <w:iCs w:val="false"/>
        </w:rPr>
        <w:t xml:space="preserve">) and are browsable in the web application. Reproduced here is the Windfall Trust comparator, because Section 9.1's replication argument needs its numbers in-document: the full fiscal summary, then the channel view that decomposes the same run into the four migration paths the report's first thesis names.</w:t>
      </w:r>
    </w:p>
    <w:p>
      <w:pPr>
        <w:pStyle w:val="Caption"/>
        <w:spacing w:after="60" w:before="160"/>
      </w:pPr>
      <w:r>
        <w:t xml:space="preserve">Table 5 — Windfall Trust — Medium, full fiscal summary ($B, all years).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Windfall capital gains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SWF profit share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VAT</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-48.7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510.9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924.4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-179.3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-209.5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-218.7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4,960.6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1,857.8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6 — Windfall Trust — Medium, four-channel decomposition ($B): labour→capital, resident→non-resident, taxable→consumer-surplus, government spending.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Baseline surcharges (income+capital+consumption dials)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lost (displaced)</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gained (survivors)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Capital-side recoveries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1,848.5</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Channel 1 net</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-108.8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-135.9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Offshore leakage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Consumer price gains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Consumption tax change (incl. federal VAT)</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Net new spending (transfers+UI+SSDI+UBI)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1,036.2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 +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-266.1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-288.5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-298.9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-309.4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-2,232.8</w:t>
            </w:r>
          </w:p>
        </w:tc>
      </w:tr>
    </w:tbl>
    <w:p>
      <w:pPr>
        <w:spacing w:after="120"/>
      </w:pPr>
    </w:p>
    <w:p>
      <w:pPr>
        <w:sectPr>
          <w:footerReference w:type="default" r:id="rId8"/>
          <w:pgSz w:w="15840" w:h="12240" w:orient="landscape"/>
          <w:pgMar w:top="1440" w:right="1440" w:bottom="1440" w:left="1440" w:header="708" w:footer="708" w:gutter="0"/>
          <w:pgNumType/>
          <w:docGrid w:linePitch="360"/>
        </w:sectPr>
      </w:pPr>
    </w:p>
    <w:p>
      <w:pPr>
        <w:pStyle w:val="Heading1"/>
      </w:pPr>
      <w:r>
        <w:t xml:space="preserve">Appendix D — Reproducibility</w:t>
      </w:r>
    </w:p>
    <w:p>
      <w:pPr>
        <w:spacing w:after="120"/>
      </w:pPr>
      <w:r>
        <w:rPr>
          <w:b w:val="false"/>
          <w:bCs w:val="false"/>
          <w:i w:val="false"/>
          <w:iCs w:val="false"/>
        </w:rPr>
        <w:t xml:space="preserve">Every number, table, and figure in this document is generated by a deterministic pipeline in the model repository. To reproduce from a clean checkout:</w:t>
      </w:r>
    </w:p>
    <w:p>
      <w:pPr>
        <w:shd w:fill="F4F4F4" w:val="clear"/>
        <w:spacing w:after="0" w:before="120"/>
      </w:pPr>
      <w:r>
        <w:rPr>
          <w:rFonts w:ascii="Consolas" w:cs="Consolas" w:eastAsia="Consolas" w:hAnsi="Consolas"/>
          <w:sz w:val="18"/>
          <w:szCs w:val="18"/>
        </w:rPr>
        <w:t xml:space="preserve">bash scripts/bootstrap.sh                                   # data artifacts (one-time)</w:t>
      </w:r>
    </w:p>
    <w:p>
      <w:pPr>
        <w:shd w:fill="F4F4F4" w:val="clear"/>
        <w:spacing w:after="0" w:before="0"/>
      </w:pPr>
      <w:r>
        <w:rPr>
          <w:rFonts w:ascii="Consolas" w:cs="Consolas" w:eastAsia="Consolas" w:hAnsi="Consolas"/>
          <w:sz w:val="18"/>
          <w:szCs w:val="18"/>
        </w:rPr>
        <w:t xml:space="preserve">.venv/bin/python -m pytest -q                               # 245 tests, all green</w:t>
      </w:r>
    </w:p>
    <w:p>
      <w:pPr>
        <w:shd w:fill="F4F4F4" w:val="clear"/>
        <w:spacing w:after="0" w:before="0"/>
      </w:pPr>
      <w:r>
        <w:rPr>
          <w:rFonts w:ascii="Consolas" w:cs="Consolas" w:eastAsia="Consolas" w:hAnsi="Consolas"/>
          <w:sz w:val="18"/>
          <w:szCs w:val="18"/>
        </w:rPr>
        <w:t xml:space="preserve">.venv/bin/python scripts/report_artifacts.py                # ~40 min: 7×N=1000 MC + validation</w:t>
      </w:r>
    </w:p>
    <w:p>
      <w:pPr>
        <w:shd w:fill="F4F4F4" w:val="clear"/>
        <w:spacing w:after="120" w:before="0"/>
      </w:pPr>
      <w:r>
        <w:rPr>
          <w:rFonts w:ascii="Consolas" w:cs="Consolas" w:eastAsia="Consolas" w:hAnsi="Consolas"/>
          <w:sz w:val="18"/>
          <w:szCs w:val="18"/>
        </w:rPr>
        <w:t xml:space="preserve">.venv/bin/python scripts/build_report_docx.py               # assembles this document</w:t>
      </w:r>
    </w:p>
    <w:p>
      <w:pPr>
        <w:spacing w:after="120"/>
      </w:pPr>
      <w:r>
        <w:rPr>
          <w:b w:val="false"/>
          <w:bCs w:val="false"/>
          <w:i w:val="false"/>
          <w:iCs w:val="false"/>
        </w:rPr>
        <w:t xml:space="preserve">The artifact build is seeded (seed 0, N = 1000 draws per scenario, spread 0.15); re-running it produces a byte-identical </w:t>
      </w:r>
      <w:r>
        <w:rPr>
          <w:rFonts w:ascii="Consolas" w:cs="Consolas" w:eastAsia="Consolas" w:hAnsi="Consolas"/>
          <w:b w:val="false"/>
          <w:bCs w:val="false"/>
          <w:i w:val="false"/>
          <w:iCs w:val="false"/>
        </w:rPr>
        <w:t xml:space="preserve">manifest.json</w:t>
      </w:r>
      <w:r>
        <w:rPr>
          <w:b w:val="false"/>
          <w:bCs w:val="false"/>
          <w:i w:val="false"/>
          <w:iCs w:val="false"/>
        </w:rPr>
        <w:t xml:space="preserve">. The document build resolves every number in the prose from that manifest and fails on any unresolved reference, so the text cannot cite a number the model did not produce. The footer of every page carries the git commit and generation timestamp of the manifest this copy was built from.</w:t>
      </w:r>
    </w:p>
    <w:p>
      <w:pPr>
        <w:spacing w:after="120"/>
      </w:pPr>
      <w:r>
        <w:rPr>
          <w:b w:val="false"/>
          <w:bCs w:val="false"/>
          <w:i w:val="false"/>
          <w:iCs w:val="false"/>
        </w:rPr>
        <w:t xml:space="preserve">Interactive exploration of every scenario, overlay, and lever in this report — including the Monte Carlo — is available in the repository's application (</w:t>
      </w:r>
      <w:r>
        <w:rPr>
          <w:rFonts w:ascii="Consolas" w:cs="Consolas" w:eastAsia="Consolas" w:hAnsi="Consolas"/>
          <w:b w:val="false"/>
          <w:bCs w:val="false"/>
          <w:i w:val="false"/>
          <w:iCs w:val="false"/>
        </w:rPr>
        <w:t xml:space="preserve">streamlit run app/streamlit_app.py</w:t>
      </w:r>
      <w:r>
        <w:rPr>
          <w:b w:val="false"/>
          <w:bCs w:val="false"/>
          <w:i w:val="false"/>
          <w:iCs w:val="false"/>
        </w:rPr>
        <w:t xml:space="preserve">), and a headless runner (</w:t>
      </w:r>
      <w:r>
        <w:rPr>
          <w:rFonts w:ascii="Consolas" w:cs="Consolas" w:eastAsia="Consolas" w:hAnsi="Consolas"/>
          <w:b w:val="false"/>
          <w:bCs w:val="false"/>
          <w:i w:val="false"/>
          <w:iCs w:val="false"/>
        </w:rPr>
        <w:t xml:space="preserve">scripts/monte_carlo.py --preset &lt;key&gt; --overlay &lt;key&gt;</w:t>
      </w:r>
      <w:r>
        <w:rPr>
          <w:b w:val="false"/>
          <w:bCs w:val="false"/>
          <w:i w:val="false"/>
          <w:iCs w:val="false"/>
        </w:rPr>
        <w:t xml:space="preserve">) reproduces any scenario × policy cell from the command line.</w:t>
      </w:r>
    </w:p>
    <w:p>
      <w:pPr>
        <w:pStyle w:val="Heading1"/>
      </w:pPr>
      <w:r>
        <w:t xml:space="preserve">References</w:t>
      </w:r>
    </w:p>
    <w:p>
      <w:pPr>
        <w:spacing w:after="120"/>
      </w:pPr>
      <w:r>
        <w:rPr>
          <w:b/>
          <w:bCs/>
          <w:i w:val="false"/>
          <w:iCs w:val="false"/>
        </w:rPr>
        <w:t xml:space="preserve">Scenario and calibration sources</w:t>
      </w:r>
      <w:r>
        <w:rPr>
          <w:b w:val="false"/>
          <w:bCs w:val="false"/>
          <w:i w:val="false"/>
          <w:iCs w:val="false"/>
        </w:rPr>
        <w:t xml:space="preserve"> (each anchor fetch-verified; verbatim quotes and URLs in </w:t>
      </w:r>
      <w:r>
        <w:rPr>
          <w:rFonts w:ascii="Consolas" w:cs="Consolas" w:eastAsia="Consolas" w:hAnsi="Consolas"/>
          <w:b w:val="false"/>
          <w:bCs w:val="false"/>
          <w:i w:val="false"/>
          <w:iCs w:val="false"/>
        </w:rPr>
        <w:t xml:space="preserve">docs/research/preset-evidence-raw.json</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Acemoglu, D. (2024). "The Simple Macroeconomics of AI." NBER WP 32487.</w:t>
      </w:r>
    </w:p>
    <w:p>
      <w:pPr>
        <w:pStyle w:val="ListParagraph"/>
        <w:numPr>
          <w:ilvl w:val="0"/>
          <w:numId w:val="3"/>
        </w:numPr>
        <w:spacing w:after="60"/>
      </w:pPr>
      <w:r>
        <w:rPr>
          <w:b w:val="false"/>
          <w:bCs w:val="false"/>
          <w:i w:val="false"/>
          <w:iCs w:val="false"/>
        </w:rPr>
        <w:t xml:space="preserve">Autor, D., Dorn, D., and Hanson, G. (2016). "The China Shock: Learning from Labor-Market</w:t>
      </w:r>
    </w:p>
    <w:p>
      <w:pPr>
        <w:spacing w:after="120"/>
      </w:pPr>
      <w:r>
        <w:rPr>
          <w:b w:val="false"/>
          <w:bCs w:val="false"/>
          <w:i w:val="false"/>
          <w:iCs w:val="false"/>
        </w:rPr>
        <w:t xml:space="preserve">Adjustment to Large Changes in Trade." Annual Review of Economics.</w:t>
      </w:r>
    </w:p>
    <w:p>
      <w:pPr>
        <w:pStyle w:val="ListParagraph"/>
        <w:numPr>
          <w:ilvl w:val="0"/>
          <w:numId w:val="3"/>
        </w:numPr>
        <w:spacing w:after="60"/>
      </w:pPr>
      <w:r>
        <w:rPr>
          <w:b w:val="false"/>
          <w:bCs w:val="false"/>
          <w:i w:val="false"/>
          <w:iCs w:val="false"/>
        </w:rPr>
        <w:t xml:space="preserve">Brynjolfsson, E., Chandar, B., and Chen, R. (2025). "Canaries in the Coal Mine? Six Facts about</w:t>
      </w:r>
    </w:p>
    <w:p>
      <w:pPr>
        <w:spacing w:after="120"/>
      </w:pPr>
      <w:r>
        <w:rPr>
          <w:b w:val="false"/>
          <w:bCs w:val="false"/>
          <w:i w:val="false"/>
          <w:iCs w:val="false"/>
        </w:rPr>
        <w:t xml:space="preserve">the Recent Employment Effects of Artificial Intelligence." Stanford Digital Economy Lab.</w:t>
      </w:r>
    </w:p>
    <w:p>
      <w:pPr>
        <w:pStyle w:val="ListParagraph"/>
        <w:numPr>
          <w:ilvl w:val="0"/>
          <w:numId w:val="3"/>
        </w:numPr>
        <w:spacing w:after="60"/>
      </w:pPr>
      <w:r>
        <w:rPr>
          <w:b w:val="false"/>
          <w:bCs w:val="false"/>
          <w:i w:val="false"/>
          <w:iCs w:val="false"/>
        </w:rPr>
        <w:t xml:space="preserve">Brynjolfsson, E., Li, D., and Raymond, L. (2025). "Generative AI at Work." Quarterly Journal of</w:t>
      </w:r>
    </w:p>
    <w:p>
      <w:pPr>
        <w:spacing w:after="120"/>
      </w:pPr>
      <w:r>
        <w:rPr>
          <w:b w:val="false"/>
          <w:bCs w:val="false"/>
          <w:i w:val="false"/>
          <w:iCs w:val="false"/>
        </w:rPr>
        <w:t xml:space="preserve">Economics 140(2).</w:t>
      </w:r>
    </w:p>
    <w:p>
      <w:pPr>
        <w:pStyle w:val="ListParagraph"/>
        <w:numPr>
          <w:ilvl w:val="0"/>
          <w:numId w:val="3"/>
        </w:numPr>
        <w:spacing w:after="60"/>
      </w:pPr>
      <w:r>
        <w:rPr>
          <w:b w:val="false"/>
          <w:bCs w:val="false"/>
          <w:i w:val="false"/>
          <w:iCs w:val="false"/>
        </w:rPr>
        <w:t xml:space="preserve">Brynjolfsson, E., Rock, D., and Syverson, C. (2021). "The Productivity J-Curve." AEJ: Macro.</w:t>
      </w:r>
    </w:p>
    <w:p>
      <w:pPr>
        <w:pStyle w:val="ListParagraph"/>
        <w:numPr>
          <w:ilvl w:val="0"/>
          <w:numId w:val="3"/>
        </w:numPr>
        <w:spacing w:after="60"/>
      </w:pPr>
      <w:r>
        <w:rPr>
          <w:b w:val="false"/>
          <w:bCs w:val="false"/>
          <w:i w:val="false"/>
          <w:iCs w:val="false"/>
        </w:rPr>
        <w:t xml:space="preserve">Costinot, A., and Werning, I. (2023). "Robots, Trade, and Luddism: A Sufficient Statistic</w:t>
      </w:r>
    </w:p>
    <w:p>
      <w:pPr>
        <w:spacing w:after="120"/>
      </w:pPr>
      <w:r>
        <w:rPr>
          <w:b w:val="false"/>
          <w:bCs w:val="false"/>
          <w:i w:val="false"/>
          <w:iCs w:val="false"/>
        </w:rPr>
        <w:t xml:space="preserve">Approach to Optimal Technology Regulation." Review of Economic Studies.</w:t>
      </w:r>
    </w:p>
    <w:p>
      <w:pPr>
        <w:pStyle w:val="ListParagraph"/>
        <w:numPr>
          <w:ilvl w:val="0"/>
          <w:numId w:val="3"/>
        </w:numPr>
        <w:spacing w:after="60"/>
      </w:pPr>
      <w:r>
        <w:rPr>
          <w:b w:val="false"/>
          <w:bCs w:val="false"/>
          <w:i w:val="false"/>
          <w:iCs w:val="false"/>
        </w:rPr>
        <w:t xml:space="preserve">Davidson, T. (2023). "What a Compute-Centric Framework Says About Takeoff Speeds." Open</w:t>
      </w:r>
    </w:p>
    <w:p>
      <w:pPr>
        <w:spacing w:after="120"/>
      </w:pPr>
      <w:r>
        <w:rPr>
          <w:b w:val="false"/>
          <w:bCs w:val="false"/>
          <w:i w:val="false"/>
          <w:iCs w:val="false"/>
        </w:rPr>
        <w:t xml:space="preserve">Philanthropy.</w:t>
      </w:r>
    </w:p>
    <w:p>
      <w:pPr>
        <w:pStyle w:val="ListParagraph"/>
        <w:numPr>
          <w:ilvl w:val="0"/>
          <w:numId w:val="3"/>
        </w:numPr>
        <w:spacing w:after="60"/>
      </w:pPr>
      <w:r>
        <w:rPr>
          <w:b w:val="false"/>
          <w:bCs w:val="false"/>
          <w:i w:val="false"/>
          <w:iCs w:val="false"/>
        </w:rPr>
        <w:t xml:space="preserve">Davis, S., and von Wachter, T. (2011). "Recessions and the Costs of Job Loss." Brookings Papers</w:t>
      </w:r>
    </w:p>
    <w:p>
      <w:pPr>
        <w:spacing w:after="120"/>
      </w:pPr>
      <w:r>
        <w:rPr>
          <w:b w:val="false"/>
          <w:bCs w:val="false"/>
          <w:i w:val="false"/>
          <w:iCs w:val="false"/>
        </w:rPr>
        <w:t xml:space="preserve">on Economic Activity.</w:t>
      </w:r>
    </w:p>
    <w:p>
      <w:pPr>
        <w:pStyle w:val="ListParagraph"/>
        <w:numPr>
          <w:ilvl w:val="0"/>
          <w:numId w:val="3"/>
        </w:numPr>
        <w:spacing w:after="60"/>
      </w:pPr>
      <w:r>
        <w:rPr>
          <w:b w:val="false"/>
          <w:bCs w:val="false"/>
          <w:i w:val="false"/>
          <w:iCs w:val="false"/>
        </w:rPr>
        <w:t xml:space="preserve">Eloundou, T., Manning, S., Mishkin, P., and Rock, D. (2023). "GPTs are GPTs: An Early Look at</w:t>
      </w:r>
    </w:p>
    <w:p>
      <w:pPr>
        <w:spacing w:after="120"/>
      </w:pPr>
      <w:r>
        <w:rPr>
          <w:b w:val="false"/>
          <w:bCs w:val="false"/>
          <w:i w:val="false"/>
          <w:iCs w:val="false"/>
        </w:rPr>
        <w:t xml:space="preserve">the Labor Market Impact Potential of Large Language Models." arXiv:2303.10130.</w:t>
      </w:r>
    </w:p>
    <w:p>
      <w:pPr>
        <w:pStyle w:val="ListParagraph"/>
        <w:numPr>
          <w:ilvl w:val="0"/>
          <w:numId w:val="3"/>
        </w:numPr>
        <w:spacing w:after="60"/>
      </w:pPr>
      <w:r>
        <w:rPr>
          <w:b w:val="false"/>
          <w:bCs w:val="false"/>
          <w:i w:val="false"/>
          <w:iCs w:val="false"/>
        </w:rPr>
        <w:t xml:space="preserve">Epoch AI (2025). "GATE: An Integrated Assessment Model for AI Automation." arXiv:2503.04941.</w:t>
      </w:r>
    </w:p>
    <w:p>
      <w:pPr>
        <w:pStyle w:val="ListParagraph"/>
        <w:numPr>
          <w:ilvl w:val="0"/>
          <w:numId w:val="3"/>
        </w:numPr>
        <w:spacing w:after="60"/>
      </w:pPr>
      <w:r>
        <w:rPr>
          <w:b w:val="false"/>
          <w:bCs w:val="false"/>
          <w:i w:val="false"/>
          <w:iCs w:val="false"/>
        </w:rPr>
        <w:t xml:space="preserve">Farber, H. (2015). "Job Loss in the Great Recession and its Aftermath: U.S. Evidence from the</w:t>
      </w:r>
    </w:p>
    <w:p>
      <w:pPr>
        <w:spacing w:after="120"/>
      </w:pPr>
      <w:r>
        <w:rPr>
          <w:b w:val="false"/>
          <w:bCs w:val="false"/>
          <w:i w:val="false"/>
          <w:iCs w:val="false"/>
        </w:rPr>
        <w:t xml:space="preserve">Displaced Workers Survey." NBER WP 21216.</w:t>
      </w:r>
    </w:p>
    <w:p>
      <w:pPr>
        <w:pStyle w:val="ListParagraph"/>
        <w:numPr>
          <w:ilvl w:val="0"/>
          <w:numId w:val="3"/>
        </w:numPr>
        <w:spacing w:after="60"/>
      </w:pPr>
      <w:r>
        <w:rPr>
          <w:b w:val="false"/>
          <w:bCs w:val="false"/>
          <w:i w:val="false"/>
          <w:iCs w:val="false"/>
        </w:rPr>
        <w:t xml:space="preserve">Felten, E., Raj, M., and Seamans, R. (2023). "How Will Language Modelers like ChatGPT Affect</w:t>
      </w:r>
    </w:p>
    <w:p>
      <w:pPr>
        <w:spacing w:after="120"/>
      </w:pPr>
      <w:r>
        <w:rPr>
          <w:b w:val="false"/>
          <w:bCs w:val="false"/>
          <w:i w:val="false"/>
          <w:iCs w:val="false"/>
        </w:rPr>
        <w:t xml:space="preserve">Occupations and Industries?" arXiv:2303.01157.</w:t>
      </w:r>
    </w:p>
    <w:p>
      <w:pPr>
        <w:pStyle w:val="ListParagraph"/>
        <w:numPr>
          <w:ilvl w:val="0"/>
          <w:numId w:val="3"/>
        </w:numPr>
        <w:spacing w:after="60"/>
      </w:pPr>
      <w:r>
        <w:rPr>
          <w:b w:val="false"/>
          <w:bCs w:val="false"/>
          <w:i w:val="false"/>
          <w:iCs w:val="false"/>
        </w:rPr>
        <w:t xml:space="preserve">Guerreiro, J., Rebelo, S., and Teles, P. (2022). "Should Robots Be Taxed?" Review of Economic</w:t>
      </w:r>
    </w:p>
    <w:p>
      <w:pPr>
        <w:spacing w:after="120"/>
      </w:pPr>
      <w:r>
        <w:rPr>
          <w:b w:val="false"/>
          <w:bCs w:val="false"/>
          <w:i w:val="false"/>
          <w:iCs w:val="false"/>
        </w:rPr>
        <w:t xml:space="preserve">Studies 89(1).</w:t>
      </w:r>
    </w:p>
    <w:p>
      <w:pPr>
        <w:pStyle w:val="ListParagraph"/>
        <w:numPr>
          <w:ilvl w:val="0"/>
          <w:numId w:val="3"/>
        </w:numPr>
        <w:spacing w:after="60"/>
      </w:pPr>
      <w:r>
        <w:rPr>
          <w:b w:val="false"/>
          <w:bCs w:val="false"/>
          <w:i w:val="false"/>
          <w:iCs w:val="false"/>
        </w:rPr>
        <w:t xml:space="preserve">Holtmann, S., Braun, A. S., Cho, J., Koch, R., and Langenmayr, D. (2025). "Investment Effects of</w:t>
      </w:r>
    </w:p>
    <w:p>
      <w:pPr>
        <w:spacing w:after="120"/>
      </w:pPr>
      <w:r>
        <w:rPr>
          <w:b w:val="false"/>
          <w:bCs w:val="false"/>
          <w:i w:val="false"/>
          <w:iCs w:val="false"/>
        </w:rPr>
        <w:t xml:space="preserve">a Quasi-Robot Tax: Evidence from South Korea." arqus Discussion Paper.</w:t>
      </w:r>
    </w:p>
    <w:p>
      <w:pPr>
        <w:pStyle w:val="ListParagraph"/>
        <w:numPr>
          <w:ilvl w:val="0"/>
          <w:numId w:val="3"/>
        </w:numPr>
        <w:spacing w:after="60"/>
      </w:pPr>
      <w:r>
        <w:rPr>
          <w:b w:val="false"/>
          <w:bCs w:val="false"/>
          <w:i w:val="false"/>
          <w:iCs w:val="false"/>
        </w:rPr>
        <w:t xml:space="preserve">Ieong, T., Saputra, A., Maniar, A., and Cheng, D. (2026). "Mapping Tax Risks From</w:t>
      </w:r>
    </w:p>
    <w:p>
      <w:pPr>
        <w:spacing w:after="120"/>
      </w:pPr>
      <w:r>
        <w:rPr>
          <w:b w:val="false"/>
          <w:bCs w:val="false"/>
          <w:i w:val="false"/>
          <w:iCs w:val="false"/>
        </w:rPr>
        <w:t xml:space="preserve">Labour-Displacing AI." Windfall Trust.</w:t>
      </w:r>
    </w:p>
    <w:p>
      <w:pPr>
        <w:pStyle w:val="ListParagraph"/>
        <w:numPr>
          <w:ilvl w:val="0"/>
          <w:numId w:val="3"/>
        </w:numPr>
        <w:spacing w:after="60"/>
      </w:pPr>
      <w:r>
        <w:rPr>
          <w:b w:val="false"/>
          <w:bCs w:val="false"/>
          <w:i w:val="false"/>
          <w:iCs w:val="false"/>
        </w:rPr>
        <w:t xml:space="preserve">Jacobson, L., LaLonde, R., and Sullivan, D. (1993). "Earnings Losses of Displaced Workers."</w:t>
      </w:r>
    </w:p>
    <w:p>
      <w:pPr>
        <w:spacing w:after="120"/>
      </w:pPr>
      <w:r>
        <w:rPr>
          <w:b w:val="false"/>
          <w:bCs w:val="false"/>
          <w:i w:val="false"/>
          <w:iCs w:val="false"/>
        </w:rPr>
        <w:t xml:space="preserve">American Economic Review 83(4).</w:t>
      </w:r>
    </w:p>
    <w:p>
      <w:pPr>
        <w:pStyle w:val="ListParagraph"/>
        <w:numPr>
          <w:ilvl w:val="0"/>
          <w:numId w:val="3"/>
        </w:numPr>
        <w:spacing w:after="60"/>
      </w:pPr>
      <w:r>
        <w:rPr>
          <w:b w:val="false"/>
          <w:bCs w:val="false"/>
          <w:i w:val="false"/>
          <w:iCs w:val="false"/>
        </w:rPr>
        <w:t xml:space="preserve">Korinek, A., and Lockwood, L. (2026). "Public Finance in the Age of AI: A Primer." NBER WP 34873.</w:t>
      </w:r>
    </w:p>
    <w:p>
      <w:pPr>
        <w:pStyle w:val="ListParagraph"/>
        <w:numPr>
          <w:ilvl w:val="0"/>
          <w:numId w:val="3"/>
        </w:numPr>
        <w:spacing w:after="60"/>
      </w:pPr>
      <w:r>
        <w:rPr>
          <w:b w:val="false"/>
          <w:bCs w:val="false"/>
          <w:i w:val="false"/>
          <w:iCs w:val="false"/>
        </w:rPr>
        <w:t xml:space="preserve">Korinek, A., and Stiglitz, J. (2019). "Artificial Intelligence and Its Implications for Income</w:t>
      </w:r>
    </w:p>
    <w:p>
      <w:pPr>
        <w:spacing w:after="120"/>
      </w:pPr>
      <w:r>
        <w:rPr>
          <w:b w:val="false"/>
          <w:bCs w:val="false"/>
          <w:i w:val="false"/>
          <w:iCs w:val="false"/>
        </w:rPr>
        <w:t xml:space="preserve">Distribution and Unemployment." NBER chapter.</w:t>
      </w:r>
    </w:p>
    <w:p>
      <w:pPr>
        <w:pStyle w:val="ListParagraph"/>
        <w:numPr>
          <w:ilvl w:val="0"/>
          <w:numId w:val="3"/>
        </w:numPr>
        <w:spacing w:after="60"/>
      </w:pPr>
      <w:r>
        <w:rPr>
          <w:b w:val="false"/>
          <w:bCs w:val="false"/>
          <w:i w:val="false"/>
          <w:iCs w:val="false"/>
        </w:rPr>
        <w:t xml:space="preserve">Korinek, A., and Suh, D. (2024). "Scenarios for the Transition to AGI." NBER WP 32255.</w:t>
      </w:r>
    </w:p>
    <w:p>
      <w:pPr>
        <w:pStyle w:val="ListParagraph"/>
        <w:numPr>
          <w:ilvl w:val="0"/>
          <w:numId w:val="3"/>
        </w:numPr>
        <w:spacing w:after="60"/>
      </w:pPr>
      <w:r>
        <w:rPr>
          <w:b w:val="false"/>
          <w:bCs w:val="false"/>
          <w:i w:val="false"/>
          <w:iCs w:val="false"/>
        </w:rPr>
        <w:t xml:space="preserve">Kokotajlo, D., Alexander, S., Larsen, T., Lifland, E., et al. (2025). "AI 2027." AI Futures</w:t>
      </w:r>
    </w:p>
    <w:p>
      <w:pPr>
        <w:spacing w:after="120"/>
      </w:pPr>
      <w:r>
        <w:rPr>
          <w:b w:val="false"/>
          <w:bCs w:val="false"/>
          <w:i w:val="false"/>
          <w:iCs w:val="false"/>
        </w:rPr>
        <w:t xml:space="preserve">Project.</w:t>
      </w:r>
    </w:p>
    <w:p>
      <w:pPr>
        <w:pStyle w:val="ListParagraph"/>
        <w:numPr>
          <w:ilvl w:val="0"/>
          <w:numId w:val="3"/>
        </w:numPr>
        <w:spacing w:after="60"/>
      </w:pPr>
      <w:r>
        <w:rPr>
          <w:b w:val="false"/>
          <w:bCs w:val="false"/>
          <w:i w:val="false"/>
          <w:iCs w:val="false"/>
        </w:rPr>
        <w:t xml:space="preserve">MacAskill, W., and Moorhouse, F. (2025). "Preparing for the Intelligence Explosion." Forethought.</w:t>
      </w:r>
    </w:p>
    <w:p>
      <w:pPr>
        <w:pStyle w:val="ListParagraph"/>
        <w:numPr>
          <w:ilvl w:val="0"/>
          <w:numId w:val="3"/>
        </w:numPr>
        <w:spacing w:after="60"/>
      </w:pPr>
      <w:r>
        <w:rPr>
          <w:b w:val="false"/>
          <w:bCs w:val="false"/>
          <w:i w:val="false"/>
          <w:iCs w:val="false"/>
        </w:rPr>
        <w:t xml:space="preserve">Price, C., and Suresh, A. (2025). "Federal Revenue When AI Replaces Labor." RAND WRA4443-1.</w:t>
      </w:r>
    </w:p>
    <w:p>
      <w:pPr>
        <w:pStyle w:val="ListParagraph"/>
        <w:numPr>
          <w:ilvl w:val="0"/>
          <w:numId w:val="3"/>
        </w:numPr>
        <w:spacing w:after="60"/>
      </w:pPr>
      <w:r>
        <w:rPr>
          <w:b w:val="false"/>
          <w:bCs w:val="false"/>
          <w:i w:val="false"/>
          <w:iCs w:val="false"/>
        </w:rPr>
        <w:t xml:space="preserve">Thuemmel, U. (2023). "Optimal Taxation of Robots." Journal of the European Economic Association</w:t>
      </w:r>
    </w:p>
    <w:p>
      <w:pPr>
        <w:spacing w:after="120"/>
      </w:pPr>
      <w:r>
        <w:rPr>
          <w:b w:val="false"/>
          <w:bCs w:val="false"/>
          <w:i w:val="false"/>
          <w:iCs w:val="false"/>
        </w:rPr>
        <w:t xml:space="preserve">21(3).</w:t>
      </w:r>
    </w:p>
    <w:p>
      <w:pPr>
        <w:pStyle w:val="ListParagraph"/>
        <w:numPr>
          <w:ilvl w:val="0"/>
          <w:numId w:val="3"/>
        </w:numPr>
        <w:spacing w:after="60"/>
      </w:pPr>
      <w:r>
        <w:rPr>
          <w:b w:val="false"/>
          <w:bCs w:val="false"/>
          <w:i w:val="false"/>
          <w:iCs w:val="false"/>
        </w:rPr>
        <w:t xml:space="preserve">Webb, M. (2020). "The Impact of Artificial Intelligence on the Labor Market." SSRN 3482150.</w:t>
      </w:r>
    </w:p>
    <w:p>
      <w:pPr>
        <w:pStyle w:val="ListParagraph"/>
        <w:numPr>
          <w:ilvl w:val="0"/>
          <w:numId w:val="3"/>
        </w:numPr>
        <w:spacing w:after="60"/>
      </w:pPr>
      <w:r>
        <w:rPr>
          <w:b w:val="false"/>
          <w:bCs w:val="false"/>
          <w:i w:val="false"/>
          <w:iCs w:val="false"/>
        </w:rPr>
        <w:t xml:space="preserve">Chodorow-Reich, G. (2019). "Geographic Cross-Sectional Fiscal Spending Multipliers: What Have We</w:t>
      </w:r>
    </w:p>
    <w:p>
      <w:pPr>
        <w:spacing w:after="120"/>
      </w:pPr>
      <w:r>
        <w:rPr>
          <w:b w:val="false"/>
          <w:bCs w:val="false"/>
          <w:i w:val="false"/>
          <w:iCs w:val="false"/>
        </w:rPr>
        <w:t xml:space="preserve">Learned?" AEJ: Economic Policy.</w:t>
      </w:r>
    </w:p>
    <w:p>
      <w:pPr>
        <w:spacing w:after="120"/>
      </w:pPr>
      <w:r>
        <w:rPr>
          <w:b/>
          <w:bCs/>
          <w:i w:val="false"/>
          <w:iCs w:val="false"/>
        </w:rPr>
        <w:t xml:space="preserve">Data sources</w:t>
      </w:r>
      <w:r>
        <w:rPr>
          <w:b w:val="false"/>
          <w:bCs w:val="false"/>
          <w:i w:val="false"/>
          <w:iCs w:val="false"/>
        </w:rPr>
        <w:t xml:space="preserve">: BLS Occupational Employment and Wage Statistics (2024; May 2025 state files); BEA National Income and Product Accounts (2024); Census ACS PUMS (2024); Yale Budget Lab AI exposure index; PolicyEngine-US (offline bake); federal tax schedules (2025) and state schedules (2026).</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910978b · 2026-07-27 18:58 · seed 0, N=1000</w:t>
    </w:r>
    <w:r>
      <w:rPr>
        <w:color w:val="666666"/>
        <w:sz w:val="14"/>
        <w:szCs w:val="14"/>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910978b · 2026-07-27 18:58 · seed 0, N=1000</w:t>
    </w:r>
    <w:r>
      <w:rPr>
        <w:color w:val="666666"/>
        <w:sz w:val="14"/>
        <w:szCs w:val="14"/>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910978b · 2026-07-27 18:58 · seed 0, N=1000</w:t>
    </w:r>
    <w:r>
      <w:rPr>
        <w:color w:val="666666"/>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2"/>
      <w:szCs w:val="32"/>
    </w:rPr>
  </w:style>
  <w:style w:type="paragraph" w:styleId="Heading2">
    <w:name w:val="Heading 2"/>
    <w:basedOn w:val="Normal"/>
    <w:next w:val="Normal"/>
    <w:qFormat/>
    <w:pPr>
      <w:spacing w:after="160" w:before="26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3"/>
      <w:szCs w:val="23"/>
    </w:rPr>
  </w:style>
  <w:style w:type="paragraph" w:styleId="Heading4">
    <w:name w:val="Heading 4"/>
    <w:basedOn w:val="Normal"/>
    <w:next w:val="Normal"/>
    <w:qFormat/>
    <w:pPr>
      <w:spacing w:after="100" w:before="160"/>
      <w:outlineLvl w:val="3"/>
    </w:pPr>
    <w:rPr>
      <w:rFonts w:ascii="Arial" w:cs="Arial" w:eastAsia="Arial" w:hAnsi="Arial"/>
      <w:b/>
      <w:bCs/>
      <w:i/>
      <w:iCs/>
      <w:sz w:val="22"/>
      <w:szCs w:val="22"/>
    </w:rPr>
  </w:style>
  <w:style w:type="paragraph" w:styleId="Caption">
    <w:name w:val="Caption"/>
    <w:basedOn w:val="Normal"/>
    <w:rPr>
      <w:i/>
      <w:iCs/>
      <w:color w:val="444444"/>
      <w:sz w:val="18"/>
      <w:szCs w:val="18"/>
    </w:rPr>
  </w:style>
  <w:style w:type="paragraph" w:styleId="Title">
    <w:name w:val="Title"/>
    <w:basedOn w:val="Normal"/>
    <w:pPr>
      <w:spacing w:after="240"/>
    </w:pPr>
    <w:rPr>
      <w:b/>
      <w:bCs/>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b853cd0a3528212bf4b5be8e34465efa39eb8cb8.png"/><Relationship Id="rId11" Type="http://schemas.openxmlformats.org/officeDocument/2006/relationships/image" Target="media/462e1e6e43af33f0a9e709917f65eadb0656e886.png"/><Relationship Id="rId12" Type="http://schemas.openxmlformats.org/officeDocument/2006/relationships/image" Target="media/810b9ca73bea30aff72cfbd5de44c65118776d3b.png"/><Relationship Id="rId13" Type="http://schemas.openxmlformats.org/officeDocument/2006/relationships/image" Target="media/516797db897491f828687fcebd75ff21a2f90b62.png"/><Relationship Id="rId14" Type="http://schemas.openxmlformats.org/officeDocument/2006/relationships/image" Target="media/471ab4ebc75b30b99ee27d1bff17894b7bc1511a.png"/><Relationship Id="rId15" Type="http://schemas.openxmlformats.org/officeDocument/2006/relationships/image" Target="media/e09d785c557b6b7c2ef103445a0acf86e845c87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2026-08-03T19:18:32.269Z</dcterms:created>
  <dcterms:modified xsi:type="dcterms:W3CDTF">2026-08-03T19:18:32.270Z</dcterms:modified>
</cp:coreProperties>
</file>

<file path=docProps/custom.xml><?xml version="1.0" encoding="utf-8"?>
<Properties xmlns="http://schemas.openxmlformats.org/officeDocument/2006/custom-properties" xmlns:vt="http://schemas.openxmlformats.org/officeDocument/2006/docPropsVTypes"/>
</file>