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36"/>
          <w:szCs w:val="36"/>
        </w:rPr>
        <w:t xml:space="preserve">TECHNICAL MEMO</w:t>
      </w:r>
    </w:p>
    <w:p>
      <w:pPr>
        <w:spacing w:after="40"/>
      </w:pPr>
      <w:r>
        <w:rPr>
          <w:i/>
          <w:iCs/>
          <w:sz w:val="22"/>
          <w:szCs w:val="22"/>
        </w:rPr>
        <w:t xml:space="preserve">Adiabatic Machines, Inc.</w:t>
      </w:r>
    </w:p>
    <w:p>
      <w:pPr>
        <w:pBdr>
          <w:bottom w:val="single" w:color="333333" w:sz="6" w:space="8"/>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pPr>
            <w:r>
              <w:rPr>
                <w:rFonts w:ascii="Arial" w:cs="Arial" w:eastAsia="Arial" w:hAnsi="Arial"/>
                <w:b/>
                <w:bCs/>
                <w:sz w:val="22"/>
                <w:szCs w:val="22"/>
              </w:rPr>
              <w:t xml:space="preserve">Subject:</w:t>
            </w:r>
          </w:p>
        </w:tc>
        <w:tc>
          <w:tcPr>
            <w:tcW w:type="dxa" w:w="73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pPr>
            <w:r>
              <w:rPr>
                <w:rFonts w:ascii="Arial" w:cs="Arial" w:eastAsia="Arial" w:hAnsi="Arial"/>
                <w:sz w:val="22"/>
                <w:szCs w:val="22"/>
              </w:rPr>
              <w:t xml:space="preserve">Ground Isolation Architecture for AQFP Latching JJ Output Amplifiers</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pPr>
            <w:r>
              <w:rPr>
                <w:rFonts w:ascii="Arial" w:cs="Arial" w:eastAsia="Arial" w:hAnsi="Arial"/>
                <w:b/>
                <w:bCs/>
                <w:sz w:val="22"/>
                <w:szCs w:val="22"/>
              </w:rPr>
              <w:t xml:space="preserve">Author:</w:t>
            </w:r>
          </w:p>
        </w:tc>
        <w:tc>
          <w:tcPr>
            <w:tcW w:type="dxa" w:w="73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pPr>
            <w:r>
              <w:rPr>
                <w:rFonts w:ascii="Arial" w:cs="Arial" w:eastAsia="Arial" w:hAnsi="Arial"/>
                <w:sz w:val="22"/>
                <w:szCs w:val="22"/>
              </w:rPr>
              <w:t xml:space="preserve">Alex Wynn / Claude (Anthropic)</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pPr>
            <w:r>
              <w:rPr>
                <w:rFonts w:ascii="Arial" w:cs="Arial" w:eastAsia="Arial" w:hAnsi="Arial"/>
                <w:b/>
                <w:bCs/>
                <w:sz w:val="22"/>
                <w:szCs w:val="22"/>
              </w:rPr>
              <w:t xml:space="preserve">Date:</w:t>
            </w:r>
          </w:p>
        </w:tc>
        <w:tc>
          <w:tcPr>
            <w:tcW w:type="dxa" w:w="73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pPr>
            <w:r>
              <w:rPr>
                <w:rFonts w:ascii="Arial" w:cs="Arial" w:eastAsia="Arial" w:hAnsi="Arial"/>
                <w:sz w:val="22"/>
                <w:szCs w:val="22"/>
              </w:rPr>
              <w:t xml:space="preserve">March 13, 2026</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pPr>
            <w:r>
              <w:rPr>
                <w:rFonts w:ascii="Arial" w:cs="Arial" w:eastAsia="Arial" w:hAnsi="Arial"/>
                <w:b/>
                <w:bCs/>
                <w:sz w:val="22"/>
                <w:szCs w:val="22"/>
              </w:rPr>
              <w:t xml:space="preserve">Status:</w:t>
            </w:r>
          </w:p>
        </w:tc>
        <w:tc>
          <w:tcPr>
            <w:tcW w:type="dxa" w:w="73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pPr>
            <w:r>
              <w:rPr>
                <w:rFonts w:ascii="Arial" w:cs="Arial" w:eastAsia="Arial" w:hAnsi="Arial"/>
                <w:sz w:val="22"/>
                <w:szCs w:val="22"/>
              </w:rPr>
              <w:t xml:space="preserve">Working document — captures design discussion for future reference</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pPr>
            <w:r>
              <w:rPr>
                <w:rFonts w:ascii="Arial" w:cs="Arial" w:eastAsia="Arial" w:hAnsi="Arial"/>
                <w:b/>
                <w:bCs/>
                <w:sz w:val="22"/>
                <w:szCs w:val="22"/>
              </w:rPr>
              <w:t xml:space="preserve">References:</w:t>
            </w:r>
          </w:p>
        </w:tc>
        <w:tc>
          <w:tcPr>
            <w:tcW w:type="dxa" w:w="73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pPr>
            <w:r>
              <w:rPr>
                <w:rFonts w:ascii="Arial" w:cs="Arial" w:eastAsia="Arial" w:hAnsi="Arial"/>
                <w:sz w:val="22"/>
                <w:szCs w:val="22"/>
              </w:rPr>
              <w:t xml:space="preserve">Ground return impedance simulation (shared Gnd, 1Ω coupling); SFQ5ee process design rules</w:t>
            </w:r>
          </w:p>
        </w:tc>
      </w:tr>
    </w:tbl>
    <w:p>
      <w:pPr>
        <w:spacing w:before="360" w:after="200"/>
      </w:pPr>
    </w:p>
    <w:p>
      <w:pPr>
        <w:pStyle w:val="Heading1"/>
      </w:pPr>
      <w:r>
        <w:t xml:space="preserve">1. Problem Statement</w:t>
      </w:r>
    </w:p>
    <w:p>
      <w:pPr>
        <w:spacing w:after="160"/>
      </w:pPr>
      <w:r>
        <w:t xml:space="preserve">The current AQFP output amplifier design uses latching Josephson junction (JJ) amplifiers with differential outputs. On the fabricated test chip, 14 differential amplifiers share a common ground return path. Simulation confirmed that as little as 1 Ω of shared ground return impedance is sufficient to produce majority-vote artifacts, where the switching state of one amplifier influences the output of its neighbors through ground bounce.</w:t>
      </w:r>
    </w:p>
    <w:p>
      <w:pPr>
        <w:spacing w:after="160"/>
      </w:pPr>
      <w:r>
        <w:t xml:space="preserve">The immediate fix identified was bonding more ground pads to reduce the shared impedance. However, this memo documents a more fundamental architectural solution: fully isolated ground domains for each output amplifier, with transformer-coupled inputs from the AQFP logic array.</w:t>
      </w:r>
    </w:p>
    <w:p>
      <w:pPr>
        <w:pStyle w:val="Heading1"/>
      </w:pPr>
      <w:r>
        <w:t xml:space="preserve">2. System-Level Ground Architecture</w:t>
      </w:r>
    </w:p>
    <w:p>
      <w:pPr>
        <w:pStyle w:val="Heading2"/>
      </w:pPr>
      <w:r>
        <w:t xml:space="preserve">2.1 Cryocooler Ground Path</w:t>
      </w:r>
    </w:p>
    <w:p>
      <w:pPr>
        <w:spacing w:after="160"/>
      </w:pPr>
      <w:r>
        <w:t xml:space="preserve">In a standard SHI RDK-101D installation, the cold head cylinder is electrically continuous with the compressor chassis through the stainless steel body, the braided stainless flex lines, and the compressor housing. The compressor chassis is earth-grounded through its AC power cord. This means the second-stage cold finger, first-stage heat station, and warm flange are all galvanically connected to AC mains earth. The GM cycle valve motor produces periodic current transients at the cycle frequency (~1 Hz), and these transients propagate through the ground structure.</w:t>
      </w:r>
    </w:p>
    <w:p>
      <w:pPr>
        <w:spacing w:after="160"/>
      </w:pPr>
      <w:r>
        <w:t xml:space="preserve">If the AQFP copper backplane at 4K is bolted directly to the second-stage cold finger, the circuit ground reference is defined in part by the compressor ground, injecting noise directly into the amplifier ground return problem.</w:t>
      </w:r>
    </w:p>
    <w:p>
      <w:pPr>
        <w:pStyle w:val="Heading2"/>
      </w:pPr>
      <w:r>
        <w:t xml:space="preserve">2.2 Ceramic Electrical Isolation at the Cold Finger</w:t>
      </w:r>
    </w:p>
    <w:p>
      <w:pPr>
        <w:spacing w:after="160"/>
      </w:pPr>
      <w:r>
        <w:t xml:space="preserve">The cold head body is galvanically connected to the compressor chassis through the stainless steel flex lines. There is no practical way to break this path at the warm end or in the flex lines without compromising helium integrity. Isolating the cold head from the vacuum jacket at the warm flange is also ineffective, since the cold head remains connected to the compressor through the hoses regardless. The only useful isolation point is between the second-stage cold finger and the copper backplane.</w:t>
      </w:r>
    </w:p>
    <w:p>
      <w:pPr>
        <w:spacing w:after="160"/>
      </w:pPr>
      <w:r>
        <w:t xml:space="preserve">The solution is to insert an electrically insulating, thermally conductive ceramic disk at this interface. Single-crystal sapphire (Al₂O₃) is the traditional choice, with thermal conductivity of 100–1000 W/m·K at 4K depending on crystal quality. However, </w:t>
      </w:r>
      <w:r>
        <w:rPr>
          <w:b/>
          <w:bCs/>
        </w:rPr>
        <w:t xml:space="preserve">polycrystalline alumina</w:t>
      </w:r>
      <w:r>
        <w:t xml:space="preserve"> is a more practical alternative for this application. Its thermal conductivity at 4K is lower (10–30 W/m·K) but still adequate, since the thermal boundary resistance at the indium foil interfaces dominates over the bulk resistance of the disk. Alumina disks are available off the shelf from CoorsTek, McMaster-Carr, and other suppliers for a few dollars, with lead times of days rather than weeks.</w:t>
      </w:r>
    </w:p>
    <w:p>
      <w:pPr>
        <w:spacing w:after="160"/>
      </w:pPr>
      <w:r>
        <w:t xml:space="preserve">Recommended parameters: 25–30 mm diameter, 1–2 mm thick, polished both faces. Use indium foil (0.1 mm) on both interfaces and apply high clamping force. With indium foil interfaces, thermal boundary resistance is typically below 1 K/W for a 25 mm disk, resulting in a base temperature rise of a fraction of a kelvin depending on total heat load.</w:t>
      </w:r>
    </w:p>
    <w:p>
      <w:pPr>
        <w:spacing w:after="160"/>
      </w:pPr>
      <w:r>
        <w:t xml:space="preserve">With the ceramic break in place, the circuit ground is defined entirely by the room-temperature measurement electronics, brought in through a dedicated ground conductor in the DC wiring harness. The cryostat body, cold head, and compressor are on a separate, isolated ground domain.</w:t>
      </w:r>
    </w:p>
    <w:p>
      <w:pPr>
        <w:pStyle w:val="Heading2"/>
      </w:pPr>
      <w:r>
        <w:t xml:space="preserve">2.3 Prior Art</w:t>
      </w:r>
    </w:p>
    <w:p>
      <w:pPr>
        <w:spacing w:after="160"/>
      </w:pPr>
      <w:r>
        <w:t xml:space="preserve">This approach is well established in the superconducting electronics and quantum computing communities. Sapphire heat-conducting elements are routinely used in cold-finger cryostats to provide thermal coupling while maintaining electrical isolation between the cold head and the sample stage (see, e.g., Woodcraft et al., "Thermal conductance of pressed metallic contacts augmented with indium foil or solder at sub-Kelvin temperatures"). The dilution refrigerator community uses sapphire breaks as standard practice when isolating millikelvin experiments from the fridge structure. For AQFP circuits operating at 4K (rather than 10–20 mK), the thermal requirements are much less stringent, and polycrystalline alumina is fully adequate.</w:t>
      </w:r>
    </w:p>
    <w:p>
      <w:pPr>
        <w:pStyle w:val="Heading2"/>
      </w:pPr>
      <w:r>
        <w:t xml:space="preserve">2.3 Feedthrough Considerations</w:t>
      </w:r>
    </w:p>
    <w:p>
      <w:pPr>
        <w:spacing w:after="160"/>
      </w:pPr>
      <w:r>
        <w:t xml:space="preserve">Standard CF-mounted hermetic multi-pin feedthroughs (e.g., Ceramaseal, Lesker) use ceramic-to-metal seals that are inherently electrically isolated from the flange body. This means individual pins do not short to the cryostat structure, preserving the isolation established by the sapphire disk. However, any coaxial or shielded lines where the shield connects to the flange must be checked carefully to avoid inadvertently re-grounding the backplane through the cryostat body.</w:t>
      </w:r>
    </w:p>
    <w:p>
      <w:pPr>
        <w:spacing w:after="160"/>
      </w:pPr>
      <w:r>
        <w:t xml:space="preserve">Fiber feedthroughs are naturally isolated since glass is an insulator.</w:t>
      </w:r>
    </w:p>
    <w:p>
      <w:pPr>
        <w:pStyle w:val="Heading1"/>
      </w:pPr>
      <w:r>
        <w:t xml:space="preserve">3. Per-Amplifier Ground Isolation</w:t>
      </w:r>
    </w:p>
    <w:p>
      <w:pPr>
        <w:pStyle w:val="Heading2"/>
      </w:pPr>
      <w:r>
        <w:t xml:space="preserve">3.1 Concept</w:t>
      </w:r>
    </w:p>
    <w:p>
      <w:pPr>
        <w:spacing w:after="160"/>
      </w:pPr>
      <w:r>
        <w:t xml:space="preserve">Each output amplifier is treated as a galvanically isolated module with its own private ground return. The input from the AQFP logic array is transformer-coupled (mutual inductance), which is natural for AQFP since the gates are already transformer-coupled by design. Each amplifier receives its own dedicated +V, –V, and GND wires running all the way back to the room-temperature electronics as a separate twisted triple.</w:t>
      </w:r>
    </w:p>
    <w:p>
      <w:pPr>
        <w:spacing w:after="160"/>
      </w:pPr>
      <w:r>
        <w:t xml:space="preserve">In this architecture, the return current for amplifier N flows exclusively on amplifier N’s private GND wire. There is no shared impedance between amplifiers. The ground bounce coupling mechanism identified in simulation ceases to exist.</w:t>
      </w:r>
    </w:p>
    <w:p>
      <w:pPr>
        <w:pStyle w:val="Heading2"/>
      </w:pPr>
      <w:r>
        <w:t xml:space="preserve">3.2 On-Chip Ground Plane Partitioning</w:t>
      </w:r>
    </w:p>
    <w:p>
      <w:pPr>
        <w:spacing w:after="160"/>
      </w:pPr>
      <w:r>
        <w:t xml:space="preserve">If the on-chip ground plane (M0 in SFQ5ee) is left continuous under all amplifiers, bringing out separate ground wires does not fully solve the problem. The bias current would have two return paths: through the dedicated wire, and through the on-chip ground plane to a neighboring amplifier’s ground wire. Even though the ground plane is superconducting (zero DC resistance), it still has inductance, and at the switching frequencies of the latching JJs, inductive current division routes a fraction of the return current through the shared path. This shared path encloses magnetic flux, which can couple into nearby AQFP gates.</w:t>
      </w:r>
    </w:p>
    <w:p>
      <w:pPr>
        <w:spacing w:after="160"/>
      </w:pPr>
      <w:r>
        <w:t xml:space="preserve">The solution is to split the on-chip ground plane into isolated islands, one per amplifier. Each amplifier gets its own ground pad connected only to its own local ground plane region, with no superconducting path to any other amplifier’s ground. The AQFP logic array retains its own continuous ground plane, since AQFP gates do not carry DC bias currents and do not suffer from the same ground bounce mechanism.</w:t>
      </w:r>
    </w:p>
    <w:p>
      <w:pPr>
        <w:pStyle w:val="Heading2"/>
      </w:pPr>
      <w:r>
        <w:t xml:space="preserve">3.3 Layout Implementation</w:t>
      </w:r>
    </w:p>
    <w:p>
      <w:pPr>
        <w:spacing w:after="160"/>
      </w:pPr>
      <w:r>
        <w:t xml:space="preserve">In SFQ5ee, the ground plane split is implemented as a gap in the M0 layer, typically a few microns wide, drawn around each amplifier cell. The critical layout constraint is the location of the gap relative to the input transformer.</w:t>
      </w:r>
    </w:p>
    <w:p>
      <w:pPr>
        <w:spacing w:after="160"/>
      </w:pPr>
      <w:r>
        <w:t xml:space="preserve">The input transformer has a primary winding (AQFP side, ground return to the AQFP array ground plane) and a secondary winding (amplifier side, ground return to the amplifier’s isolated ground island). The ground plane gap runs between the primary and secondary ground returns. For a planar thin-film transformer with vertically stacked primary and secondary windings (typical in SFQ5ee), the ground plane gap underneath has minimal effect on the transformer coupling coefficient, since the magnetic flux is predominantly confined between the two winding layers rather than in the ground plane.</w:t>
      </w:r>
    </w:p>
    <w:p>
      <w:pPr>
        <w:spacing w:after="160"/>
      </w:pPr>
      <w:r>
        <w:t xml:space="preserve">Care must be taken to ensure that the ground plane gap does not cross underneath any signal line or transformer winding, as this would force return currents to detour around the slot and alter inductance values. Since each amplifier is a self-contained cell with the input transformer at one end and output pads at the other, the gap can be routed cleanly around the cell boundary.</w:t>
      </w:r>
    </w:p>
    <w:p>
      <w:pPr>
        <w:pStyle w:val="Heading1"/>
      </w:pPr>
      <w:r>
        <w:t xml:space="preserve">4. Wiring Budget</w:t>
      </w:r>
    </w:p>
    <w:p>
      <w:pPr>
        <w:spacing w:after="160"/>
      </w:pPr>
      <w:r>
        <w:t xml:space="preserve">With 14 amplifiers and 3 wires each (+V, –V, GND), the output amplifier wiring requires 42 conductors. This is well within the capacity of standard 50-pin hermetic CF feedthroughs available from Ceramaseal and Lesker. Additional pins are needed for the AQFP array bias (AC clock lines) and any diagnostic or thermometry wiring.</w:t>
      </w:r>
    </w:p>
    <w:p>
      <w:pPr>
        <w:spacing w:after="160"/>
      </w:pPr>
      <w:r>
        <w:t xml:space="preserve">Thermal load estimate for the amplifier wiring: 42 phosphor-bronze wires (36 AWG, ~100 mm length between first-stage thermalization anchor and 4K backplane) conduct approximately 10–20 μW per wire between 45K and 4K. Total conducted heat: ~0.4–0.8 mW. This is within the RDK-101D’s second-stage budget of 200 mW at 4.2K, though it represents a non-negligible fraction and must be accounted for in the overall thermal budget alongside structural supports, fiber conduction, and any other parasitic loads.</w:t>
      </w:r>
    </w:p>
    <w:p>
      <w:pPr>
        <w:pStyle w:val="Heading1"/>
      </w:pPr>
      <w:r>
        <w:t xml:space="preserve">5. Cryostat Integration Notes</w:t>
      </w:r>
    </w:p>
    <w:p>
      <w:pPr>
        <w:spacing w:after="160"/>
      </w:pPr>
      <w:r>
        <w:t xml:space="preserve">These notes pertain to the rackmount cryocooler system being developed in the CBA-Vertiv collaboration.</w:t>
      </w:r>
    </w:p>
    <w:p>
      <w:pPr>
        <w:pStyle w:val="Heading2"/>
      </w:pPr>
      <w:r>
        <w:t xml:space="preserve">5.1 Vacuum Jacket</w:t>
      </w:r>
    </w:p>
    <w:p>
      <w:pPr>
        <w:spacing w:after="160"/>
      </w:pPr>
      <w:r>
        <w:t xml:space="preserve">The cryostat is a standard DN200CF (10″ OD) tube. The RDK-101D cold head mates to one end via a Lesker zero-length reducer flange. The likely part numbers are RF1000X450 (DN200CF to DN63CF, if the cold head is CF4.50) or RF1000X600 (DN200CF to DN100CF, if CF6.00). Confirm the cold head flange size with SHI before ordering.</w:t>
      </w:r>
    </w:p>
    <w:p>
      <w:pPr>
        <w:spacing w:after="160"/>
      </w:pPr>
      <w:r>
        <w:t xml:space="preserve">The opposite end of the tube receives a blank or multi-port DN200CF flange carrying the DC feedthrough(s), fiber feedthroughs, and pump-out port.</w:t>
      </w:r>
    </w:p>
    <w:p>
      <w:pPr>
        <w:pStyle w:val="Heading2"/>
      </w:pPr>
      <w:r>
        <w:t xml:space="preserve">5.2 Thermal Design Summary</w:t>
      </w:r>
    </w:p>
    <w:p>
      <w:pPr>
        <w:spacing w:after="160"/>
      </w:pPr>
      <w:r>
        <w:t xml:space="preserve">The RDK-101D provides 5 W at 45K (first stage) and 0.2 W at 4.2K (second stage) at 60 Hz. The 10″ bore creates significant radiative surface area at 300K. Multilayer insulation (10–20 layers of MLI) on the exterior of a copper or aluminum first-stage radiation shield is essential. All DC wires and fibers must be thermalized at the first-stage shield before passing to the 4K stage. Structural supports between first stage and second stage should be G10 or carbon fiber standoffs to minimize conductive load.</w:t>
      </w:r>
    </w:p>
    <w:p>
      <w:pPr>
        <w:spacing w:after="160"/>
      </w:pPr>
      <w:r>
        <w:t xml:space="preserve">The copper backplane at 4K serves as the thermal mass, circuit ground plane, and mounting surface for the AQFP chip package. It connects to the second-stage cold finger through the alumina isolation disk described in Section 2.2.</w:t>
      </w:r>
    </w:p>
    <w:p>
      <w:pPr>
        <w:pStyle w:val="Heading2"/>
      </w:pPr>
      <w:r>
        <w:t xml:space="preserve">5.3 Power Isolation Architecture</w:t>
      </w:r>
    </w:p>
    <w:p>
      <w:pPr>
        <w:spacing w:after="160"/>
      </w:pPr>
      <w:r>
        <w:t xml:space="preserve">The RDK-101D paired with the CNA-11R rackmount air-cooled compressor draws only 1.3–1.5 kW on single-phase 120V. This is small enough that isolating the compressor behind a 1.5–2 kVA isolation transformer is technically feasible. However, a careful analysis of the three possible isolation configurations shows that isolating only the measurement electronics is the preferred approach.</w:t>
      </w:r>
    </w:p>
    <w:p>
      <w:pPr>
        <w:pStyle w:val="Heading3"/>
      </w:pPr>
      <w:r>
        <w:t xml:space="preserve">Option A: Single isolation transformer for everything</w:t>
      </w:r>
    </w:p>
    <w:p>
      <w:pPr>
        <w:spacing w:after="160"/>
      </w:pPr>
      <w:r>
        <w:t xml:space="preserve">In this configuration, the compressor, cold head, and readout electronics all sit behind one isolation transformer, sharing a single isolated ground domain. This eliminates building mains noise and is simple to implement (one transformer, one plug). However, the compressor motor’s switching currents flow through the ground bus of the isolation transformer, and that same ground bus serves as the readout’s voltage reference. The compressor draws amps; the readout measures microvolts. Current flowing through the finite impedance of the shared ground conductor (even the ground bus bar inside the transformer) creates a voltage drop that the readout sees as noise. The alumina disk keeps motor currents out of the 4K backplane, but the room-temperature readout electronics still share a ground with the compressor. This configuration trades building mains noise for compressor motor noise on the measurement ground.</w:t>
      </w:r>
    </w:p>
    <w:p>
      <w:pPr>
        <w:pStyle w:val="Heading3"/>
      </w:pPr>
      <w:r>
        <w:t xml:space="preserve">Option B: Isolate only the readout (recommended)</w:t>
      </w:r>
    </w:p>
    <w:p>
      <w:pPr>
        <w:spacing w:after="160"/>
      </w:pPr>
      <w:r>
        <w:t xml:space="preserve">The compressor stays on building mains, properly earth-grounded for safety and code compliance. The readout electronics (DAC/ADC, current sources for amplifier bias, clock generator) get their own small isolation transformer (500 W–1 kW is sufficient) with a clean, quiet, isolated ground reference. The alumina disk isolates the 4K backplane from the cold head/compressor structure. The only connection between the readout ground domain and the 4K circuit is the dedicated ground wires through the DC feedthrough pins.</w:t>
      </w:r>
    </w:p>
    <w:p>
      <w:pPr>
        <w:spacing w:after="160"/>
      </w:pPr>
      <w:r>
        <w:t xml:space="preserve">In this architecture, there is no shared conductor carrying both motor current and signal return current at any point in the system. The compressor ground domain (earth/building mains) and the readout ground domain (isolated transformer secondary) are connected only through the interwinding capacitance of the isolation transformer, which a Faraday shield reduces to well under 100 pF. This is the standard instrumentation approach used in SQUID magnetometry and other sensitive superconducting measurements.</w:t>
      </w:r>
    </w:p>
    <w:p>
      <w:pPr>
        <w:spacing w:after="160"/>
      </w:pPr>
      <w:r>
        <w:t xml:space="preserve">Suitable COTS units include the Tripp Lite IS500HG (500W, 120V, UL 60601-1, Faraday-shielded, ~$200–300) or the IS1000HG (1 kW) for systems with more readout hardware. These are compact enough for a 1U–2U rack shelf.</w:t>
      </w:r>
    </w:p>
    <w:p>
      <w:pPr>
        <w:pStyle w:val="Heading3"/>
      </w:pPr>
      <w:r>
        <w:t xml:space="preserve">Option C: Two separate isolation transformers</w:t>
      </w:r>
    </w:p>
    <w:p>
      <w:pPr>
        <w:spacing w:after="160"/>
      </w:pPr>
      <w:r>
        <w:t xml:space="preserve">Compressor on one isolation transformer, readout on another. This provides maximum isolation from building mains for both subsystems, but introduces a ground loop risk. If the compressor’s isolated ground and the readout’s isolated ground are inadvertently connected through the cryostat body (compressor → flex lines → cold head → vacuum jacket → feedthrough shell → readout ground), a ground loop forms. The alumina disk breaks one leg of that loop at the cold finger, but if any feedthrough shield, cable braid, or scope probe ground touches the vacuum jacket, the loop is re-established. The area enclosed by this loop picks up 60 Hz and other stray magnetic fields from the lab environment, driving circulating currents that appear as noise. Two separate isolated ground domains with an accidental single-point connection is worse than a deliberate single-point ground design. This configuration is not recommended.</w:t>
      </w:r>
    </w:p>
    <w:p>
      <w:pPr>
        <w:pStyle w:val="Heading3"/>
      </w:pPr>
      <w:r>
        <w:t xml:space="preserve">Summary of ground domains</w:t>
      </w:r>
    </w:p>
    <w:p>
      <w:pPr>
        <w:spacing w:after="160"/>
      </w:pPr>
      <w:r>
        <w:t xml:space="preserve">The recommended system architecture (Option B) has exactly two ground domains with a single, well-defined interface between them:</w:t>
      </w:r>
    </w:p>
    <w:p>
      <w:pPr>
        <w:spacing w:after="100"/>
      </w:pPr>
      <w:r>
        <w:rPr>
          <w:b/>
          <w:bCs/>
        </w:rPr>
        <w:t xml:space="preserve">Domain 1 (earth ground): </w:t>
      </w:r>
      <w:r>
        <w:t xml:space="preserve">Building mains earth → compressor chassis → stainless flex lines → cold head body → cryostat vacuum jacket → rack chassis. This domain carries compressor motor currents and is referenced to building earth. No measurement signals exist in this domain.</w:t>
      </w:r>
    </w:p>
    <w:p>
      <w:pPr>
        <w:spacing w:after="100"/>
      </w:pPr>
      <w:r>
        <w:rPr>
          <w:b/>
          <w:bCs/>
        </w:rPr>
        <w:t xml:space="preserve">Domain 2 (isolated measurement ground): </w:t>
      </w:r>
      <w:r>
        <w:t xml:space="preserve">Isolation transformer secondary → readout electronics ground bus → dedicated ground wires through DC feedthrough pins → copper backplane at 4K → AQFP circuit ground planes. This domain carries only signal and bias currents. It is isolated from Domain 1 by the alumina disk (at 4K) and by the ceramic seals in the hermetic feedthroughs (at 300K).</w:t>
      </w:r>
    </w:p>
    <w:p>
      <w:pPr>
        <w:spacing w:after="160"/>
      </w:pPr>
      <w:r>
        <w:rPr>
          <w:b/>
          <w:bCs/>
        </w:rPr>
        <w:t xml:space="preserve">Critical discipline: </w:t>
      </w:r>
      <w:r>
        <w:t xml:space="preserve">no readout cable shield, coax braid, ground lug, or debug probe ground may touch the cryostat body, vacuum jacket, or rack chassis. Every electrical connection between the readout and the cryostat must pass through the feedthrough pins only, never through the flange housing. Standard insulated ceramic-to-metal hermetic feedthroughs maintain this isolation by design, but it can be defeated accidentally during assembly or debugging.</w:t>
      </w:r>
    </w:p>
    <w:p>
      <w:pPr>
        <w:pStyle w:val="Heading1"/>
      </w:pPr>
      <w:r>
        <w:t xml:space="preserve">6. Product Architecture Summary</w:t>
      </w:r>
    </w:p>
    <w:p>
      <w:pPr>
        <w:spacing w:after="160"/>
      </w:pPr>
      <w:r>
        <w:t xml:space="preserve">For a 19″ rackmount AQFP cryocooler product built around the RDK-101D and CNA-11R, the complete ground isolation architecture uses only COTS components with no custom fabrication required:</w:t>
      </w:r>
    </w:p>
    <w:p>
      <w:pPr>
        <w:spacing w:after="100"/>
      </w:pPr>
      <w:r>
        <w:rPr>
          <w:b/>
          <w:bCs/>
        </w:rPr>
        <w:t xml:space="preserve">Rack power: </w:t>
      </w:r>
      <w:r>
        <w:t xml:space="preserve">CNA-11R compressor on dedicated 20A 120V mains circuit, earth-grounded. Readout electronics behind a 500W–1 kW medical-grade Faraday-shielded isolation transformer (e.g., Tripp Lite IS500HG or IS1000HG) on the same or separate mains circuit.</w:t>
      </w:r>
    </w:p>
    <w:p>
      <w:pPr>
        <w:spacing w:after="100"/>
      </w:pPr>
      <w:r>
        <w:rPr>
          <w:b/>
          <w:bCs/>
        </w:rPr>
        <w:t xml:space="preserve">Cryostat: </w:t>
      </w:r>
      <w:r>
        <w:t xml:space="preserve">DN200CF tube, cold head mounted via Lesker RF1000X450 or RF1000X600 zero-length reducer. Multi-port DN200CF flange on opposite end with DC feedthrough(s), fiber feedthroughs, and pump-out.</w:t>
      </w:r>
    </w:p>
    <w:p>
      <w:pPr>
        <w:spacing w:after="100"/>
      </w:pPr>
      <w:r>
        <w:rPr>
          <w:b/>
          <w:bCs/>
        </w:rPr>
        <w:t xml:space="preserve">Cold interface: </w:t>
      </w:r>
      <w:r>
        <w:t xml:space="preserve">Polycrystalline alumina disk (25–30 mm diameter, 1–2 mm thick, indium foil both sides) between second-stage cold finger and copper backplane. Breaks galvanic path between cryocooler structure (Domain 1) and circuit ground (Domain 2).</w:t>
      </w:r>
    </w:p>
    <w:p>
      <w:pPr>
        <w:spacing w:after="100"/>
      </w:pPr>
      <w:r>
        <w:rPr>
          <w:b/>
          <w:bCs/>
        </w:rPr>
        <w:t xml:space="preserve">On-chip: </w:t>
      </w:r>
      <w:r>
        <w:t xml:space="preserve">Ground plane partitioned into isolated islands per output amplifier. Transformer-coupled inputs from AQFP array. Dedicated +V, –V, GND twisted triple per amplifier through multi-pin feedthrough.</w:t>
      </w:r>
    </w:p>
    <w:p>
      <w:pPr>
        <w:spacing w:after="160"/>
      </w:pPr>
      <w:r>
        <w:t xml:space="preserve">This architecture addresses ground noise at three levels: building mains noise (isolation transformer), compressor motor noise (alumina disk), and inter-amplifier ground coupling (on-chip ground plane partitioning with per-amplifier wiring). All three use inexpensive, off-the-shelf components.</w:t>
      </w:r>
    </w:p>
    <w:p>
      <w:pPr>
        <w:pStyle w:val="Heading1"/>
      </w:pPr>
      <w:r>
        <w:t xml:space="preserve">7. Open Questions</w:t>
      </w:r>
    </w:p>
    <w:p>
      <w:pPr>
        <w:spacing w:after="100"/>
      </w:pPr>
      <w:r>
        <w:rPr>
          <w:b/>
          <w:bCs/>
        </w:rPr>
        <w:t xml:space="preserve">7.1 Chip-to-backplane interface: </w:t>
      </w:r>
      <w:r>
        <w:t xml:space="preserve">Wire bonds vs. spring fingers. Wire bonds are proven in the SCE world but create discrete, high-inductance ground contacts. Spring fingers (BeCu, gold-plated) can provide area-contact grounding across the chip backside, reducing ground path inductance. Spring fingers are also more compatible with swappable modules for a production system. Contact resistance at 4K needs characterization; gold plating on both surfaces is recommended.</w:t>
      </w:r>
    </w:p>
    <w:p>
      <w:pPr>
        <w:spacing w:after="100"/>
      </w:pPr>
      <w:r>
        <w:rPr>
          <w:b/>
          <w:bCs/>
        </w:rPr>
        <w:t xml:space="preserve">7.2 Ground return wiring topology: </w:t>
      </w:r>
      <w:r>
        <w:t xml:space="preserve">The current plan is dedicated per-amplifier twisted triples through a multi-pin feedthrough. An alternative is a thick superconducting (NbTi) ground bus from the backplane to a high-current single-conductor feedthrough, but this adds thermal conduction load and complexity. The multi-pin approach with distributed ground pins (every 3rd–4th pin) is likely sufficient given the small switching energies of latching JJ amplifiers.</w:t>
      </w:r>
    </w:p>
    <w:p>
      <w:pPr>
        <w:spacing w:after="100"/>
      </w:pPr>
      <w:r>
        <w:rPr>
          <w:b/>
          <w:bCs/>
        </w:rPr>
        <w:t xml:space="preserve">7.3 Backplane ground topology: </w:t>
      </w:r>
      <w:r>
        <w:t xml:space="preserve">Consider whether the copper backplane should be partitioned into quiet (amplifier) and noisy (clock distribution) zones with controlled interconnection (star ground), mirroring the on-chip ground plane partitioning. This prevents AC clock transients from coupling into the amplifier ground returns at the board level.</w:t>
      </w:r>
    </w:p>
    <w:p>
      <w:pPr>
        <w:spacing w:after="100"/>
      </w:pPr>
      <w:r>
        <w:rPr>
          <w:b/>
          <w:bCs/>
        </w:rPr>
        <w:t xml:space="preserve">7.4 Confirm RDK-101D CF flange size: </w:t>
      </w:r>
      <w:r>
        <w:t xml:space="preserve">Believed to be CF4.50 / DN63CF based on the 130 mm body envelope, but the SHI datasheet with dimensional drawings is not publicly available. Confirm with SHI sales engineering before ordering the zero-length reducer.</w:t>
      </w:r>
    </w:p>
    <w:p>
      <w:pPr>
        <w:spacing w:after="100"/>
      </w:pPr>
      <w:r>
        <w:rPr>
          <w:b/>
          <w:bCs/>
        </w:rPr>
        <w:t xml:space="preserve">7.5 Isolation transformer sizing: </w:t>
      </w:r>
      <w:r>
        <w:t xml:space="preserve">500W is likely sufficient for the readout electronics alone. Verify total power draw of DAC/ADC boards, clock generator, bias current sources, and any rack-mounted amplifiers. Allow 20–30% headroom for inrush and future expansion. Medical-grade (UL 60601-1) units with Faraday shields are preferred for the low leakage current specification (&lt;100 μA).</w:t>
      </w:r>
    </w:p>
    <w:p>
      <w:pPr>
        <w:spacing w:after="100"/>
      </w:pPr>
      <w:r>
        <w:rPr>
          <w:b/>
          <w:bCs/>
        </w:rPr>
        <w:t xml:space="preserve">7.6 Debug access protocol: </w:t>
      </w:r>
      <w:r>
        <w:t xml:space="preserve">Establish a clear lab protocol that no scope probe ground, clip lead, or cable shield may be connected to the cryostat body or rack chassis during measurement. This is the most likely failure mode for the ground isolation architecture. Consider labeling feedthrough connectors and providing insulated BNC-to-feedthrough adapters as part of the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2026-03-13T17:28:17.721Z</dcterms:created>
  <dcterms:modified xsi:type="dcterms:W3CDTF">2026-03-13T17:28:17.722Z</dcterms:modified>
</cp:coreProperties>
</file>

<file path=docProps/custom.xml><?xml version="1.0" encoding="utf-8"?>
<Properties xmlns="http://schemas.openxmlformats.org/officeDocument/2006/custom-properties" xmlns:vt="http://schemas.openxmlformats.org/officeDocument/2006/docPropsVTypes"/>
</file>