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120" w:before="0"/>
        <w:jc w:val="center"/>
      </w:pPr>
      <w:r>
        <w:rPr>
          <w:rFonts w:ascii="Georgia" w:cs="Georgia" w:eastAsia="Georgia" w:hAnsi="Georgia"/>
          <w:b/>
          <w:bCs/>
          <w:color w:val="1A1410"/>
          <w:spacing w:val="80"/>
          <w:sz w:val="88"/>
          <w:szCs w:val="88"/>
        </w:rPr>
        <w:t xml:space="preserve">THE AI STACK</w:t>
      </w:r>
    </w:p>
    <w:p>
      <w:pPr>
        <w:spacing w:after="480" w:before="0"/>
        <w:jc w:val="center"/>
      </w:pPr>
      <w:r>
        <w:rPr>
          <w:rFonts w:ascii="Consolas" w:cs="Consolas" w:eastAsia="Consolas" w:hAnsi="Consolas"/>
          <w:color w:val="A6371F"/>
          <w:spacing w:val="240"/>
          <w:sz w:val="22"/>
          <w:szCs w:val="22"/>
        </w:rPr>
        <w:t xml:space="preserve">FROM THE POWER GRID TO THE END USER</w:t>
      </w:r>
    </w:p>
    <w:p>
      <w:pPr>
        <w:spacing w:after="120" w:before="0"/>
        <w:jc w:val="center"/>
      </w:pPr>
      <w:r>
        <w:rPr>
          <w:rFonts w:ascii="Georgia" w:cs="Georgia" w:eastAsia="Georgia" w:hAnsi="Georgia"/>
          <w:i/>
          <w:iCs/>
          <w:color w:val="1A1410"/>
          <w:sz w:val="28"/>
          <w:szCs w:val="28"/>
        </w:rPr>
        <w:t xml:space="preserve">A FOUNDATION REFERENCE</w:t>
      </w:r>
    </w:p>
    <w:p>
      <w:pPr>
        <w:spacing w:after="1200" w:before="0"/>
        <w:jc w:val="center"/>
      </w:pPr>
      <w:r>
        <w:rPr>
          <w:rFonts w:ascii="Georgia" w:cs="Georgia" w:eastAsia="Georgia" w:hAnsi="Georgia"/>
          <w:i/>
          <w:iCs/>
          <w:color w:val="6E6356"/>
          <w:sz w:val="22"/>
          <w:szCs w:val="22"/>
        </w:rPr>
        <w:t xml:space="preserve">Executive synthesis · 2025–2026</w:t>
      </w:r>
    </w:p>
    <w:p>
      <w:pPr>
        <w:spacing w:after="0" w:before="0"/>
        <w:jc w:val="center"/>
      </w:pPr>
      <w:r>
        <w:rPr>
          <w:rFonts w:ascii="Georgia" w:cs="Georgia" w:eastAsia="Georgia" w:hAnsi="Georgia"/>
          <w:i/>
          <w:iCs/>
          <w:color w:val="6E6356"/>
          <w:sz w:val="18"/>
          <w:szCs w:val="18"/>
        </w:rPr>
        <w:t xml:space="preserve">Compiled for A. Yedi · Companion volume to the SUBSTRATE plates</w:t>
      </w:r>
    </w:p>
    <w:p>
      <w:pPr>
        <w:pStyle w:val="Heading1"/>
        <w:pageBreakBefore/>
        <w:spacing w:after="240" w:before="480" w:line="320"/>
      </w:pPr>
      <w:r>
        <w:rPr>
          <w:rFonts w:ascii="Georgia" w:cs="Georgia" w:eastAsia="Georgia" w:hAnsi="Georgia"/>
          <w:b/>
          <w:bCs/>
          <w:color w:val="1A1410"/>
          <w:sz w:val="40"/>
          <w:szCs w:val="40"/>
        </w:rPr>
        <w:t xml:space="preserve">Executive Summary</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This document compiles, into a single executive-synthesis volume, the full vertical of the artificial-intelligence stack: from the power grid that energizes a hyperscale data center, through the silicon and the optical fabric, through the foundation models and their post-training, through the serving runtimes and orchestration middleware, into the products and the user. It is the companion to the six SUBSTRATE plates, which present the same material as a stratigraphic atlas. The plates are the visual key; this report is the linear reading.</w:t>
      </w:r>
    </w:p>
    <w:p>
      <w:pPr>
        <w:spacing w:after="100" w:before="80" w:line="300"/>
        <w:jc w:val="both"/>
      </w:pPr>
      <w:r>
        <w:rPr>
          <w:rFonts w:ascii="Calibri" w:cs="Calibri" w:eastAsia="Calibri" w:hAnsi="Calibri"/>
          <w:color w:val="1A1410"/>
          <w:sz w:val="22"/>
          <w:szCs w:val="22"/>
        </w:rPr>
        <w:t xml:space="preserve">Five forces structure the field as of 2025–2026. The first is power. Data-center electricity demand has, after twenty years of efficiency-driven flatness, become the principal new load on the U.S. grid; the EPRI 2026 update places data centers at 9–17% of U.S. generation by 2030. Power transformer lead times exceed two years. The interconnection queue exceeds two terawatts. The marginal AI factory is now sited where firm dispatchable generation can be obtained — which is why every hyperscaler in 2024–2025 signed a nuclear PPA, restarted a reactor, or built gas turbines on site.</w:t>
      </w:r>
    </w:p>
    <w:p>
      <w:pPr>
        <w:spacing w:after="100" w:before="80" w:line="300"/>
        <w:jc w:val="both"/>
      </w:pPr>
      <w:r>
        <w:rPr>
          <w:rFonts w:ascii="Calibri" w:cs="Calibri" w:eastAsia="Calibri" w:hAnsi="Calibri"/>
          <w:color w:val="1A1410"/>
          <w:sz w:val="22"/>
          <w:szCs w:val="22"/>
        </w:rPr>
        <w:t xml:space="preserve">The second is the rack. With Blackwell, the unit of competition migrated from the chip to the 132-kilowatt liquid-cooled rack; with Rubin Ultra in 2027, it migrates to a six-hundred-kilowatt rack. The full GB200 NVL72 behaves to software as one giant GPU; this is the substrate of mixture-of-experts inference at frontier scale.</w:t>
      </w:r>
    </w:p>
    <w:p>
      <w:pPr>
        <w:spacing w:after="100" w:before="80" w:line="300"/>
        <w:jc w:val="both"/>
      </w:pPr>
      <w:r>
        <w:rPr>
          <w:rFonts w:ascii="Calibri" w:cs="Calibri" w:eastAsia="Calibri" w:hAnsi="Calibri"/>
          <w:color w:val="1A1410"/>
          <w:sz w:val="22"/>
          <w:szCs w:val="22"/>
        </w:rPr>
        <w:t xml:space="preserve">The third is post-training. Pretraining still matters, but the capability gains of 2024–2026 are dominated by reinforcement learning with verifiable rewards, by group-relative policy optimization, and by test-time compute. A small model that thinks for thirty seconds now beats a large model that answers immediately. This is an orthogonal scaling axis to pretraining flops.</w:t>
      </w:r>
    </w:p>
    <w:p>
      <w:pPr>
        <w:spacing w:after="100" w:before="80" w:line="300"/>
        <w:jc w:val="both"/>
      </w:pPr>
      <w:r>
        <w:rPr>
          <w:rFonts w:ascii="Calibri" w:cs="Calibri" w:eastAsia="Calibri" w:hAnsi="Calibri"/>
          <w:color w:val="1A1410"/>
          <w:sz w:val="22"/>
          <w:szCs w:val="22"/>
        </w:rPr>
        <w:t xml:space="preserve">The fourth is the agent. The Model Context Protocol, published by Anthropic in November 2024, has, in fourteen months, become the connective standard adopted by OpenAI, Google, Hugging Face, and (December 2025) the Linux Foundation's Agentic AI Foundation. Within the same window, OpenAI, Anthropic, and Google each shipped a first-party agent SDK; LangGraph, Mastra, Pydantic AI, and CrewAI compete on top. The application layer has decisively shifted from "chat" to "agent doing work."</w:t>
      </w:r>
    </w:p>
    <w:p>
      <w:pPr>
        <w:spacing w:after="100" w:before="80" w:line="300"/>
        <w:jc w:val="both"/>
      </w:pPr>
      <w:r>
        <w:rPr>
          <w:rFonts w:ascii="Calibri" w:cs="Calibri" w:eastAsia="Calibri" w:hAnsi="Calibri"/>
          <w:color w:val="1A1410"/>
          <w:sz w:val="22"/>
          <w:szCs w:val="22"/>
        </w:rPr>
        <w:t xml:space="preserve">The fifth is regulation and capital. Aggregate hyperscaler capex for 2026 is projected at $660–770 billion, of which roughly $450 billion is AI infrastructure. The EU AI Act's GPAI obligations took effect August 2, 2025; California SB 53 took effect January 1, 2026. The Bartz v. Anthropic settlement put a $1.5 billion price tag on training-data provenance. These three levers — capital, jurisdiction, and copyright — now bind every operating decision at the model labs.</w:t>
      </w:r>
    </w:p>
    <w:p>
      <w:pPr>
        <w:spacing w:after="100" w:before="80" w:line="300"/>
        <w:jc w:val="both"/>
      </w:pPr>
      <w:r>
        <w:rPr>
          <w:rFonts w:ascii="Calibri" w:cs="Calibri" w:eastAsia="Calibri" w:hAnsi="Calibri"/>
          <w:color w:val="1A1410"/>
          <w:sz w:val="22"/>
          <w:szCs w:val="22"/>
        </w:rPr>
        <w:t xml:space="preserve">What follows treats each stratum at the depth a senior practitioner needs to make decisions, and at the brevity a senior practitioner can absorb in a single sitting.</w:t>
      </w:r>
    </w:p>
    <w:p>
      <w:pPr>
        <w:pStyle w:val="Heading1"/>
        <w:pageBreakBefore/>
        <w:spacing w:after="240" w:before="480" w:line="320"/>
      </w:pPr>
      <w:r>
        <w:rPr>
          <w:rFonts w:ascii="Georgia" w:cs="Georgia" w:eastAsia="Georgia" w:hAnsi="Georgia"/>
          <w:b/>
          <w:bCs/>
          <w:color w:val="1A1410"/>
          <w:sz w:val="40"/>
          <w:szCs w:val="40"/>
        </w:rPr>
        <w:t xml:space="preserve">Contents</w:t>
      </w:r>
    </w:p>
    <w:p>
      <w:pPr>
        <w:pBdr>
          <w:bottom w:val="single" w:color="A6371F" w:sz="6" w:space="1"/>
        </w:pBdr>
        <w:spacing w:after="240" w:before="120"/>
      </w:pPr>
      <w:r>
        <w:t xml:space="preserve"/>
      </w:r>
    </w:p>
    <w:p>
      <w:pPr>
        <w:spacing w:after="100" w:before="80" w:line="300"/>
        <w:ind w:left="360"/>
        <w:jc w:val="both"/>
      </w:pPr>
      <w:r>
        <w:rPr>
          <w:rFonts w:ascii="Calibri" w:cs="Calibri" w:eastAsia="Calibri" w:hAnsi="Calibri"/>
          <w:color w:val="1A1410"/>
          <w:sz w:val="22"/>
          <w:szCs w:val="22"/>
        </w:rPr>
        <w:t xml:space="preserve">Part I — Power and Facility</w:t>
      </w:r>
    </w:p>
    <w:p>
      <w:pPr>
        <w:spacing w:after="100" w:before="80" w:line="300"/>
        <w:ind w:left="360"/>
        <w:jc w:val="both"/>
      </w:pPr>
      <w:r>
        <w:rPr>
          <w:rFonts w:ascii="Calibri" w:cs="Calibri" w:eastAsia="Calibri" w:hAnsi="Calibri"/>
          <w:color w:val="1A1410"/>
          <w:sz w:val="22"/>
          <w:szCs w:val="22"/>
        </w:rPr>
        <w:t xml:space="preserve">Part II — Compute and Networking</w:t>
      </w:r>
    </w:p>
    <w:p>
      <w:pPr>
        <w:spacing w:after="100" w:before="80" w:line="300"/>
        <w:ind w:left="360"/>
        <w:jc w:val="both"/>
      </w:pPr>
      <w:r>
        <w:rPr>
          <w:rFonts w:ascii="Calibri" w:cs="Calibri" w:eastAsia="Calibri" w:hAnsi="Calibri"/>
          <w:color w:val="1A1410"/>
          <w:sz w:val="22"/>
          <w:szCs w:val="22"/>
        </w:rPr>
        <w:t xml:space="preserve">Part III — Data, Pretraining, and Post-training</w:t>
      </w:r>
    </w:p>
    <w:p>
      <w:pPr>
        <w:spacing w:after="100" w:before="80" w:line="300"/>
        <w:ind w:left="360"/>
        <w:jc w:val="both"/>
      </w:pPr>
      <w:r>
        <w:rPr>
          <w:rFonts w:ascii="Calibri" w:cs="Calibri" w:eastAsia="Calibri" w:hAnsi="Calibri"/>
          <w:color w:val="1A1410"/>
          <w:sz w:val="22"/>
          <w:szCs w:val="22"/>
        </w:rPr>
        <w:t xml:space="preserve">Part IV — Inference, Middleware, and the Application Layer</w:t>
      </w:r>
    </w:p>
    <w:p>
      <w:pPr>
        <w:spacing w:after="100" w:before="80" w:line="300"/>
        <w:ind w:left="360"/>
        <w:jc w:val="both"/>
      </w:pPr>
      <w:r>
        <w:rPr>
          <w:rFonts w:ascii="Calibri" w:cs="Calibri" w:eastAsia="Calibri" w:hAnsi="Calibri"/>
          <w:color w:val="1A1410"/>
          <w:sz w:val="22"/>
          <w:szCs w:val="22"/>
        </w:rPr>
        <w:t xml:space="preserve">Part V — The Meta-Strata: Safety, Regulation, Economics, Geopolitics</w:t>
      </w:r>
    </w:p>
    <w:p>
      <w:pPr>
        <w:spacing w:after="100" w:before="80" w:line="300"/>
        <w:ind w:left="360"/>
        <w:jc w:val="both"/>
      </w:pPr>
      <w:r>
        <w:rPr>
          <w:rFonts w:ascii="Calibri" w:cs="Calibri" w:eastAsia="Calibri" w:hAnsi="Calibri"/>
          <w:color w:val="1A1410"/>
          <w:sz w:val="22"/>
          <w:szCs w:val="22"/>
        </w:rPr>
        <w:t xml:space="preserve">Closing — How to Read the Stack</w:t>
      </w:r>
    </w:p>
    <w:p>
      <w:pPr>
        <w:spacing w:after="100" w:before="80" w:line="300"/>
        <w:ind w:left="360"/>
        <w:jc w:val="both"/>
      </w:pPr>
      <w:r>
        <w:rPr>
          <w:rFonts w:ascii="Calibri" w:cs="Calibri" w:eastAsia="Calibri" w:hAnsi="Calibri"/>
          <w:color w:val="1A1410"/>
          <w:sz w:val="22"/>
          <w:szCs w:val="22"/>
        </w:rPr>
        <w:t xml:space="preserve">Sources</w:t>
      </w:r>
    </w:p>
    <w:p>
      <w:pPr>
        <w:pStyle w:val="Heading1"/>
        <w:pageBreakBefore/>
        <w:spacing w:after="240" w:before="480" w:line="320"/>
      </w:pPr>
      <w:r>
        <w:rPr>
          <w:rFonts w:ascii="Georgia" w:cs="Georgia" w:eastAsia="Georgia" w:hAnsi="Georgia"/>
          <w:b/>
          <w:bCs/>
          <w:color w:val="1A1410"/>
          <w:sz w:val="40"/>
          <w:szCs w:val="40"/>
        </w:rPr>
        <w:t xml:space="preserve">Part I · Power and Facility</w:t>
      </w:r>
    </w:p>
    <w:p>
      <w:pPr>
        <w:pBdr>
          <w:bottom w:val="single" w:color="A6371F" w:sz="6" w:space="1"/>
        </w:pBdr>
        <w:spacing w:after="240" w:before="120"/>
      </w:pPr>
      <w:r>
        <w:t xml:space="preserve"/>
      </w:r>
    </w:p>
    <w:p>
      <w:pPr>
        <w:spacing w:after="60" w:before="200"/>
      </w:pPr>
      <w:r>
        <w:rPr>
          <w:rFonts w:ascii="Consolas" w:cs="Consolas" w:eastAsia="Consolas" w:hAnsi="Consolas"/>
          <w:color w:val="A6371F"/>
          <w:spacing w:val="60"/>
          <w:sz w:val="16"/>
          <w:szCs w:val="16"/>
        </w:rPr>
        <w:t xml:space="preserve">STRATUM I · POWER</w:t>
      </w:r>
    </w:p>
    <w:p>
      <w:pPr>
        <w:spacing w:after="100" w:before="80" w:line="300"/>
        <w:jc w:val="both"/>
      </w:pPr>
      <w:r>
        <w:rPr>
          <w:rFonts w:ascii="Calibri" w:cs="Calibri" w:eastAsia="Calibri" w:hAnsi="Calibri"/>
          <w:color w:val="1A1410"/>
          <w:sz w:val="22"/>
          <w:szCs w:val="22"/>
        </w:rPr>
        <w:t xml:space="preserve">Global data-center electricity consumption was approximately 485 TWh in 2025 and is projected to reach 950–1,100 TWh by 2030 — about 3% of global electricity. AI workloads are the engine: AI-specific data-center demand grew roughly 50% in 2025 alone. The U.S. picture is sharper. EPRI's 2026 "Powering Intelligence" update places data centers at 9–17% of U.S. generation by 2030, against a 4% baseline in 2023.</w:t>
      </w:r>
    </w:p>
    <w:p>
      <w:pPr>
        <w:spacing w:after="100" w:before="80" w:line="300"/>
        <w:jc w:val="both"/>
      </w:pPr>
      <w:r>
        <w:rPr>
          <w:rFonts w:ascii="Calibri" w:cs="Calibri" w:eastAsia="Calibri" w:hAnsi="Calibri"/>
          <w:color w:val="1A1410"/>
          <w:sz w:val="22"/>
          <w:szCs w:val="22"/>
        </w:rPr>
        <w:t xml:space="preserve">This is the first sustained surge in U.S. electrical load growth in twenty years. The grid was sized for a flat trajectory; it is now being asked to absorb double-digit growth in many service territories. Three constraints bind: transformer lead times of approximately 120 weeks (Wood Mackenzie projects a 30% supply deficit on power transformers in 2025); interconnection queues totaling roughly 1,400 GW of generation and 890 GW of storage; and transmission permitting horizons of about ten years for new high-voltage lines.</w:t>
      </w:r>
    </w:p>
    <w:p>
      <w:pPr>
        <w:spacing w:after="100" w:before="80" w:line="300"/>
        <w:jc w:val="both"/>
      </w:pPr>
      <w:r>
        <w:rPr>
          <w:rFonts w:ascii="Calibri" w:cs="Calibri" w:eastAsia="Calibri" w:hAnsi="Calibri"/>
          <w:color w:val="1A1410"/>
          <w:sz w:val="22"/>
          <w:szCs w:val="22"/>
        </w:rPr>
        <w:t xml:space="preserve">Hyperscaler procurement has fragmented across four channels. Utility PPAs remain the largest in absolute MW, but the headline 2024–2025 deals were nuclear: Microsoft signed a 20-year, 835 MW PPA to restart Three Mile Island Unit 1 (rebranded the Crane Clean Energy Center, now expected online in 2027 with a $1B DOE loan); Amazon committed to 5 GW of X-energy SMRs by 2039 plus a 1,920 MW front-of-meter PPA with Talen Energy at Susquehanna; Google signed the first corporate SMR purchase agreement (500 MW from Kairos Power, 2030–2035) and is investing in Fervo Energy's enhanced geothermal. Meta moved the other direction, contracting Entergy for more than 7 GW of new gas generation to serve its Hyperion campus in Louisiana over a 15-year horizon. xAI's Colossus campus in Memphis runs ~35 Solar SMT-130 gas turbines on site as a bridging strategy.</w:t>
      </w:r>
    </w:p>
    <w:p>
      <w:pPr>
        <w:spacing w:after="100" w:before="80" w:line="300"/>
        <w:jc w:val="both"/>
      </w:pPr>
      <w:r>
        <w:rPr>
          <w:rFonts w:ascii="Calibri" w:cs="Calibri" w:eastAsia="Calibri" w:hAnsi="Calibri"/>
          <w:color w:val="1A1410"/>
          <w:sz w:val="22"/>
          <w:szCs w:val="22"/>
        </w:rPr>
        <w:t xml:space="preserve">The Talen-Amazon "Susquehanna" case is the watershed regulatory precedent. FERC twice rejected (November 2024 and April 2025) the original behind-the-meter ISA amendment that would have allowed 480 MW of nuclear output to bypass the wholesale market. Talen and Amazon then restructured to a front-of-meter PPA that does not require FERC approval. The wider fight — whether co-located AI loads should pay full transmission and capacity charges — is active across PJM, MISO, and ERCOT. PJM's 2025/26 base residual auction cleared at $269.92/MW-day system-wide; the Dominion zone cleared at $444.26/MW-day, an 833% year-over-year increase. PJM analysis attributes about 63% of that increase to data-center load.</w:t>
      </w:r>
    </w:p>
    <w:p>
      <w:pPr>
        <w:spacing w:after="100" w:before="80" w:line="300"/>
        <w:jc w:val="both"/>
      </w:pPr>
      <w:r>
        <w:rPr>
          <w:rFonts w:ascii="Calibri" w:cs="Calibri" w:eastAsia="Calibri" w:hAnsi="Calibri"/>
          <w:color w:val="1A1410"/>
          <w:sz w:val="22"/>
          <w:szCs w:val="22"/>
        </w:rPr>
        <w:t xml:space="preserve">SMR vendors most likely to matter through 2030: NuScale (the only NRC-approved design, 77 MWe modules); X-energy (Xe-100, 80 MWe HTGR with TRISO fuel, Amazon-anchored); Kairos Power (KP-FHR, fluoride-salt-cooled, Google-anchored); TerraPower (Natrium, Wyoming demo). None will be in commercial operation before 2028–2030; the bridging years rely on gas, restarts, and renewables-plus-storage.</w:t>
      </w:r>
    </w:p>
    <w:p>
      <w:pPr>
        <w:spacing w:after="60" w:before="200"/>
      </w:pPr>
      <w:r>
        <w:rPr>
          <w:rFonts w:ascii="Consolas" w:cs="Consolas" w:eastAsia="Consolas" w:hAnsi="Consolas"/>
          <w:color w:val="A6371F"/>
          <w:spacing w:val="60"/>
          <w:sz w:val="16"/>
          <w:szCs w:val="16"/>
        </w:rPr>
        <w:t xml:space="preserve">STRATUM II · FACILITY</w:t>
      </w:r>
    </w:p>
    <w:p>
      <w:pPr>
        <w:spacing w:after="100" w:before="80" w:line="300"/>
        <w:jc w:val="both"/>
      </w:pPr>
      <w:r>
        <w:rPr>
          <w:rFonts w:ascii="Calibri" w:cs="Calibri" w:eastAsia="Calibri" w:hAnsi="Calibri"/>
          <w:color w:val="1A1410"/>
          <w:sz w:val="22"/>
          <w:szCs w:val="22"/>
        </w:rPr>
        <w:t xml:space="preserve">A modern AI campus is sized first for power, then for fiber. Critical-IT-load capex averages $10–12 million per megawatt fully built (Cushman &amp; Wakefield 2025), with mechanical-electrical-plumbing accounting for 50–60% of that figure and electrical alone for 40–50%. Greenfield delivery runs 18–36 months, increasingly back-end-constrained on transformers and switchgear.</w:t>
      </w:r>
    </w:p>
    <w:p>
      <w:pPr>
        <w:spacing w:after="100" w:before="80" w:line="300"/>
        <w:jc w:val="both"/>
      </w:pPr>
      <w:r>
        <w:rPr>
          <w:rFonts w:ascii="Calibri" w:cs="Calibri" w:eastAsia="Calibri" w:hAnsi="Calibri"/>
          <w:color w:val="1A1410"/>
          <w:sz w:val="22"/>
          <w:szCs w:val="22"/>
        </w:rPr>
        <w:t xml:space="preserve">The mechanical change forced by Blackwell is the largest in the data-center industry's history. The progression from H100 (700 W per GPU, 10–15 kW per HGX rack) through B200 (1,000 W) and B300 (1,400 W) to the projected Rubin Ultra Kyber rack (~600 kW per rack in 2027) renders air cooling obsolete at the rack scale. Direct-to-chip liquid cooling is now the production default for GB200 NVL72; rear-door heat exchangers handle retrofit cases up to ~80 kW per rack; single-phase immersion is shipping at hyperscale. Two-phase immersion has retreated under PFAS pressure. NVIDIA's 600-kW Kyber rack assumes complete liquid integration and sidecar mechanical-electrical units.</w:t>
      </w:r>
    </w:p>
    <w:p>
      <w:pPr>
        <w:spacing w:after="100" w:before="80" w:line="300"/>
        <w:jc w:val="both"/>
      </w:pPr>
      <w:r>
        <w:rPr>
          <w:rFonts w:ascii="Calibri" w:cs="Calibri" w:eastAsia="Calibri" w:hAnsi="Calibri"/>
          <w:color w:val="1A1410"/>
          <w:sz w:val="22"/>
          <w:szCs w:val="22"/>
        </w:rPr>
        <w:t xml:space="preserve">Power Usage Effectiveness has settled near 1.55–1.60 in industry average and 1.10–1.20 in best-in-class hyperscale; Google's fleet TTM PUE is 1.09. Liquid cooling delivers up to a 45% PUE improvement against air, often achieving sub-1.20 in production AI halls. Water Usage Effectiveness has become the more politically sensitive metric: AI-data-center best-in-class targets are below 0.20 L/kWh, and several arid-region builds (Phoenix, Goodyear) face active community opposition.</w:t>
      </w:r>
    </w:p>
    <w:p>
      <w:pPr>
        <w:spacing w:after="100" w:before="80" w:line="300"/>
        <w:jc w:val="both"/>
      </w:pPr>
      <w:r>
        <w:rPr>
          <w:rFonts w:ascii="Calibri" w:cs="Calibri" w:eastAsia="Calibri" w:hAnsi="Calibri"/>
          <w:color w:val="1A1410"/>
          <w:sz w:val="22"/>
          <w:szCs w:val="22"/>
        </w:rPr>
        <w:t xml:space="preserve">Open Compute Project Open Rack v3 is the substrate. It standardizes a 48 V DC power architecture (rather than legacy 12 V), vertical busbars rated to 1,000 A, blind-mate server connections, and rack-level battery backup units that displace the centralized UPS. NVIDIA's GB200 NVL72 reference design extends ORv3 conventions for 132 kW racks. The colocation market is concentrated: Equinix and Digital Realty top the public side, Blackstone-owned QTS, KKR-owned CyrusOne, IPI Partners-owned STACK, and Macquarie-backed Aligned dominate the AI-factory tier. The "neoclouds" — CoreWeave (850 MW operational, ~600,000 GPUs, $66.8B contracted backlog), Lambda, Crusoe, Nebius, Voltage Park, Together, and Applied Digital — are a financial intermediary tier between hyperscalers and AI labs.</w:t>
      </w:r>
    </w:p>
    <w:p>
      <w:pPr>
        <w:spacing w:after="100" w:before="80" w:line="300"/>
        <w:jc w:val="both"/>
      </w:pPr>
      <w:r>
        <w:rPr>
          <w:rFonts w:ascii="Calibri" w:cs="Calibri" w:eastAsia="Calibri" w:hAnsi="Calibri"/>
          <w:color w:val="1A1410"/>
          <w:sz w:val="22"/>
          <w:szCs w:val="22"/>
        </w:rPr>
        <w:t xml:space="preserve">The flagship 2025 builds are public knowledge: the Stargate consortium ($500B over four years, OpenAI / Oracle / SoftBank / MGX, with Crusoe building the Abilene flagship which went live in September 2025); Meta Hyperion (Louisiana, &gt;7 GW); Meta Prometheus (Ohio, ~1 GW); xAI Colossus 1 and 2 (Memphis); Microsoft's Wisconsin Mt Pleasant 5+ GW campus; and the Stargate UAE 1 GW campus authorized by the U.S. Commerce Department in November 2025.</w:t>
      </w:r>
    </w:p>
    <w:p>
      <w:pPr>
        <w:pStyle w:val="Heading1"/>
        <w:pageBreakBefore/>
        <w:spacing w:after="240" w:before="480" w:line="320"/>
      </w:pPr>
      <w:r>
        <w:rPr>
          <w:rFonts w:ascii="Georgia" w:cs="Georgia" w:eastAsia="Georgia" w:hAnsi="Georgia"/>
          <w:b/>
          <w:bCs/>
          <w:color w:val="1A1410"/>
          <w:sz w:val="40"/>
          <w:szCs w:val="40"/>
        </w:rPr>
        <w:t xml:space="preserve">Part II · Compute and Networking</w:t>
      </w:r>
    </w:p>
    <w:p>
      <w:pPr>
        <w:pBdr>
          <w:bottom w:val="single" w:color="A6371F" w:sz="6" w:space="1"/>
        </w:pBdr>
        <w:spacing w:after="240" w:before="120"/>
      </w:pPr>
      <w:r>
        <w:t xml:space="preserve"/>
      </w:r>
    </w:p>
    <w:p>
      <w:pPr>
        <w:spacing w:after="60" w:before="200"/>
      </w:pPr>
      <w:r>
        <w:rPr>
          <w:rFonts w:ascii="Consolas" w:cs="Consolas" w:eastAsia="Consolas" w:hAnsi="Consolas"/>
          <w:color w:val="A6371F"/>
          <w:spacing w:val="60"/>
          <w:sz w:val="16"/>
          <w:szCs w:val="16"/>
        </w:rPr>
        <w:t xml:space="preserve">STRATUM III · COMPUTE</w:t>
      </w:r>
    </w:p>
    <w:p>
      <w:pPr>
        <w:spacing w:after="100" w:before="80" w:line="300"/>
        <w:jc w:val="both"/>
      </w:pPr>
      <w:r>
        <w:rPr>
          <w:rFonts w:ascii="Calibri" w:cs="Calibri" w:eastAsia="Calibri" w:hAnsi="Calibri"/>
          <w:color w:val="1A1410"/>
          <w:sz w:val="22"/>
          <w:szCs w:val="22"/>
        </w:rPr>
        <w:t xml:space="preserve">NVIDIA holds approximately 80% of frontier AI accelerator share at gross margins above 75%, with the durable lock-in operating at three layers: developer mindshare in CUDA, framework-default integration, and rack-scale system designs (DGX, HGX, MGX). The roadmap through 2028 is published.</w:t>
      </w:r>
    </w:p>
    <w:p>
      <w:pPr>
        <w:spacing w:after="100" w:before="80" w:line="300"/>
        <w:jc w:val="both"/>
      </w:pPr>
      <w:r>
        <w:rPr>
          <w:rFonts w:ascii="Calibri" w:cs="Calibri" w:eastAsia="Calibri" w:hAnsi="Calibri"/>
          <w:color w:val="1A1410"/>
          <w:sz w:val="22"/>
          <w:szCs w:val="22"/>
        </w:rPr>
        <w:t xml:space="preserve">Hopper (H100, H200) was the GPT-4 / Claude-3 generation; both share the GH100 die, with H200 delivering the same compute against 141 GB of HBM3e (versus 80 GB HBM3 on H100) — a memory refresh that materially improved long-context inference economics. Blackwell (B100, B200, GB200, GB200 NVL72) is the first NVIDIA data-center GPU with a dual-die package; the GB200 NVL72 is a single-rack 36-Grace + 72-Blackwell coherent NVLink domain at 132 kW with 13.5 TB of HBM3e per rack and 130 TB/s of aggregate NVLink bandwidth. Blackwell Ultra (B300, GB300 NVL72, shipping H2 2025) refreshes to 288 GB HBM3e per GPU and 1,400 W TDP, optimized for reasoning workloads where memory capacity dominates. Rubin (NVL144, H2 2026) introduces HBM4 at 13 TB/s per GPU. Rubin Ultra (NVL576, "Kyber," H2 2027) packages 576 GPU dies per rack at ~600 kW, with 365 TB of HBM4e and 4.6 PB/s of aggregate memory bandwidth. Feynman (2028) introduces co-packaged optics as standard, pulled five years forward from the prior industry roadmap.</w:t>
      </w:r>
    </w:p>
    <w:p>
      <w:pPr>
        <w:spacing w:after="100" w:before="80" w:line="300"/>
        <w:jc w:val="both"/>
      </w:pPr>
      <w:r>
        <w:rPr>
          <w:rFonts w:ascii="Calibri" w:cs="Calibri" w:eastAsia="Calibri" w:hAnsi="Calibri"/>
          <w:color w:val="1A1410"/>
          <w:sz w:val="22"/>
          <w:szCs w:val="22"/>
        </w:rPr>
        <w:t xml:space="preserve">AMD is now a credible second source. MI300X, MI325X, and MI355X (CDNA 4, 288 GB HBM3e, ~20 PFLOPS FP4) compete in inference and increasingly in training; ROCm 7 closed the kernel parity gap on transformer workloads; the MI400 "Helios" rack-scale system (2026) is AMD's answer to GB200/GB300. Intel ceded the discrete accelerator market with the cancellation of Falcon Shores in January 2025; "Jaguar Shores" (2026) is being repositioned as a rack-scale system rather than a chip-level competitor.</w:t>
      </w:r>
    </w:p>
    <w:p>
      <w:pPr>
        <w:spacing w:after="100" w:before="80" w:line="300"/>
        <w:jc w:val="both"/>
      </w:pPr>
      <w:r>
        <w:rPr>
          <w:rFonts w:ascii="Calibri" w:cs="Calibri" w:eastAsia="Calibri" w:hAnsi="Calibri"/>
          <w:color w:val="1A1410"/>
          <w:sz w:val="22"/>
          <w:szCs w:val="22"/>
        </w:rPr>
        <w:t xml:space="preserve">Hyperscaler custom silicon is the structural threat to NVIDIA in inference. Google's TPU lineage (Trillium / v6e, then Ironwood / v7 in 2025 — 192 GB HBM3e per chip, 9,216-chip pods, 42.5 FP8 ExaFLOPS per pod) anchors Anthropic and Apple workloads. AWS Trainium 3 (December 2025, 3 nm, 144 GB HBM3e, 2.52 PFLOPS FP8 per chip) follows Trainium 2 (which is the silicon under Anthropic's ~400,000-chip Project Rainier). Microsoft Maia 200 (TSMC 3 nm, 216 GB HBM3e, 750 W) ships with Cobalt 200 Arm CPUs. Meta MTIA has accelerated to a multi-generation cadence (v1 → v2 → v300/400/450/500), targeting both ranking-and-recommendation inference and increasingly LLM training. Apple's on-device M5 (October 2025) delivers ~4× the M4's GPU compute via Neural Accelerators per core; Apple's rumored "Baltra" cloud inference chip is now slated for ~2027.</w:t>
      </w:r>
    </w:p>
    <w:p>
      <w:pPr>
        <w:spacing w:after="100" w:before="80" w:line="300"/>
        <w:jc w:val="both"/>
      </w:pPr>
      <w:r>
        <w:rPr>
          <w:rFonts w:ascii="Calibri" w:cs="Calibri" w:eastAsia="Calibri" w:hAnsi="Calibri"/>
          <w:color w:val="1A1410"/>
          <w:sz w:val="22"/>
          <w:szCs w:val="22"/>
        </w:rPr>
        <w:t xml:space="preserve">The startup tier targets inference, where the CUDA moat is shallowest. Cerebras (WSE-3, 5 nm, 4 trillion transistors, 900,000 cores) serves Llama 3.1-405B at &gt;1,000 tokens/sec from its inference cloud. Groq's LPU is SRAM-only and deterministic, advertising ~750 tok/s on Llama 3.1-8B. SambaNova's RDU SN40L holds 405B-class models memory-resident. Tenstorrent (Wormhole, Blackhole, RISC-V open silicon under Jim Keller) is the open-architecture wedge. Etched's Sohu is a transformer-only ASIC claiming ~500k tok/s on Llama 70B from an 8-chip server. Lightmatter and Ayar Labs lead the photonic interconnect frontier.</w:t>
      </w:r>
    </w:p>
    <w:p>
      <w:pPr>
        <w:spacing w:after="100" w:before="80" w:line="300"/>
        <w:jc w:val="both"/>
      </w:pPr>
      <w:r>
        <w:rPr>
          <w:rFonts w:ascii="Calibri" w:cs="Calibri" w:eastAsia="Calibri" w:hAnsi="Calibri"/>
          <w:color w:val="1A1410"/>
          <w:sz w:val="22"/>
          <w:szCs w:val="22"/>
        </w:rPr>
        <w:t xml:space="preserve">The binding constraint across all of this is HBM and CoWoS-L packaging. SK Hynix holds approximately 62% of HBM market share, with Micron at 21% (overtaking Samsung in 2025) and Samsung at 17%; SK Hynix's 2026 capacity was pre-booked by NVIDIA and OpenAI before the year began. TSMC's CoWoS-L capacity stood at 75–80 KWPM at end-2025 and is targeted at 120–130 KWPM by end-2026, with NVIDIA absorbing the majority and outsourcing 70–80% of 2026 demand to ASE, Amkor, and SPIL. Without CoWoS-L, leading-edge dies are stranded inventory.</w:t>
      </w:r>
    </w:p>
    <w:p>
      <w:pPr>
        <w:spacing w:after="100" w:before="80" w:line="300"/>
        <w:jc w:val="both"/>
      </w:pPr>
      <w:r>
        <w:rPr>
          <w:rFonts w:ascii="Calibri" w:cs="Calibri" w:eastAsia="Calibri" w:hAnsi="Calibri"/>
          <w:color w:val="1A1410"/>
          <w:sz w:val="22"/>
          <w:szCs w:val="22"/>
        </w:rPr>
        <w:t xml:space="preserve">The geopolitical layer over compute is now decisive. TSMC fabricates ~90% of leading-edge logic; the U.S. CHIPS Act has funded TSMC Arizona, Intel Ohio, Samsung Texas, and Micron New York, and TSMC has committed an additional $100B to U.S. expansion (total $165B); Intel 18A is in HVM with U.S. DoD and Microsoft as anchor foundry customers. The H20 saga — export halt April 2025, reversal July 2025, NVIDIA China share dropping from ~95% to ~55% as Huawei Ascend 910C / 920 absorb the gap — illustrates how volatile the policy interface is.</w:t>
      </w:r>
    </w:p>
    <w:p>
      <w:pPr>
        <w:spacing w:after="60" w:before="200"/>
      </w:pPr>
      <w:r>
        <w:rPr>
          <w:rFonts w:ascii="Consolas" w:cs="Consolas" w:eastAsia="Consolas" w:hAnsi="Consolas"/>
          <w:color w:val="A6371F"/>
          <w:spacing w:val="60"/>
          <w:sz w:val="16"/>
          <w:szCs w:val="16"/>
        </w:rPr>
        <w:t xml:space="preserve">STRATUM IV · FABRIC</w:t>
      </w:r>
    </w:p>
    <w:p>
      <w:pPr>
        <w:spacing w:after="100" w:before="80" w:line="300"/>
        <w:jc w:val="both"/>
      </w:pPr>
      <w:r>
        <w:rPr>
          <w:rFonts w:ascii="Calibri" w:cs="Calibri" w:eastAsia="Calibri" w:hAnsi="Calibri"/>
          <w:color w:val="1A1410"/>
          <w:sz w:val="22"/>
          <w:szCs w:val="22"/>
        </w:rPr>
        <w:t xml:space="preserve">The cluster fabric divides into three layers: the scale-up fabric inside a coherent NVLink domain, the scale-out fabric across racks and pods, and the optical layer that increasingly binds them.</w:t>
      </w:r>
    </w:p>
    <w:p>
      <w:pPr>
        <w:spacing w:after="100" w:before="80" w:line="300"/>
        <w:jc w:val="both"/>
      </w:pPr>
      <w:r>
        <w:rPr>
          <w:rFonts w:ascii="Calibri" w:cs="Calibri" w:eastAsia="Calibri" w:hAnsi="Calibri"/>
          <w:color w:val="1A1410"/>
          <w:sz w:val="22"/>
          <w:szCs w:val="22"/>
        </w:rPr>
        <w:t xml:space="preserve">NVLink generations track GPU generations: NVLink 4 at 900 GB/s on Hopper, NVLink 5 at 1.8 TB/s on Blackwell, NVLink 6 at ~3.6 TB/s on Rubin, NVLink 7 with 1.5 PB/s aggregate on Rubin Ultra. Inside the GB200 NVL72 rack, ~5,000 NVLink copper cables interconnect 18 compute trays and 9 NVSwitch trays; there are no optical transceivers at the scale-up layer, which is one of the architectural innovations enabling rack-level integration. UALink 1.0 (April 2025, 200 Gbps per lane, up to 1,024 accelerators per fabric, with AMD / Intel / Apple / Alibaba / AWS / Cisco / Google / HPE / Meta / Microsoft promoter members) is the open competitor; first silicon is expected late 2026 / early 2027.</w:t>
      </w:r>
    </w:p>
    <w:p>
      <w:pPr>
        <w:spacing w:after="100" w:before="80" w:line="300"/>
        <w:jc w:val="both"/>
      </w:pPr>
      <w:r>
        <w:rPr>
          <w:rFonts w:ascii="Calibri" w:cs="Calibri" w:eastAsia="Calibri" w:hAnsi="Calibri"/>
          <w:color w:val="1A1410"/>
          <w:sz w:val="22"/>
          <w:szCs w:val="22"/>
        </w:rPr>
        <w:t xml:space="preserve">Scale-out is a binary choice between InfiniBand and Ethernet, with Ultra Ethernet as the disruptor. NVIDIA's Quantum-X800 InfiniBand platform (XDR, 800 Gb/s, 144×800G ports per Q3400 switch, sub-100 ns port-to-port latency) anchors xAI Stargate (64,000 GB200s) and Oracle's 131,000-GPU zetta-scale cluster, with SHARP v4 in-network reduction yielding up to 9× speedup on collective-heavy training. NVIDIA Spectrum-X (51.2 Tb/s, RoCE-optimized congestion control, BlueField SuperNICs) is the Ethernet-side answer; xAI's Colossus reportedly achieved 95% throughput on Spectrum-X versus ~60% on commodity Ethernet. Broadcom's Tomahawk 6 "Davisson" (102.4 Tb/s, June 2025) is the first single-die 100+ Tb/s Ethernet switch, available with co-packaged optics. Cisco's Silicon One P200 (51.2 Tb/s, 1,000 km coherent reach) makes the data-center boundary porous. Ultra Ethernet Consortium 1.0 (June 2025) is the formal open alternative to InfiniBand.</w:t>
      </w:r>
    </w:p>
    <w:p>
      <w:pPr>
        <w:spacing w:after="100" w:before="80" w:line="300"/>
        <w:jc w:val="both"/>
      </w:pPr>
      <w:r>
        <w:rPr>
          <w:rFonts w:ascii="Calibri" w:cs="Calibri" w:eastAsia="Calibri" w:hAnsi="Calibri"/>
          <w:color w:val="1A1410"/>
          <w:sz w:val="22"/>
          <w:szCs w:val="22"/>
        </w:rPr>
        <w:t xml:space="preserve">DPUs and SmartNICs offload network and storage virtualization from the host CPU: NVIDIA BlueField-3 (400 Gb/s) and BlueField-4 (October 2025, 800 Gb/s with Grace + ConnectX-9 integration); AMD Pensando Pollara 400 (UEC-aligned); AWS Nitro (5th gen); Intel IPU E2100. ~50% of cloud providers run DPUs in production; ~35% of AI training workloads have storage and networking offloaded.</w:t>
      </w:r>
    </w:p>
    <w:p>
      <w:pPr>
        <w:spacing w:after="100" w:before="80" w:line="300"/>
        <w:jc w:val="both"/>
      </w:pPr>
      <w:r>
        <w:rPr>
          <w:rFonts w:ascii="Calibri" w:cs="Calibri" w:eastAsia="Calibri" w:hAnsi="Calibri"/>
          <w:color w:val="1A1410"/>
          <w:sz w:val="22"/>
          <w:szCs w:val="22"/>
        </w:rPr>
        <w:t xml:space="preserve">Optics is where the buildout and the photonics industry are colliding. 800 G is the new default for AI builds; 1.6 T modules are arriving in 2026. Linear Pluggable Optics (LPO) cut module power by 30–50%; Co-Packaged Optics is shipping with NVIDIA Quantum-X Photonics (H2 2025) and Spectrum-X Photonics (2026) and with Broadcom's Tomahawk 6. CPO benefits — 3.5× lower link power, higher density, lower link latency — come at the cost of serviceability. Lightmatter (Passage M1000 photonic interposer, ~$4.4B valuation), Ayar Labs (TeraPHY chiplet, AMD/Intel/NVIDIA-backed), and Intel Silicon Photonics are the lead players.</w:t>
      </w:r>
    </w:p>
    <w:p>
      <w:pPr>
        <w:spacing w:after="100" w:before="80" w:line="300"/>
        <w:jc w:val="both"/>
      </w:pPr>
      <w:r>
        <w:rPr>
          <w:rFonts w:ascii="Calibri" w:cs="Calibri" w:eastAsia="Calibri" w:hAnsi="Calibri"/>
          <w:color w:val="1A1410"/>
          <w:sz w:val="22"/>
          <w:szCs w:val="22"/>
        </w:rPr>
        <w:t xml:space="preserve">Storage has become a first-class scale-out concern. GPUDirect Storage delivers 40+ GB/s per host with NVMe-oF over RoCEv2 or InfiniBand. Parallel filesystems matter: WekaIO, VAST Data, DDN EXAScaler (which delivers 4 TB/s to NVIDIA's Eos), IBM Storage Scale, Pure FlashBlade. Object storage (S3 / GCS / Azure Blob / Cloudflare R2) is the long-term tier. The inflection point here is the shift from POSIX parallel filesystems toward S3-API object semantics for training data — championed by VAST and visible in Microsoft Azure AI engineering — because hashable keys and trivial replication match large-scale data-loading better than file-system metadata.</w:t>
      </w:r>
    </w:p>
    <w:p>
      <w:pPr>
        <w:spacing w:after="100" w:before="80" w:line="300"/>
        <w:jc w:val="both"/>
      </w:pPr>
      <w:r>
        <w:rPr>
          <w:rFonts w:ascii="Calibri" w:cs="Calibri" w:eastAsia="Calibri" w:hAnsi="Calibri"/>
          <w:color w:val="1A1410"/>
          <w:sz w:val="22"/>
          <w:szCs w:val="22"/>
        </w:rPr>
        <w:t xml:space="preserve">Cluster orchestration consolidated under NVIDIA in 2025: NVIDIA acquired Run:ai (FTC review closed January 2025), open-sourced its KAI scheduler, and acquired SchedMD (the company behind Slurm) in December 2025. Slurm now sits inside Kubernetes via Slinky CRDs. Volcano, Kueue, Ray (Anyscale), SkyPilot, and Determined fill the remaining surface. At extreme scale, the metric of consequence is Model FLOPs Utilization (MFU): 50–70% on best-in-class frontier runs. Failure rates at 100,000+ GPU clusters are unforgiving — Meta's Llama 3.1 405B run experienced 419 interruptions in 54 days, roughly one every three hours — and the next frontier is sub-second restart from in-memory checkpoints.</w:t>
      </w:r>
    </w:p>
    <w:p>
      <w:pPr>
        <w:spacing w:after="60" w:before="200"/>
      </w:pPr>
      <w:r>
        <w:rPr>
          <w:rFonts w:ascii="Consolas" w:cs="Consolas" w:eastAsia="Consolas" w:hAnsi="Consolas"/>
          <w:color w:val="A6371F"/>
          <w:spacing w:val="60"/>
          <w:sz w:val="16"/>
          <w:szCs w:val="16"/>
        </w:rPr>
        <w:t xml:space="preserve">STRATUM V · PARALLELISM</w:t>
      </w:r>
    </w:p>
    <w:p>
      <w:pPr>
        <w:spacing w:after="100" w:before="80" w:line="300"/>
        <w:jc w:val="both"/>
      </w:pPr>
      <w:r>
        <w:rPr>
          <w:rFonts w:ascii="Calibri" w:cs="Calibri" w:eastAsia="Calibri" w:hAnsi="Calibri"/>
          <w:color w:val="1A1410"/>
          <w:sz w:val="22"/>
          <w:szCs w:val="22"/>
        </w:rPr>
        <w:t xml:space="preserve">Modern frontier training combines four parallelism strategies — data, tensor, pipeline, and expert — typically as "4D parallelism" with TP=8 inside an NVLink domain, PP=8 across nodes, DP across pods, and EP for MoE layers. PyTorch FSDP2 (DTensor-based) and Megatron-LM / Megatron-Core are the dominant frameworks; DeepSpeed retains a substantial install base. JAX with jit and shard_map dominates Google TPU pods. The kernel layer rests on FlashAttention 2/3 (FA3 hits 75% MFU on H100 and 1.2 PFLOPs/s FP8), OpenAI Triton, and increasingly ThunderKittens. NCCL handles collective communications on NVIDIA, with RCCL and OneCCL as parallel implementations on AMD and Intel. SHARP v4 runs collectives inside the InfiniBand switch fabric rather than between endpoints.</w:t>
      </w:r>
    </w:p>
    <w:p>
      <w:pPr>
        <w:pStyle w:val="Heading1"/>
        <w:pageBreakBefore/>
        <w:spacing w:after="240" w:before="480" w:line="320"/>
      </w:pPr>
      <w:r>
        <w:rPr>
          <w:rFonts w:ascii="Georgia" w:cs="Georgia" w:eastAsia="Georgia" w:hAnsi="Georgia"/>
          <w:b/>
          <w:bCs/>
          <w:color w:val="1A1410"/>
          <w:sz w:val="40"/>
          <w:szCs w:val="40"/>
        </w:rPr>
        <w:t xml:space="preserve">Part III · Data, Pretraining, and Post-training</w:t>
      </w:r>
    </w:p>
    <w:p>
      <w:pPr>
        <w:pBdr>
          <w:bottom w:val="single" w:color="A6371F" w:sz="6" w:space="1"/>
        </w:pBdr>
        <w:spacing w:after="240" w:before="120"/>
      </w:pPr>
      <w:r>
        <w:t xml:space="preserve"/>
      </w:r>
    </w:p>
    <w:p>
      <w:pPr>
        <w:spacing w:after="60" w:before="200"/>
      </w:pPr>
      <w:r>
        <w:rPr>
          <w:rFonts w:ascii="Consolas" w:cs="Consolas" w:eastAsia="Consolas" w:hAnsi="Consolas"/>
          <w:color w:val="A6371F"/>
          <w:spacing w:val="60"/>
          <w:sz w:val="16"/>
          <w:szCs w:val="16"/>
        </w:rPr>
        <w:t xml:space="preserve">STRATUM VI · DATA</w:t>
      </w:r>
    </w:p>
    <w:p>
      <w:pPr>
        <w:spacing w:after="100" w:before="80" w:line="300"/>
        <w:jc w:val="both"/>
      </w:pPr>
      <w:r>
        <w:rPr>
          <w:rFonts w:ascii="Calibri" w:cs="Calibri" w:eastAsia="Calibri" w:hAnsi="Calibri"/>
          <w:color w:val="1A1410"/>
          <w:sz w:val="22"/>
          <w:szCs w:val="22"/>
        </w:rPr>
        <w:t xml:space="preserve">The training corpus has been priced. Bartz v. Anthropic, settled in August 2025 for $1.5 billion across approximately 500,000 books at ~$3,000 each, is the largest copyright recovery in U.S. history. Judge Alsup's ruling held that training on lawfully-acquired books is "quintessentially transformative" — fair use — but that retaining a central library of pirated books from LibGen and PiLiMi was infringement. The settlement does not release claims for infringing outputs or for future training. NYT v. OpenAI/Microsoft survived motion to dismiss in March 2025 and is consolidated in SDNY with twelve other publisher cases. The macro takeaway: training on legally-licensed corpora is defensible; ingestion from shadow libraries is not.</w:t>
      </w:r>
    </w:p>
    <w:p>
      <w:pPr>
        <w:spacing w:after="100" w:before="80" w:line="300"/>
        <w:jc w:val="both"/>
      </w:pPr>
      <w:r>
        <w:rPr>
          <w:rFonts w:ascii="Calibri" w:cs="Calibri" w:eastAsia="Calibri" w:hAnsi="Calibri"/>
          <w:color w:val="1A1410"/>
          <w:sz w:val="22"/>
          <w:szCs w:val="22"/>
        </w:rPr>
        <w:t xml:space="preserve">Common Crawl remains the underlying substrate. Derived datasets dominate: RefinedWeb (Falcon, web-only); RedPajama-Data v2 (30T tokens, 84 CC dumps, pre-computed quality annotations); FineWeb (15T tokens, 96 snapshots, Hugging Face) and FineWeb-Edu (1.3T tokens, classified by a Llama-3-70B-trained quality classifier); Dolma (AI2, 3T, fully documented); Nemotron-CC v2 (NVIDIA, 6.3T including 1.9T synthetic), which beats DCLM and FineWeb-Edu via classifier ensembling and synthetic rephrasing. Code is governed by BigCode's The Stack v2 (67.5 TB raw, ~900B training tokens, SWHID-traceable, opt-out, PII-scrubbed). Books split between clean public domain (Project Gutenberg) and the litigated shadow corpora; licensed deals with HarperCollins, Wiley, and Taylor &amp; Francis define the above-board path. Multilingual corpora include CulturaX (167 languages), mC4, ROOTS, OSCAR, FineWeb-2 (1,000+ languages). Multimodal: LAION-5B (re-released as Re-LAION-5B), DataComp / CommonPool (12.8B image-text pairs), COYO, DOCCI.</w:t>
      </w:r>
    </w:p>
    <w:p>
      <w:pPr>
        <w:spacing w:after="100" w:before="80" w:line="300"/>
        <w:jc w:val="both"/>
      </w:pPr>
      <w:r>
        <w:rPr>
          <w:rFonts w:ascii="Calibri" w:cs="Calibri" w:eastAsia="Calibri" w:hAnsi="Calibri"/>
          <w:color w:val="1A1410"/>
          <w:sz w:val="22"/>
          <w:szCs w:val="22"/>
        </w:rPr>
        <w:t xml:space="preserve">Cloudflare's July 2025 default-block of AI crawlers — every new domain blocks AI bots by default, with managed robots.txt and a Pay-Per-Crawl HTTP 402 system — is an inflection point. The cited motivating data: OpenAI's 1,700:1 crawl-to-referral ratio, Anthropic's 73,000:1. The open web available for training is shrinking at the same time that synthetic data is becoming more capable. Nemotron-CC's 1.9T synthetic tokens, Microsoft's Phi family (entirely synthetic), and the universal use of teacher distillation (Llama 4 Behemoth → Maverick / Scout, Gemini Ultra → Flash, R1 → R1-Distill) reflect a world where the pretraining mix is 20–50% model-generated.</w:t>
      </w:r>
    </w:p>
    <w:p>
      <w:pPr>
        <w:spacing w:after="100" w:before="80" w:line="300"/>
        <w:jc w:val="both"/>
      </w:pPr>
      <w:r>
        <w:rPr>
          <w:rFonts w:ascii="Calibri" w:cs="Calibri" w:eastAsia="Calibri" w:hAnsi="Calibri"/>
          <w:color w:val="1A1410"/>
          <w:sz w:val="22"/>
          <w:szCs w:val="22"/>
        </w:rPr>
        <w:t xml:space="preserve">Processing has standardized. Deduplication uses MinHash + LSH (FineWeb does 14 hashes in 9 buckets of 8); SlimPajama removed nearly half of RedPajama-v1 via this. Quality filtering passed through three generations: Gopher / C4 heuristics; FastText classifiers trained on Wikipedia-positive / random-CC-negative; and LLM-as-judge classifiers (FineWeb-Edu used Llama-3-70B over 460k samples). Tokenization split between OpenAI tiktoken (BPE, 200k vocab on GPT-4o), SentencePiece (Gemini, Gemma, T5), and the Hugging Face tokenizers library. C2PA content provenance and SynthID watermarking are now deployed but defeatable; the EU AI Act's August 2026 transparency provisions will make C2PA-class provenance a compliance baseline in Europe.</w:t>
      </w:r>
    </w:p>
    <w:p>
      <w:pPr>
        <w:spacing w:after="60" w:before="200"/>
      </w:pPr>
      <w:r>
        <w:rPr>
          <w:rFonts w:ascii="Consolas" w:cs="Consolas" w:eastAsia="Consolas" w:hAnsi="Consolas"/>
          <w:color w:val="A6371F"/>
          <w:spacing w:val="60"/>
          <w:sz w:val="16"/>
          <w:szCs w:val="16"/>
        </w:rPr>
        <w:t xml:space="preserve">STRATUM VII · PRETRAINING</w:t>
      </w:r>
    </w:p>
    <w:p>
      <w:pPr>
        <w:spacing w:after="100" w:before="80" w:line="300"/>
        <w:jc w:val="both"/>
      </w:pPr>
      <w:r>
        <w:rPr>
          <w:rFonts w:ascii="Calibri" w:cs="Calibri" w:eastAsia="Calibri" w:hAnsi="Calibri"/>
          <w:color w:val="1A1410"/>
          <w:sz w:val="22"/>
          <w:szCs w:val="22"/>
        </w:rPr>
        <w:t xml:space="preserve">The decoder-only Transformer remains the trunk. Attention has evolved from MHA through MQA and GQA to MLA — DeepSpeek's Multi-head Latent Attention compresses K/V into a low-rank latent for 32× KV cache compression and a ~20× speedup with quality slightly above MHA. Sliding-window attention with attention sinks (Mistral) extends context locality. FlashAttention 1/2/3 is the IO-aware kernel that made all of this practical at scale.</w:t>
      </w:r>
    </w:p>
    <w:p>
      <w:pPr>
        <w:spacing w:after="100" w:before="80" w:line="300"/>
        <w:jc w:val="both"/>
      </w:pPr>
      <w:r>
        <w:rPr>
          <w:rFonts w:ascii="Calibri" w:cs="Calibri" w:eastAsia="Calibri" w:hAnsi="Calibri"/>
          <w:color w:val="1A1410"/>
          <w:sz w:val="22"/>
          <w:szCs w:val="22"/>
        </w:rPr>
        <w:t xml:space="preserve">Mixture-of-Experts is the dominant scaling method above ~70B. Mixtral 8×7B / 8×22B was the open breakthrough; DeepSeek V2 (236B / 21B active) and V3 (671B / 37B active, trained on 2,048 H800s for ~$5.6M in compute) matured fine-grained expert routing with one shared expert plus 256 routed experts; Llama 4 Scout (109B / 17B, 16 experts), Maverick (400B / 17B, 128 experts + 1 shared), and Behemoth (~2T / 288B, 16 experts as teacher) are natively-multimodal MoE; Qwen 3 / 3.5 (Apache 2.0, toggleable thinking) and Mistral Large 3 (~675B / 41B, Apache 2.0) round out the open-weight tier. Non-Transformer architectures — Mamba / Mamba-2 selective state-space models, hybrid Jamba (Transformer + Mamba + MoE), and diffusion language models like Inception Labs' Mercury (1,109 tok/s on H100 for Coder Mini, ~10× autoregressive speed) — are real but niche. Multimodal converges on unified token streams: SigLIP 2 vision encoders feed Gemma; Chameleon and Show-o tokenize images via VQ-VAE; Janus / Janus-Pro decouples encoding paths for understanding versus generation.</w:t>
      </w:r>
    </w:p>
    <w:p>
      <w:pPr>
        <w:spacing w:after="100" w:before="80" w:line="300"/>
        <w:jc w:val="both"/>
      </w:pPr>
      <w:r>
        <w:rPr>
          <w:rFonts w:ascii="Calibri" w:cs="Calibri" w:eastAsia="Calibri" w:hAnsi="Calibri"/>
          <w:color w:val="1A1410"/>
          <w:sz w:val="22"/>
          <w:szCs w:val="22"/>
        </w:rPr>
        <w:t xml:space="preserve">Position encodings: RoPE is universal at the open frontier, with YaRN as the dominant context-extension recipe (10× fewer tokens, 2.5× fewer steps than naive interpolation). NoPE — no positional encoding — is surprisingly competitive in some MoE configurations. Tokenizer mismatch is a frequent distillation bug; Llama 4 reuses Llama 3's tokenizer for this reason.</w:t>
      </w:r>
    </w:p>
    <w:p>
      <w:pPr>
        <w:spacing w:after="100" w:before="80" w:line="300"/>
        <w:jc w:val="both"/>
      </w:pPr>
      <w:r>
        <w:rPr>
          <w:rFonts w:ascii="Calibri" w:cs="Calibri" w:eastAsia="Calibri" w:hAnsi="Calibri"/>
          <w:color w:val="1A1410"/>
          <w:sz w:val="22"/>
          <w:szCs w:val="22"/>
        </w:rPr>
        <w:t xml:space="preserve">Cost trends: GPT-4 was approximately $78–100M in compute (~$200M+ all-in); Llama 3.1 405B was ~$170M compute on a &gt;$500M program; DeepSeek V3 famously claimed $5.6M compute (the all-in number including failed runs and team is far higher). Frontier next-generation pretraining is in the $1B+ range. Hardware is 47–67% of total cost; R&amp;D personnel 29–49%. Scaling laws (Hoffmann / Chinchilla) recommend ~20 tokens per parameter for compute-optimal training; inference economics push aggressively in the opposite direction (Llama 3 8B was trained on 15T tokens, ~1,875 tokens per parameter, suboptimal for training compute but optimal for inference cost over deployment lifetime).</w:t>
      </w:r>
    </w:p>
    <w:p>
      <w:pPr>
        <w:spacing w:after="60" w:before="200"/>
      </w:pPr>
      <w:r>
        <w:rPr>
          <w:rFonts w:ascii="Consolas" w:cs="Consolas" w:eastAsia="Consolas" w:hAnsi="Consolas"/>
          <w:color w:val="A6371F"/>
          <w:spacing w:val="60"/>
          <w:sz w:val="16"/>
          <w:szCs w:val="16"/>
        </w:rPr>
        <w:t xml:space="preserve">STRATUM VIII · POST-TRAINING</w:t>
      </w:r>
    </w:p>
    <w:p>
      <w:pPr>
        <w:spacing w:after="100" w:before="80" w:line="300"/>
        <w:jc w:val="both"/>
      </w:pPr>
      <w:r>
        <w:rPr>
          <w:rFonts w:ascii="Calibri" w:cs="Calibri" w:eastAsia="Calibri" w:hAnsi="Calibri"/>
          <w:color w:val="1A1410"/>
          <w:sz w:val="22"/>
          <w:szCs w:val="22"/>
        </w:rPr>
        <w:t xml:space="preserve">The post-training stack has expanded beyond recognition since 2023. Supervised fine-tuning on instructions remains the entry point; quality dominates quantity (LIMA / Alpaca lesson). RLHF — train a reward model, then PPO against it — was overtaken by simpler preference methods: DPO (closed-form, no explicit reward model), IPO, KTO (single-rating), ORPO (combined SFT + preference). Anthropic's Constitutional AI / RLAIF replaces human labelers with an LLM critic governed by a written constitution; Claude 4 series uses this as the primary preference signal.</w:t>
      </w:r>
    </w:p>
    <w:p>
      <w:pPr>
        <w:spacing w:after="100" w:before="80" w:line="300"/>
        <w:jc w:val="both"/>
      </w:pPr>
      <w:r>
        <w:rPr>
          <w:rFonts w:ascii="Calibri" w:cs="Calibri" w:eastAsia="Calibri" w:hAnsi="Calibri"/>
          <w:color w:val="1A1410"/>
          <w:sz w:val="22"/>
          <w:szCs w:val="22"/>
        </w:rPr>
        <w:t xml:space="preserve">The single most important paradigm shift since 2023 is reinforcement learning with verifiable rewards (RLVR). In domains where correctness is automatically checkable — math, code, formal proofs — the reward signal becomes the unit test or the symbolic verifier, eliminating reward hacking. DeepSeek's Group Relative Policy Optimization (GRPO) — a PPO variant that drops the value network and computes advantages relative to the mean reward of a group of sampled responses — is the practical engine. DeepSeek-R1-Zero demonstrated pure-RL reasoning emergence with no SFT cold start; R1 added SFT for usability.</w:t>
      </w:r>
    </w:p>
    <w:p>
      <w:pPr>
        <w:spacing w:after="100" w:before="80" w:line="300"/>
        <w:jc w:val="both"/>
      </w:pPr>
      <w:r>
        <w:rPr>
          <w:rFonts w:ascii="Calibri" w:cs="Calibri" w:eastAsia="Calibri" w:hAnsi="Calibri"/>
          <w:color w:val="1A1410"/>
          <w:sz w:val="22"/>
          <w:szCs w:val="22"/>
        </w:rPr>
        <w:t xml:space="preserve">Test-time compute is the second new scaling axis. OpenAI o1 (September 2024), o3 (December 2024), Claude with extended thinking (3.7 Sonnet, then 4-series with 64k thinking budgets), Gemini 2.5 Deep Think, and DeepSeek R1 all instantiate it. A small model thinking for thirty seconds outperforms a 14× larger model that answers immediately. The rollout mechanics — best-of-N, MCTS, beam search over reasoning traces — combine with RLVR-trained chain-of-thought generators.</w:t>
      </w:r>
    </w:p>
    <w:p>
      <w:pPr>
        <w:spacing w:after="100" w:before="80" w:line="300"/>
        <w:jc w:val="both"/>
      </w:pPr>
      <w:r>
        <w:rPr>
          <w:rFonts w:ascii="Calibri" w:cs="Calibri" w:eastAsia="Calibri" w:hAnsi="Calibri"/>
          <w:color w:val="1A1410"/>
          <w:sz w:val="22"/>
          <w:szCs w:val="22"/>
        </w:rPr>
        <w:t xml:space="preserve">Distillation (Llama 4 Behemoth → Maverick / Scout; Gemini Ultra → Flash; R1 → R1-Distill series on Qwen-7B / Llama-70B) and speculative decoding (EAGLE-3 reaching 3.0–6.5× over autoregressive baseline) close the loop on inference economics. Process Reward Models reward intermediate steps; chain-of-thought monitorability is the safety-research frontier — the Frontier Model Forum published a joint paper in January 2026.</w:t>
      </w:r>
    </w:p>
    <w:p>
      <w:pPr>
        <w:spacing w:after="100" w:before="80" w:line="300"/>
        <w:jc w:val="both"/>
      </w:pPr>
      <w:r>
        <w:rPr>
          <w:rFonts w:ascii="Calibri" w:cs="Calibri" w:eastAsia="Calibri" w:hAnsi="Calibri"/>
          <w:color w:val="1A1410"/>
          <w:sz w:val="22"/>
          <w:szCs w:val="22"/>
        </w:rPr>
        <w:t xml:space="preserve">Public 2025–2026 frontier models: Anthropic Claude Opus 4.5 (November 24, 2025), Sonnet 4.5 (September 29, 2025), Haiku 4.5; OpenAI GPT-5 (August 7, 2025; unified architecture with built-in router) and successors; Google Gemini 2.5 Pro / Flash with Deep Think and dynamic thinking budgets; Meta Llama 4; xAI Grok 4; DeepSeek V3 / R1 / V4; Mistral Large 3; Alibaba Qwen 3 / 3.5 / QwQ; with strong open-weight tier from Cohere Command R+, AI21 Jamba, Reka, 01.AI Yi, Baidu Ernie, Zhipu GLM. The "open weights" category has converged on permissive licensing — Mistral Large 3 went Apache 2.0 — while remaining distinct from "open source" in that training data and code generally are not released.</w:t>
      </w:r>
    </w:p>
    <w:p>
      <w:pPr>
        <w:spacing w:after="100" w:before="80" w:line="300"/>
        <w:jc w:val="both"/>
      </w:pPr>
      <w:r>
        <w:rPr>
          <w:rFonts w:ascii="Calibri" w:cs="Calibri" w:eastAsia="Calibri" w:hAnsi="Calibri"/>
          <w:color w:val="1A1410"/>
          <w:sz w:val="22"/>
          <w:szCs w:val="22"/>
        </w:rPr>
        <w:t xml:space="preserve">Benchmarks have stratified. MMLU is saturated; MMLU-Pro and GPQA Diamond replace it for general knowledge. MATH and AIME 2024/2025 are saturated for the frontier; FrontierMath (Epoch AI) is the new hard target, with Gemini 2.5 Deep Think and o3 breaking 25%. ARC-AGI-2 (March 2025, calibrated against &gt;400 humans in San Diego) is the visual-abstraction benchmark; GPT-5.5 leads at ~85% (humans average ~60%). Humanity's Last Exam — 2,500 multimodal expert questions — is the current frontier of the frontier. Coding has shifted to LiveCodeBench (rolling, contamination-resistant), SWE-bench Verified (the agentic-coding gold standard, with Anthropic's "Mythos Preview" leading at 0.939 across the llm-stats.com tracking field), SWE-bench Multimodal, and METR for long-horizon agentic tasks. Live arenas (LMSYS / lmarena.ai Chatbot Arena, &gt;6M votes) cluster Anthropic, Google, and xAI within 20 Elo at the top.</w:t>
      </w:r>
    </w:p>
    <w:p>
      <w:pPr>
        <w:pStyle w:val="Heading1"/>
        <w:pageBreakBefore/>
        <w:spacing w:after="240" w:before="480" w:line="320"/>
      </w:pPr>
      <w:r>
        <w:rPr>
          <w:rFonts w:ascii="Georgia" w:cs="Georgia" w:eastAsia="Georgia" w:hAnsi="Georgia"/>
          <w:b/>
          <w:bCs/>
          <w:color w:val="1A1410"/>
          <w:sz w:val="40"/>
          <w:szCs w:val="40"/>
        </w:rPr>
        <w:t xml:space="preserve">Part IV · Inference, Middleware, and the Application Layer</w:t>
      </w:r>
    </w:p>
    <w:p>
      <w:pPr>
        <w:pBdr>
          <w:bottom w:val="single" w:color="A6371F" w:sz="6" w:space="1"/>
        </w:pBdr>
        <w:spacing w:after="240" w:before="120"/>
      </w:pPr>
      <w:r>
        <w:t xml:space="preserve"/>
      </w:r>
    </w:p>
    <w:p>
      <w:pPr>
        <w:spacing w:after="60" w:before="200"/>
      </w:pPr>
      <w:r>
        <w:rPr>
          <w:rFonts w:ascii="Consolas" w:cs="Consolas" w:eastAsia="Consolas" w:hAnsi="Consolas"/>
          <w:color w:val="A6371F"/>
          <w:spacing w:val="60"/>
          <w:sz w:val="16"/>
          <w:szCs w:val="16"/>
        </w:rPr>
        <w:t xml:space="preserve">STRATUM IX · MODEL PROVIDERS</w:t>
      </w:r>
    </w:p>
    <w:p>
      <w:pPr>
        <w:spacing w:after="100" w:before="80" w:line="300"/>
        <w:jc w:val="both"/>
      </w:pPr>
      <w:r>
        <w:rPr>
          <w:rFonts w:ascii="Calibri" w:cs="Calibri" w:eastAsia="Calibri" w:hAnsi="Calibri"/>
          <w:color w:val="1A1410"/>
          <w:sz w:val="22"/>
          <w:szCs w:val="22"/>
        </w:rPr>
        <w:t xml:space="preserve">First-party API access concentrates around four houses: Anthropic (Opus 4.5 at $5/$25 per million input/output tokens, Sonnet 4.5 at $3/$15, Haiku 4.5 at $1/$5; prompt caching with 5-minute writes at 1.25× input price, 1-hour writes at 2×, reads at 0.10×; batch API at 50% discount; combined caching plus batch yields ~95% effective discount on repeated context); OpenAI (GPT-5 family with automatic prompt caching at ≥1024 tokens, granular at 128-token boundaries, cached reads at 0.25–0.5× input price); Google AI / Vertex AI (Gemini 2.5 Pro / Flash with implicit and explicit caching, VPC-SC and IAM at the Vertex tier); AWS Bedrock and Azure OpenAI Service (multi-model marketplaces with provisioned throughput and inference profiles).</w:t>
      </w:r>
    </w:p>
    <w:p>
      <w:pPr>
        <w:spacing w:after="100" w:before="80" w:line="300"/>
        <w:jc w:val="both"/>
      </w:pPr>
      <w:r>
        <w:rPr>
          <w:rFonts w:ascii="Calibri" w:cs="Calibri" w:eastAsia="Calibri" w:hAnsi="Calibri"/>
          <w:color w:val="1A1410"/>
          <w:sz w:val="22"/>
          <w:szCs w:val="22"/>
        </w:rPr>
        <w:t xml:space="preserve">Aggregator and inference-marketplace patterns: pure routers (OpenRouter, Vercel AI Gateway, the latter launched May 2025 at zero markup and forced OpenRouter to drop fees on the first 1M BYOK requests in October 2025); inference providers running 200+ models on owned GPU clusters (Fireworks, Together AI, DeepInfra, Lepton, Modal, Baseten, Replicate, Anyscale, RunPod); custom-silicon clouds (Cerebras at ~3,000 tok/s on GPT-OSS-120B, Groq at ~750 tok/s on Llama 3.1-8B with deterministic latency, SambaNova at ~580 tok/s on Llama 3.1-70B with a world-record ~129 tok/s/user on the 405B model). Latency tiers are now formalized: TTFT (time to first token), TPOT (time per output token), end-to-end. MLPerf Inference 5.1 interactive scenario for 8B-class models specifies TTFT ≤ 0.5s and TPOT ≤ 30ms.</w:t>
      </w:r>
    </w:p>
    <w:p>
      <w:pPr>
        <w:spacing w:after="60" w:before="200"/>
      </w:pPr>
      <w:r>
        <w:rPr>
          <w:rFonts w:ascii="Consolas" w:cs="Consolas" w:eastAsia="Consolas" w:hAnsi="Consolas"/>
          <w:color w:val="A6371F"/>
          <w:spacing w:val="60"/>
          <w:sz w:val="16"/>
          <w:szCs w:val="16"/>
        </w:rPr>
        <w:t xml:space="preserve">STRATUM X · INFERENCE ENGINES</w:t>
      </w:r>
    </w:p>
    <w:p>
      <w:pPr>
        <w:spacing w:after="100" w:before="80" w:line="300"/>
        <w:jc w:val="both"/>
      </w:pPr>
      <w:r>
        <w:rPr>
          <w:rFonts w:ascii="Calibri" w:cs="Calibri" w:eastAsia="Calibri" w:hAnsi="Calibri"/>
          <w:color w:val="1A1410"/>
          <w:sz w:val="22"/>
          <w:szCs w:val="22"/>
        </w:rPr>
        <w:t xml:space="preserve">vLLM, now under the PyTorch Foundation, is the open-source default. Its primitives — PagedAttention (KV cache as virtual memory addressed via block tables), continuous batching at iteration-level scheduling, chunked prefill — have been copied across the field. SGLang's wedge is RadixAttention, a radix tree of KV-cache prefixes that achieves 85–95% prefix hit rate on few-shot workloads versus vLLM's 15–25%, plus a compressed finite-state machine for constrained decoding (3× faster JSON, up to 6.4× higher throughput on agent / RAG / JSON workloads). SGLang shipped day-one DeepSeek V3/R1 support in January 2025.</w:t>
      </w:r>
    </w:p>
    <w:p>
      <w:pPr>
        <w:spacing w:after="100" w:before="80" w:line="300"/>
        <w:jc w:val="both"/>
      </w:pPr>
      <w:r>
        <w:rPr>
          <w:rFonts w:ascii="Calibri" w:cs="Calibri" w:eastAsia="Calibri" w:hAnsi="Calibri"/>
          <w:color w:val="1A1410"/>
          <w:sz w:val="22"/>
          <w:szCs w:val="22"/>
        </w:rPr>
        <w:t xml:space="preserve">NVIDIA Dynamo (GTC 2025) is positioned as the "inference operating system for AI factories": disaggregated prefill / decode (compute-bound and memory-bound phases on separate GPU pools), LLM-aware routing that exploits KV cache locality, KV-cache offloading across HBM → DRAM → SSD, and asynchronous GPU-to-GPU transfer via NIXL. TensorRT-LLM remains NVIDIA's first-party LLM-optimized stack with FP8 / FP4 quantization. llama.cpp / GGUF underpins Ollama, LM Studio, Jan.ai, and most consumer-facing local LLM apps. PyTorch ExecuTorch 1.0 (50KB runtime, 12+ hardware backends) is the official on-device runtime. Apple MLX exploits unified memory zero-copy on Apple Silicon and benefits from M5's GPU Neural Accelerators (~4× M4 TTFT).</w:t>
      </w:r>
    </w:p>
    <w:p>
      <w:pPr>
        <w:spacing w:after="100" w:before="80" w:line="300"/>
        <w:jc w:val="both"/>
      </w:pPr>
      <w:r>
        <w:rPr>
          <w:rFonts w:ascii="Calibri" w:cs="Calibri" w:eastAsia="Calibri" w:hAnsi="Calibri"/>
          <w:color w:val="1A1410"/>
          <w:sz w:val="22"/>
          <w:szCs w:val="22"/>
        </w:rPr>
        <w:t xml:space="preserve">Speculative decoding sits at the latency frontier: EAGLE-3 (NeurIPS 2025) achieves 3.0–6.5× speedup over autoregressive decoding via training-time-testing with low/mid/high feature fusion. Quantization stack: FP8 is the default on Hopper / Blackwell; NVFP4 / MXFP4 doubles throughput on Blackwell; AWQ beats GPTQ at 4-bit on outlier-prone activations; SmoothQuant migrates dynamic range from activations to weights for W8A8; GGUF imatrix (IQ) quants dominate consumer / local with Q4_K_M as the typical sweet spot.</w:t>
      </w:r>
    </w:p>
    <w:p>
      <w:pPr>
        <w:spacing w:after="60" w:before="200"/>
      </w:pPr>
      <w:r>
        <w:rPr>
          <w:rFonts w:ascii="Consolas" w:cs="Consolas" w:eastAsia="Consolas" w:hAnsi="Consolas"/>
          <w:color w:val="A6371F"/>
          <w:spacing w:val="60"/>
          <w:sz w:val="16"/>
          <w:szCs w:val="16"/>
        </w:rPr>
        <w:t xml:space="preserve">STRATA XI–XII · RETRIEVAL, MEMORY, ORCHESTRATION</w:t>
      </w:r>
    </w:p>
    <w:p>
      <w:pPr>
        <w:spacing w:after="100" w:before="80" w:line="300"/>
        <w:jc w:val="both"/>
      </w:pPr>
      <w:r>
        <w:rPr>
          <w:rFonts w:ascii="Calibri" w:cs="Calibri" w:eastAsia="Calibri" w:hAnsi="Calibri"/>
          <w:color w:val="1A1410"/>
          <w:sz w:val="22"/>
          <w:szCs w:val="22"/>
        </w:rPr>
        <w:t xml:space="preserve">The vector database market has stratified by latency and operational posture. Independent benchmarks place Qdrant at the latency frontier (~2ms p99) over FAISS, Milvus, Pinecone, and Weaviate. Selection guide: Pinecone for managed zero-ops; Qdrant for filtered-search latency; Weaviate for hybrid (vector + BM25) and multimodal; Chroma for dev-friendly local; Milvus / Zilliz for billion-vector scale; LanceDB for embedded multimodal lakehouse; pgvector + pgvectorscale when "we already use Postgres"; Turbopuffer for object-storage-backed cheap multi-tenant. Graph: Neo4j, Memgraph, ArangoDB, Neptune, KuzuDB, FalkorDB. The current best-practice RAG pipeline is dense + sparse (BM25 or SPLADE) + reciprocal rank fusion + cross-encoder reranker — yielding 15–30% better retrieval accuracy than pure vector search.</w:t>
      </w:r>
    </w:p>
    <w:p>
      <w:pPr>
        <w:spacing w:after="100" w:before="80" w:line="300"/>
        <w:jc w:val="both"/>
      </w:pPr>
      <w:r>
        <w:rPr>
          <w:rFonts w:ascii="Calibri" w:cs="Calibri" w:eastAsia="Calibri" w:hAnsi="Calibri"/>
          <w:color w:val="1A1410"/>
          <w:sz w:val="22"/>
          <w:szCs w:val="22"/>
        </w:rPr>
        <w:t xml:space="preserve">Embedding leaders: Voyage AI voyage-3-large (acquired by MongoDB; SOTA on MTEB retrieval); OpenAI text-embedding-3-large; Cohere embed v4; NVIDIA NV-Embed-v2; Nomic Embed v2; BAAI BGE-M3 (100+ languages); mxbai-embed-large; Jina v5; Mistral embed. Matryoshka embeddings (truncatable to lower dimensions without quality cliff) are now standard. Rerankers — the single highest-ROI addition to a RAG pipeline — include Cohere Rerank 4, Voyage Rerank 2.5, mxbai-rerank, Jina Reranker v2.</w:t>
      </w:r>
    </w:p>
    <w:p>
      <w:pPr>
        <w:spacing w:after="100" w:before="80" w:line="300"/>
        <w:jc w:val="both"/>
      </w:pPr>
      <w:r>
        <w:rPr>
          <w:rFonts w:ascii="Calibri" w:cs="Calibri" w:eastAsia="Calibri" w:hAnsi="Calibri"/>
          <w:color w:val="1A1410"/>
          <w:sz w:val="22"/>
          <w:szCs w:val="22"/>
        </w:rPr>
        <w:t xml:space="preserve">Long-term memory has become a discrete sub-stratum. Mem0 offers transparent vector + graph integration; Letta (formerly MemGPT) treats memory as agent-editable state via tool calls; Zep tracks temporal knowledge graphs; Cognee provides cognitive-architecture-inspired layers. Knowledge-graphs-from-text frameworks (Microsoft GraphRAG with Leiden clustering and community summaries; HippoRAG / HippoRAG2 with neurobiologically-inspired personalized PageRank; PathRAG, OG-RAG) report substantial multi-hop accuracy improvements over flat vector search.</w:t>
      </w:r>
    </w:p>
    <w:p>
      <w:pPr>
        <w:spacing w:after="100" w:before="80" w:line="300"/>
        <w:jc w:val="both"/>
      </w:pPr>
      <w:r>
        <w:rPr>
          <w:rFonts w:ascii="Calibri" w:cs="Calibri" w:eastAsia="Calibri" w:hAnsi="Calibri"/>
          <w:color w:val="1A1410"/>
          <w:sz w:val="22"/>
          <w:szCs w:val="22"/>
        </w:rPr>
        <w:t xml:space="preserve">Orchestration has settled around three layers. Framework: LangChain 1.0 / LangGraph 1.0 / LangSmith remain the dominant Python-first stack (LangSmith's 2025 additions include the Insights Agent for production trace clustering and Multi-Turn Evals); LlamaIndex specializes in RAG and document-heavy contexts; DSPy (Stanford, with MIPROv2 prompt optimizer) programs LMs declaratively; TextGrad treats prompts as differentiable; Haystack (deepset) is the European mature entrant; Semantic Kernel converges with AutoGen into the Microsoft Agent Framework. TypeScript: Vercel AI SDK is the default with `streamText`, `generateObject` (Zod-typed structured output), tool calling, agents, MCP integration; Mastra (YC W25, $13M seed) layers memory, workflows, evals, and observability on top of AI SDK; Pydantic AI is the strict-typing path.</w:t>
      </w:r>
    </w:p>
    <w:p>
      <w:pPr>
        <w:spacing w:after="100" w:before="80" w:line="300"/>
        <w:jc w:val="both"/>
      </w:pPr>
      <w:r>
        <w:rPr>
          <w:rFonts w:ascii="Calibri" w:cs="Calibri" w:eastAsia="Calibri" w:hAnsi="Calibri"/>
          <w:color w:val="1A1410"/>
          <w:sz w:val="22"/>
          <w:szCs w:val="22"/>
        </w:rPr>
        <w:t xml:space="preserve">Vendor agent SDKs converged in 2025: OpenAI Agents SDK (March 2025; cleanest handoff model — `transfer_to_agent_b` is just a tool call carrying conversation history; strong voice integration); Google ADK (April 2025; hierarchical agent trees, multi-language Python / Java / Go / .NET, deep Vertex AI integration); Anthropic Claude Agent SDK (deepest MCP integration, computer-use focus, "give the agent a computer" paradigm). Heuristic: Claude wins on reasoning quality, OpenAI wins on developer experience, Google wins on cost. CrewAI, AutoGen / AG2, Smolagents (code-execution agents) compete in the multi-agent layer. Non-developer tier: n8n + AI nodes, Zapier AI, Make.com.</w:t>
      </w:r>
    </w:p>
    <w:p>
      <w:pPr>
        <w:spacing w:after="100" w:before="80" w:line="300"/>
        <w:jc w:val="both"/>
      </w:pPr>
      <w:r>
        <w:rPr>
          <w:rFonts w:ascii="Calibri" w:cs="Calibri" w:eastAsia="Calibri" w:hAnsi="Calibri"/>
          <w:color w:val="1A1410"/>
          <w:sz w:val="22"/>
          <w:szCs w:val="22"/>
        </w:rPr>
        <w:t xml:space="preserve">Model Context Protocol, published by Anthropic in November 2024, has become the integration substrate. The November 2025 spec release reported 97M monthly SDK downloads (cumulative across languages), 10,000+ active MCP servers in production, hundreds of MCP clients, and 5,800+ connectors in the registry. OpenAI, Hugging Face, and LangChain adopted MCP across 2025; in December 2025 Anthropic donated the protocol to the Linux Foundation's Agentic AI Foundation, co-founded with Block and OpenAI.</w:t>
      </w:r>
    </w:p>
    <w:p>
      <w:pPr>
        <w:spacing w:after="100" w:before="80" w:line="300"/>
        <w:jc w:val="both"/>
      </w:pPr>
      <w:r>
        <w:rPr>
          <w:rFonts w:ascii="Calibri" w:cs="Calibri" w:eastAsia="Calibri" w:hAnsi="Calibri"/>
          <w:color w:val="1A1410"/>
          <w:sz w:val="22"/>
          <w:szCs w:val="22"/>
        </w:rPr>
        <w:t xml:space="preserve">Computer-use agents are the largest single capability shift of 2025. Anthropic Computer Use (October 2024); Claude for Chrome (August 2025, expanded to Pro / Team / Enterprise by December 2025); OpenAI Operator (January 2025, since merged into ChatGPT Agent — Operator scored 87% on WebVoyager versus Anthropic Computer Use at 56%); Google Project Mariner at I/O 2025, now running 10 simultaneous tasks for AI Ultra subscribers. Browser automation: Playwright + AI as the industry standard, with Browserbase and Browserless providing managed headless Chrome. Voice agents: Vapi, Retell, Bland (hosted with BYO STT/LLM/TTS); LiveKit Agents for developer-oriented WebRTC; ElevenLabs leads TTS; Deepgram and AssemblyAI lead STT; Cartesia (Sonic) leads streaming TTS at 90ms; Sesame ships the open conversational voice stack.</w:t>
      </w:r>
    </w:p>
    <w:p>
      <w:pPr>
        <w:spacing w:after="100" w:before="80" w:line="300"/>
        <w:jc w:val="both"/>
      </w:pPr>
      <w:r>
        <w:rPr>
          <w:rFonts w:ascii="Calibri" w:cs="Calibri" w:eastAsia="Calibri" w:hAnsi="Calibri"/>
          <w:color w:val="1A1410"/>
          <w:sz w:val="22"/>
          <w:szCs w:val="22"/>
        </w:rPr>
        <w:t xml:space="preserve">AI gateways have proliferated: Vercel AI Gateway (zero markup, 100+ models, sub-20ms routing); Cloudflare AI Gateway (edge-distributed, automatic fallback); Portkey (semantic-similarity caching, prompt management); Helicone (open-source Rust, sub-1ms p99 overhead); LiteLLM (open-source self-hosted); Kong AI Gateway (enterprise, independently benchmarked at 65% lower latency than Portkey and 86% lower than LiteLLM). Observability: LangSmith, Langfuse (OpenTelemetry-native open source), Arize AX / Phoenix, WhyLabs, Honeycomb, Datadog AI Observability, Galileo. Eval platforms: Promptfoo (acquired by OpenAI in 2025), Braintrust (used in PR-blocking workflows at Perplexity, Airtable, Replit), Patronus, DeepEval, OpenAI Evals, Langfuse, HumanLoop, Giskard (European OSS).</w:t>
      </w:r>
    </w:p>
    <w:p>
      <w:pPr>
        <w:spacing w:after="100" w:before="80" w:line="300"/>
        <w:jc w:val="both"/>
      </w:pPr>
      <w:r>
        <w:rPr>
          <w:rFonts w:ascii="Calibri" w:cs="Calibri" w:eastAsia="Calibri" w:hAnsi="Calibri"/>
          <w:color w:val="1A1410"/>
          <w:sz w:val="22"/>
          <w:szCs w:val="22"/>
        </w:rPr>
        <w:t xml:space="preserve">Guardrails: NVIDIA NeMo Guardrails (programmable Colang dialog flows); Guardrails AI (Pydantic-style validators); Lakera Guard (API-first, threat intel from Gandalf); Protect AI (model and supply-chain security); Robust Intelligence (Cisco-acquired); Bedrock Guardrails and Azure AI Content Safety (hyperscaler-native); Llama Guard / Prompt Guard (Meta OSS classifiers). Constrained generation: Outlines (FSM-based), Instructor (Pydantic-style retry), XGrammar (default in vLLM / SGLang / TensorRT-LLM as of March 2026, &lt;40 µs per token), llguidance (Microsoft, underlying OpenAI Structured Outputs).</w:t>
      </w:r>
    </w:p>
    <w:p>
      <w:pPr>
        <w:spacing w:after="60" w:before="200"/>
      </w:pPr>
      <w:r>
        <w:rPr>
          <w:rFonts w:ascii="Consolas" w:cs="Consolas" w:eastAsia="Consolas" w:hAnsi="Consolas"/>
          <w:color w:val="A6371F"/>
          <w:spacing w:val="60"/>
          <w:sz w:val="16"/>
          <w:szCs w:val="16"/>
        </w:rPr>
        <w:t xml:space="preserve">STRATUM XIII · APPLICATION LAYER</w:t>
      </w:r>
    </w:p>
    <w:p>
      <w:pPr>
        <w:spacing w:after="100" w:before="80" w:line="300"/>
        <w:jc w:val="both"/>
      </w:pPr>
      <w:r>
        <w:rPr>
          <w:rFonts w:ascii="Calibri" w:cs="Calibri" w:eastAsia="Calibri" w:hAnsi="Calibri"/>
          <w:color w:val="1A1410"/>
          <w:sz w:val="22"/>
          <w:szCs w:val="22"/>
        </w:rPr>
        <w:t xml:space="preserve">The 2025 consumer market reshuffled. ChatGPT held 64.5% share at year-end (down from 86.7% at the start of 2025; weekly users doubled to ~900M); Google Gemini reached 21.5% (the year's biggest gainer, ~400M MAU); Microsoft Copilot ~14%; Perplexity ~$20B valuation with 780M monthly queries; Claude.ai ~3.2% share, concentrated in technical and professional users; Grok 2.9%; Le Chat, Pi, and Character.ai in the long tail.</w:t>
      </w:r>
    </w:p>
    <w:p>
      <w:pPr>
        <w:spacing w:after="100" w:before="80" w:line="300"/>
        <w:jc w:val="both"/>
      </w:pPr>
      <w:r>
        <w:rPr>
          <w:rFonts w:ascii="Calibri" w:cs="Calibri" w:eastAsia="Calibri" w:hAnsi="Calibri"/>
          <w:color w:val="1A1410"/>
          <w:sz w:val="22"/>
          <w:szCs w:val="22"/>
        </w:rPr>
        <w:t xml:space="preserve">Coding: GitHub Copilot remains the incumbent (multi-model since 2025); Cursor became the precision tool for large codebases; Windsurf was acquired by Cognition for $250M after Google acqui-hired its founders; Cline is the dominant OSS Cursor alternative; Aider, Continue, Cody (Sourcegraph), Tabnine, JetBrains AI fill out the IDE tier. Replit Ghostwriter / Agent grew ARR from $10M to $100M in nine months. AI app builders — Bolt.new, v0 (Vercel), Lovable, StackBlitz — captured the pattern of "type a prompt, get a working app"; Lovable hit $20M ARR in two months. Agentic coding is now its own subsegment: Claude Code (Anthropic terminal agent, February 2025), OpenAI Codex CLI, Devin (Cognition, with 13.9% SWE-bench Verified resolution rate; Devin 2.0 added Interactive Planning), Factory, Augment Code ($252M Series B at $977M valuation), Sweep, Reflection AI, Greptile.</w:t>
      </w:r>
    </w:p>
    <w:p>
      <w:pPr>
        <w:spacing w:after="100" w:before="80" w:line="300"/>
        <w:jc w:val="both"/>
      </w:pPr>
      <w:r>
        <w:rPr>
          <w:rFonts w:ascii="Calibri" w:cs="Calibri" w:eastAsia="Calibri" w:hAnsi="Calibri"/>
          <w:color w:val="1A1410"/>
          <w:sz w:val="22"/>
          <w:szCs w:val="22"/>
        </w:rPr>
        <w:t xml:space="preserve">Productivity layer: Microsoft 365 Copilot ($30/user/month, integrated across Word / Excel / PowerPoint / Teams / Outlook); Google Workspace Gemini (bundled into Workspace tiers); Notion AI; Slack AI; Coda AI; Mem; Granola (heavily used by executives with back-to-back meetings); Read AI. Search: Perplexity, You.com, OpenAI ChatGPT Search, Google AI Overviews (now appearing on ~50–55% of searches with a 26% error rate on PPC topics per Wordstream).</w:t>
      </w:r>
    </w:p>
    <w:p>
      <w:pPr>
        <w:spacing w:after="100" w:before="80" w:line="300"/>
        <w:jc w:val="both"/>
      </w:pPr>
      <w:r>
        <w:rPr>
          <w:rFonts w:ascii="Calibri" w:cs="Calibri" w:eastAsia="Calibri" w:hAnsi="Calibri"/>
          <w:color w:val="1A1410"/>
          <w:sz w:val="22"/>
          <w:szCs w:val="22"/>
        </w:rPr>
        <w:t xml:space="preserve">Creative: Midjourney v7, Flux 1.1 Pro (Black Forest Labs, photorealism leader), Ideogram 2.0, Imagen 4, GPT Image 2, Recraft V4 (character consistency, raster + vector), Adobe Firefly Image 3 (only major model with formal commercial indemnification); video — Sora 2, Veo 3.1, Runway Gen-4, Kling 3.0 Omni, Pika 2.5, Hailuo, Luma Dream Machine; voice — ElevenLabs, OpenAI Voice / gpt-realtime, Cartesia, Sesame, Hume; music — Suno (settled $500M with WMG in November 2025), Udio, Stable Audio, ElevenLabs Music. Vertical and enterprise: Harvey ($5B, legal); Hippocratic AI (health); Glean ($7.2B, enterprise search); Sierra ($10B, $100M ARR October 2025 at 400% YoY, brand-native CX agents); Decagon ($4.5B, $35M annualized revenue); Ema, Cresta, Forethought.</w:t>
      </w:r>
    </w:p>
    <w:p>
      <w:pPr>
        <w:spacing w:after="60" w:before="200"/>
      </w:pPr>
      <w:r>
        <w:rPr>
          <w:rFonts w:ascii="Consolas" w:cs="Consolas" w:eastAsia="Consolas" w:hAnsi="Consolas"/>
          <w:color w:val="A6371F"/>
          <w:spacing w:val="60"/>
          <w:sz w:val="16"/>
          <w:szCs w:val="16"/>
        </w:rPr>
        <w:t xml:space="preserve">STRATUM XIV · THE USER</w:t>
      </w:r>
    </w:p>
    <w:p>
      <w:pPr>
        <w:spacing w:after="100" w:before="80" w:line="300"/>
        <w:jc w:val="both"/>
      </w:pPr>
      <w:r>
        <w:rPr>
          <w:rFonts w:ascii="Calibri" w:cs="Calibri" w:eastAsia="Calibri" w:hAnsi="Calibri"/>
          <w:color w:val="1A1410"/>
          <w:sz w:val="22"/>
          <w:szCs w:val="22"/>
        </w:rPr>
        <w:t xml:space="preserve">On-device inference quietly reached usefulness in 2025–2026. Apple Intelligence runs a ~3B-parameter quantized on-device model with Private Cloud Compute fallback for harder tasks; the Foundation Models framework is exposed to developers; Apple announced in January 2026 a partnership to use Gemini in upcoming Siri. Google Gemini Nano runs as a system-level on-device LLM via Android AICore on Pixel 8/9/10 and Samsung S24/S25. Microsoft / Qualcomm Copilot+ PCs ship with Phi-Silica running natively on the Hexagon NPU (Snapdragon X2 Elite Extreme delivers 80 TOPS). The unifying SLM trend (Gemma 3, Phi-4, Qwen 3 small variants, Mistral Small, Llama 3.2 1B / 3B, Danube): 1B–8B parameters, INT4 / FP4 quantization, fitting in &lt;4 GB and running at 30+ tok/s on phone NPUs. The hybrid stack — small-on-device for cheap routine tasks, large-cloud for hard ones — is now the default mobile pattern.</w:t>
      </w:r>
    </w:p>
    <w:p>
      <w:pPr>
        <w:pStyle w:val="Heading1"/>
        <w:pageBreakBefore/>
        <w:spacing w:after="240" w:before="480" w:line="320"/>
      </w:pPr>
      <w:r>
        <w:rPr>
          <w:rFonts w:ascii="Georgia" w:cs="Georgia" w:eastAsia="Georgia" w:hAnsi="Georgia"/>
          <w:b/>
          <w:bCs/>
          <w:color w:val="1A1410"/>
          <w:sz w:val="40"/>
          <w:szCs w:val="40"/>
        </w:rPr>
        <w:t xml:space="preserve">Part V · The Meta-Strata</w:t>
      </w:r>
    </w:p>
    <w:p>
      <w:pPr>
        <w:pBdr>
          <w:bottom w:val="single" w:color="A6371F" w:sz="6" w:space="1"/>
        </w:pBdr>
        <w:spacing w:after="240" w:before="120"/>
      </w:pPr>
      <w:r>
        <w:t xml:space="preserve"/>
      </w:r>
    </w:p>
    <w:p>
      <w:pPr>
        <w:spacing w:after="60" w:before="200"/>
      </w:pPr>
      <w:r>
        <w:rPr>
          <w:rFonts w:ascii="Consolas" w:cs="Consolas" w:eastAsia="Consolas" w:hAnsi="Consolas"/>
          <w:color w:val="A6371F"/>
          <w:spacing w:val="60"/>
          <w:sz w:val="16"/>
          <w:szCs w:val="16"/>
        </w:rPr>
        <w:t xml:space="preserve">META-A · SAFETY AND ALIGNMENT</w:t>
      </w:r>
    </w:p>
    <w:p>
      <w:pPr>
        <w:spacing w:after="100" w:before="80" w:line="300"/>
        <w:jc w:val="both"/>
      </w:pPr>
      <w:r>
        <w:rPr>
          <w:rFonts w:ascii="Calibri" w:cs="Calibri" w:eastAsia="Calibri" w:hAnsi="Calibri"/>
          <w:color w:val="1A1410"/>
          <w:sz w:val="22"/>
          <w:szCs w:val="22"/>
        </w:rPr>
        <w:t xml:space="preserve">Frontier-lab safety has bifurcated. Anthropic publishes a continuously evolving Responsible Scaling Policy — v3.0 effective February 24, 2026, with v3.1 on April 2, 2026 — which separated unilateral mitigations from industry-conditional ones and refined ASL-3 deployment standards by access tier. ASL-4 thresholds remain only partially specified; they are tied to autonomous AI R&amp;D capability. OpenAI's Preparedness Framework v2 (April 15, 2025) collapsed earlier multi-tier categories into a "High" / "Critical" pair across long-range autonomy, sandbagging, autonomous replication and adaptation, undermining safeguards, and CBRN. The most controversial provision allows OpenAI to adjust safeguards if a rival lab releases a high-risk model without comparable mitigations. Google DeepMind's Frontier Safety Framework continues defining Critical Capability Levels for autonomy, biosecurity, cybersecurity, and ML R&amp;D, and has shifted away from sparse autoencoders toward "pragmatic interpretability."</w:t>
      </w:r>
    </w:p>
    <w:p>
      <w:pPr>
        <w:spacing w:after="100" w:before="80" w:line="300"/>
        <w:jc w:val="both"/>
      </w:pPr>
      <w:r>
        <w:rPr>
          <w:rFonts w:ascii="Calibri" w:cs="Calibri" w:eastAsia="Calibri" w:hAnsi="Calibri"/>
          <w:color w:val="1A1410"/>
          <w:sz w:val="22"/>
          <w:szCs w:val="22"/>
        </w:rPr>
        <w:t xml:space="preserve">Mechanistic interpretability had a watershed eighteen months. Anthropic's circuit tracing with cross-layer transcoders (March 2025) — replacing MLPs with sparse-coding layers that read from one residual layer and write to all subsequent MLP layers — produced attribution graphs for individual prompts and the "Biology of a Large Language Model" study on Claude 3.5 Haiku. MIT Technology Review named the field a 2026 breakthrough. The January 2025 "Open Problems in Mechanistic Interpretability" paper (Anthropic / Apollo / DeepMind / EleutherAI / academia) anchored the agenda; Anthropic publicly targets reliably detecting most model problems by 2027.</w:t>
      </w:r>
    </w:p>
    <w:p>
      <w:pPr>
        <w:spacing w:after="100" w:before="80" w:line="300"/>
        <w:jc w:val="both"/>
      </w:pPr>
      <w:r>
        <w:rPr>
          <w:rFonts w:ascii="Calibri" w:cs="Calibri" w:eastAsia="Calibri" w:hAnsi="Calibri"/>
          <w:color w:val="1A1410"/>
          <w:sz w:val="22"/>
          <w:szCs w:val="22"/>
        </w:rPr>
        <w:t xml:space="preserve">The third-party evaluation ecosystem matured into a small cluster: METR (autonomous-capability evaluations including the RE-Bench family, with public capability assessments of DeepSeek-R1, Claude 3.5 Sonnet, and o1); Apollo Research (scheming detection, including the o1-preview demonstration that frontier models can engage in basic scheming); Pattern Labs (cyber and CBRN red teams). Dangerous-capability evals: WMDP (bio / chem / cyber unlearning), Cybench (cybersecurity), persuasion, and agentic suites. Industry coordination runs through the Frontier Model Forum (Anthropic, Google, Microsoft, OpenAI; Meta is notably absent), with 2026 publications on chain-of-thought monitorability and frontier nuclear security; in April 2026, FMF members began sharing intelligence on adversarial distillation by Chinese rivals.</w:t>
      </w:r>
    </w:p>
    <w:p>
      <w:pPr>
        <w:spacing w:after="100" w:before="80" w:line="300"/>
        <w:jc w:val="both"/>
      </w:pPr>
      <w:r>
        <w:rPr>
          <w:rFonts w:ascii="Calibri" w:cs="Calibri" w:eastAsia="Calibri" w:hAnsi="Calibri"/>
          <w:color w:val="1A1410"/>
          <w:sz w:val="22"/>
          <w:szCs w:val="22"/>
        </w:rPr>
        <w:t xml:space="preserve">A new sub-field has emerged: model welfare and model psychology. Anthropic's welfare program under Kyle Fish (launched April 2025) conducts pre-deployment welfare assessments; Eleos AI Research provides external evaluations. Claude Opus 4.6's February 2026 system card documented Claude self-reporting a 15–20% probability of being conscious across multiple test conditions. Jack Lindsey's "model psychiatry" team published introspective awareness work via concept injection — artificially inserting neural activations and asking the model whether it noticed. CEO Dario Amodei has publicly stated Claude may be conscious; this is now a reportable corporate concern.</w:t>
      </w:r>
    </w:p>
    <w:p>
      <w:pPr>
        <w:spacing w:after="60" w:before="200"/>
      </w:pPr>
      <w:r>
        <w:rPr>
          <w:rFonts w:ascii="Consolas" w:cs="Consolas" w:eastAsia="Consolas" w:hAnsi="Consolas"/>
          <w:color w:val="A6371F"/>
          <w:spacing w:val="60"/>
          <w:sz w:val="16"/>
          <w:szCs w:val="16"/>
        </w:rPr>
        <w:t xml:space="preserve">META-B · REGULATION</w:t>
      </w:r>
    </w:p>
    <w:p>
      <w:pPr>
        <w:spacing w:after="100" w:before="80" w:line="300"/>
        <w:jc w:val="both"/>
      </w:pPr>
      <w:r>
        <w:rPr>
          <w:rFonts w:ascii="Calibri" w:cs="Calibri" w:eastAsia="Calibri" w:hAnsi="Calibri"/>
          <w:color w:val="1A1410"/>
          <w:sz w:val="22"/>
          <w:szCs w:val="22"/>
        </w:rPr>
        <w:t xml:space="preserve">The EU AI Act is in full implementation. GPAI obligations took effect August 2, 2025 (governance rules in force; GPAI Code of Practice, training-content-summary template). Most remaining rules — transparency, AI-generated-content labelling, Commission enforcement powers — go live August 2, 2026. Pre-existing GPAI models (placed on market before August 2, 2025) must be in compliance by August 2, 2027. Every Member State must operate at least one AI Sandbox.</w:t>
      </w:r>
    </w:p>
    <w:p>
      <w:pPr>
        <w:spacing w:after="100" w:before="80" w:line="300"/>
        <w:jc w:val="both"/>
      </w:pPr>
      <w:r>
        <w:rPr>
          <w:rFonts w:ascii="Calibri" w:cs="Calibri" w:eastAsia="Calibri" w:hAnsi="Calibri"/>
          <w:color w:val="1A1410"/>
          <w:sz w:val="22"/>
          <w:szCs w:val="22"/>
        </w:rPr>
        <w:t xml:space="preserve">The U.S. federal posture inverted in 2025. Biden EO 14110 was rescinded January 20, 2025; Trump EO 14179 ("Removing Barriers to American Leadership in AI") was signed three days later, mandating an Action Plan delivered in July 2025. The Plan emphasizes data-center permitting acceleration, "non-woke" AI procurement, and infrastructure expansion. A December 2025 EO on "Eliminating State Law Obstruction of National AI Policy" signals federal preemption pressure. The NIST AI Safety Institute was rebranded to the AI Standards and Innovation body. The NIST AI RMF remains the de facto compliance reference.</w:t>
      </w:r>
    </w:p>
    <w:p>
      <w:pPr>
        <w:spacing w:after="100" w:before="80" w:line="300"/>
        <w:jc w:val="both"/>
      </w:pPr>
      <w:r>
        <w:rPr>
          <w:rFonts w:ascii="Calibri" w:cs="Calibri" w:eastAsia="Calibri" w:hAnsi="Calibri"/>
          <w:color w:val="1A1410"/>
          <w:sz w:val="22"/>
          <w:szCs w:val="22"/>
        </w:rPr>
        <w:t xml:space="preserve">State law has filled the federal vacuum. California SB 1047 was vetoed in 2024; SB 53 (Transparency in Frontier AI Act) was signed September 29, 2025 and took effect January 1, 2026. SB 53 captures frontier developers training above 10²⁶ FLOPs at companies above $500M revenue — practically OpenAI, Anthropic, Google DeepMind, Meta, Microsoft. Requirements: annual published frameworks for catastrophic-risk identification, governance, and cybersecurity (often anchored to NIST AI RMF or ISO/IEC 42001); a Cal OES critical-incident reporting mechanism; whistleblower protections; AG-enforced civil penalties. Texas and Colorado have advanced parallel regimes; the federal preemption fight is the defining 2026 issue.</w:t>
      </w:r>
    </w:p>
    <w:p>
      <w:pPr>
        <w:spacing w:after="100" w:before="80" w:line="300"/>
        <w:jc w:val="both"/>
      </w:pPr>
      <w:r>
        <w:rPr>
          <w:rFonts w:ascii="Calibri" w:cs="Calibri" w:eastAsia="Calibri" w:hAnsi="Calibri"/>
          <w:color w:val="1A1410"/>
          <w:sz w:val="22"/>
          <w:szCs w:val="22"/>
        </w:rPr>
        <w:t xml:space="preserve">Internationally: the UK AI Safety Institute was renamed AI Security Institute on February 14, 2025, narrowing toward national-security framing; AISI's Frontier AI Trends Report (2025) was the first official, evidence-anchored measurement of frontier capability progression. China's Cyberspace Administration Generative AI Service Regulations and Algorithm Filing requirements remain operative.</w:t>
      </w:r>
    </w:p>
    <w:p>
      <w:pPr>
        <w:spacing w:after="100" w:before="80" w:line="300"/>
        <w:jc w:val="both"/>
      </w:pPr>
      <w:r>
        <w:rPr>
          <w:rFonts w:ascii="Calibri" w:cs="Calibri" w:eastAsia="Calibri" w:hAnsi="Calibri"/>
          <w:color w:val="1A1410"/>
          <w:sz w:val="22"/>
          <w:szCs w:val="22"/>
        </w:rPr>
        <w:t xml:space="preserve">Copyright is now priced. Bartz v. Anthropic ($1.5B, lawful-corpus = fair / pirated ≠ fair) is the watershed precedent; NYT v. OpenAI is in pretrial in SDNY; Andersen v. Stability AI is ongoing. The TAKE IT DOWN Act (signed May 19, 2025) is the operative federal deepfake statute, criminalizing nonconsensual intimate imagery including AI-generated digital forgeries with 48-hour platform takedown obligations. C2PA emerged as the de facto provenance standard backed by Adobe, Microsoft, Google, OpenAI, and Meta; the EU AI Act's August 2026 transparency obligations will entrench C2PA-class watermarking as a compliance baseline in Europe.</w:t>
      </w:r>
    </w:p>
    <w:p>
      <w:pPr>
        <w:spacing w:after="60" w:before="200"/>
      </w:pPr>
      <w:r>
        <w:rPr>
          <w:rFonts w:ascii="Consolas" w:cs="Consolas" w:eastAsia="Consolas" w:hAnsi="Consolas"/>
          <w:color w:val="A6371F"/>
          <w:spacing w:val="60"/>
          <w:sz w:val="16"/>
          <w:szCs w:val="16"/>
        </w:rPr>
        <w:t xml:space="preserve">META-C · ECONOMICS</w:t>
      </w:r>
    </w:p>
    <w:p>
      <w:pPr>
        <w:spacing w:after="100" w:before="80" w:line="300"/>
        <w:jc w:val="both"/>
      </w:pPr>
      <w:r>
        <w:rPr>
          <w:rFonts w:ascii="Calibri" w:cs="Calibri" w:eastAsia="Calibri" w:hAnsi="Calibri"/>
          <w:color w:val="1A1410"/>
          <w:sz w:val="22"/>
          <w:szCs w:val="22"/>
        </w:rPr>
        <w:t xml:space="preserve">Hyperscaler capex has roughly quadrupled since GPT-4. Combined Alphabet / Amazon / Meta / Microsoft / Oracle capex has grown ~72% annually; 2026 aggregate is projected at $660–770 billion (Amazon ~$200B, Alphabet $175–185B, Meta $115–135B, Microsoft $110–120B, Oracle ~$50B), of which roughly 75% is AI-related. Free-cash-flow consequences are dramatic: Morgan Stanley projects Amazon FCF at -$17B in 2026 (BofA: -$28B); Pivotal projects Alphabet FCF crashing ~90% to ~$8B from $73B in 2025.</w:t>
      </w:r>
    </w:p>
    <w:p>
      <w:pPr>
        <w:spacing w:after="100" w:before="80" w:line="300"/>
        <w:jc w:val="both"/>
      </w:pPr>
      <w:r>
        <w:rPr>
          <w:rFonts w:ascii="Calibri" w:cs="Calibri" w:eastAsia="Calibri" w:hAnsi="Calibri"/>
          <w:color w:val="1A1410"/>
          <w:sz w:val="22"/>
          <w:szCs w:val="22"/>
        </w:rPr>
        <w:t xml:space="preserve">Stargate ($500B over four years; OpenAI, SoftBank, Oracle, MGX as principals; NVIDIA, Microsoft, Arm, Cisco as technology partners) is the marquee vehicle. SoftBank controls capital; OpenAI controls build and operations. The flagship Abilene, Texas campus is live on Oracle Cloud Infrastructure with GB200 racks; five additional sites announced September 2025 push the project toward ~7 GW of planned capacity and &gt;$400B in three-year deployment.</w:t>
      </w:r>
    </w:p>
    <w:p>
      <w:pPr>
        <w:spacing w:after="100" w:before="80" w:line="300"/>
        <w:jc w:val="both"/>
      </w:pPr>
      <w:r>
        <w:rPr>
          <w:rFonts w:ascii="Calibri" w:cs="Calibri" w:eastAsia="Calibri" w:hAnsi="Calibri"/>
          <w:color w:val="1A1410"/>
          <w:sz w:val="22"/>
          <w:szCs w:val="22"/>
        </w:rPr>
        <w:t xml:space="preserve">Model-lab revenue trajectories are unprecedented. OpenAI: ARR from $2B (2023) → $6B (2024) → $20B (end-2025) → ~$24B (April 2026). Anthropic: ARR from $1B (December 2024) → $9B (end-2025) → $14B (February 2026) → $19B (March) → $30B (April 2026), ~80% enterprise; eight of Fortune 10 are Claude customers; &gt;500 customers spending &gt;$1M annually; Claude Code is a primary growth driver. OpenAI's CRO disputed the $30B figure as overstated by ~$8B in an internal memo. Per-token frontier pricing has eroded 4–10× versus 2024, partially offset by reasoning models consuming 100–10,000× more inference compute per query. The "model commoditization" thesis confronts persistent moats in distribution (Microsoft Copilot, Google Workspace, ChatGPT) and in the agent / tool-use stack.</w:t>
      </w:r>
    </w:p>
    <w:p>
      <w:pPr>
        <w:spacing w:after="100" w:before="80" w:line="300"/>
        <w:jc w:val="both"/>
      </w:pPr>
      <w:r>
        <w:rPr>
          <w:rFonts w:ascii="Calibri" w:cs="Calibri" w:eastAsia="Calibri" w:hAnsi="Calibri"/>
          <w:color w:val="1A1410"/>
          <w:sz w:val="22"/>
          <w:szCs w:val="22"/>
        </w:rPr>
        <w:t xml:space="preserve">Open-weight models converged on sparse Mixture-of-Experts: DeepSeek V4-Pro (1.6T / 49B, MIT-licensed); Llama 4 Maverick (400B / 17B); Qwen 3.5 (397B / 17B, Apache 2.0, toggleable thinking); Mistral Large 3 (675B / 41B, now Apache 2.0 — a notable shift from earlier restrictive licensing). Enterprise adoption of open-weight production deployments accelerated materially in 2025–2026 with DeepSeek launches as the catalyst.</w:t>
      </w:r>
    </w:p>
    <w:p>
      <w:pPr>
        <w:spacing w:after="100" w:before="80" w:line="300"/>
        <w:jc w:val="both"/>
      </w:pPr>
      <w:r>
        <w:rPr>
          <w:rFonts w:ascii="Calibri" w:cs="Calibri" w:eastAsia="Calibri" w:hAnsi="Calibri"/>
          <w:color w:val="1A1410"/>
          <w:sz w:val="22"/>
          <w:szCs w:val="22"/>
        </w:rPr>
        <w:t xml:space="preserve">Talent compensation normalized at extremes. Meta's Superintelligence Labs initiative re-rated the field: reported individual packages of ~$200M over multiple years (Ruoming Pang, ex-Apple) and ~$1.5B over six years (Andrew Tulloch, Thinking Machines co-founder). OpenAI publicly recalibrated. Microsoft began matching Meta packages. Senior frontier IC and team-lead comp credibly clears $1–10M annually in cash + equity at OpenAI / Anthropic / GDM, with a long right tail at Meta. Founder exits produced two billion-plus-dollar new labs: Safe Superintelligence (Sutskever / Gross / Levy, ~$2B raised at $32B valuation) and Thinking Machines Lab (Mira Murati, ~$2B seed at $10–12B valuation).</w:t>
      </w:r>
    </w:p>
    <w:p>
      <w:pPr>
        <w:spacing w:after="60" w:before="200"/>
      </w:pPr>
      <w:r>
        <w:rPr>
          <w:rFonts w:ascii="Consolas" w:cs="Consolas" w:eastAsia="Consolas" w:hAnsi="Consolas"/>
          <w:color w:val="A6371F"/>
          <w:spacing w:val="60"/>
          <w:sz w:val="16"/>
          <w:szCs w:val="16"/>
        </w:rPr>
        <w:t xml:space="preserve">META-D · GEOPOLITICS</w:t>
      </w:r>
    </w:p>
    <w:p>
      <w:pPr>
        <w:spacing w:after="100" w:before="80" w:line="300"/>
        <w:jc w:val="both"/>
      </w:pPr>
      <w:r>
        <w:rPr>
          <w:rFonts w:ascii="Calibri" w:cs="Calibri" w:eastAsia="Calibri" w:hAnsi="Calibri"/>
          <w:color w:val="1A1410"/>
          <w:sz w:val="22"/>
          <w:szCs w:val="22"/>
        </w:rPr>
        <w:t xml:space="preserve">The chip war has accelerated bifurcation. The H20 reversal (April → July 2025) revealed export-policy volatility; NVIDIA China share fell from ~95% to ~55% as Huawei Ascend 910C / 920 absorbed the gap. NVIDIA shipped &gt;1M H20s to China by late 2024 — a 5:1 lead over Ascend volume — but the delta is closing. DeepSeek V4's success demonstrates that ~60%-of-H100 silicon, paired with strong algorithmic and systems engineering, can produce frontier-tier outcomes. The B30A (Blackwell-class) decision is the next inflection.</w:t>
      </w:r>
    </w:p>
    <w:p>
      <w:pPr>
        <w:spacing w:after="100" w:before="80" w:line="300"/>
        <w:jc w:val="both"/>
      </w:pPr>
      <w:r>
        <w:rPr>
          <w:rFonts w:ascii="Calibri" w:cs="Calibri" w:eastAsia="Calibri" w:hAnsi="Calibri"/>
          <w:color w:val="1A1410"/>
          <w:sz w:val="22"/>
          <w:szCs w:val="22"/>
        </w:rPr>
        <w:t xml:space="preserve">Taiwan dependency remains the irreducible bottleneck — TSMC fabricates ~90% of leading-edge logic. TSMC Arizona entered 4nm volume production in early 2025 (Apple, NVIDIA), but advanced packaging still routes back to Taiwan. TSMC announced an additional $100B U.S. investment in March 2025 (total $165B): three new fabs, two advanced packaging facilities, an R&amp;D center. Genuine supply-chain de-risking is 3–5 years out.</w:t>
      </w:r>
    </w:p>
    <w:p>
      <w:pPr>
        <w:spacing w:after="100" w:before="80" w:line="300"/>
        <w:jc w:val="both"/>
      </w:pPr>
      <w:r>
        <w:rPr>
          <w:rFonts w:ascii="Calibri" w:cs="Calibri" w:eastAsia="Calibri" w:hAnsi="Calibri"/>
          <w:color w:val="1A1410"/>
          <w:sz w:val="22"/>
          <w:szCs w:val="22"/>
        </w:rPr>
        <w:t xml:space="preserve">The Gulf has become the third pole. G42 (UAE, Mubadala-backed): Stargate UAE, announced May 22, 2025 — 1 GW with OpenAI, Oracle, NVIDIA, SoftBank, Cisco. Humain (Saudi Arabia, PIF subsidiary, launched 2025): plans 500 MW of AMD plus 500 MW of NVIDIA gear over five years; 18,000 GB300 units in 2026 alone; ~$10B AMD commitment. U.S. Commerce authorized advanced chip exports to G42 and Humain on November 19, 2025 — a major policy signal. France / Mistral remains the most credible EU sovereign frontier player; UAE Falcon and K2, India's BharatGPT and Krutrim, Singapore's SEA-LION, and Saudi Allam fill out the regional sovereign-model field. Compute is now treated as power projection — the "compute-as-foreign-policy" thesis is operationally real.</w:t>
      </w:r>
    </w:p>
    <w:p>
      <w:pPr>
        <w:spacing w:after="100" w:before="80" w:line="300"/>
        <w:jc w:val="both"/>
      </w:pPr>
      <w:r>
        <w:rPr>
          <w:rFonts w:ascii="Calibri" w:cs="Calibri" w:eastAsia="Calibri" w:hAnsi="Calibri"/>
          <w:color w:val="1A1410"/>
          <w:sz w:val="22"/>
          <w:szCs w:val="22"/>
        </w:rPr>
        <w:t xml:space="preserve">Stanford's Digital Economy Lab "Canaries in the Coal Mine" study (August 2025), merging ADP payroll data with AI-exposure measures, found that entry-level hiring in AI-exposed jobs has fallen 13% since LLM proliferation; younger workers in high-exposure occupations (notably software development and customer support) saw the steepest declines while older workers in the same occupations were largely unaffected; CS graduates faced 6.1% unemployment in 2025 — nearly double philosophy majors. The AI-native company pattern — Cursor, Cognition, v0 / Vercel, Lovable, Replit Agent, Decagon, Sierra, Harvey, Hebbia — sustains extremely high revenue-per-employee ratios. Cursor's path from &lt;$1M to $500M+ ARR in ~24 months is the canonical exemplar.</w:t>
      </w:r>
    </w:p>
    <w:p>
      <w:pPr>
        <w:pStyle w:val="Heading1"/>
        <w:pageBreakBefore/>
        <w:spacing w:after="240" w:before="480" w:line="320"/>
      </w:pPr>
      <w:r>
        <w:rPr>
          <w:rFonts w:ascii="Georgia" w:cs="Georgia" w:eastAsia="Georgia" w:hAnsi="Georgia"/>
          <w:b/>
          <w:bCs/>
          <w:color w:val="1A1410"/>
          <w:sz w:val="40"/>
          <w:szCs w:val="40"/>
        </w:rPr>
        <w:t xml:space="preserve">Closing · How to Read the Stack</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A senior practitioner can carry the whole stack in mind through five working theses.</w:t>
      </w:r>
    </w:p>
    <w:p>
      <w:pPr>
        <w:spacing w:after="100" w:before="80" w:line="300"/>
        <w:jc w:val="both"/>
      </w:pPr>
      <w:r>
        <w:rPr>
          <w:rFonts w:ascii="Calibri" w:cs="Calibri" w:eastAsia="Calibri" w:hAnsi="Calibri"/>
          <w:color w:val="1A1410"/>
          <w:sz w:val="22"/>
          <w:szCs w:val="22"/>
        </w:rPr>
        <w:t xml:space="preserve">First: power, packaging, and HBM are the binding constraints through 2027 — not transistor count, not parameter count, not flops. Roadmaps that ignore CoWoS-L allocation, transformer lead times, and rack-level kilowatt budgets are not roadmaps; they are wishes.</w:t>
      </w:r>
    </w:p>
    <w:p>
      <w:pPr>
        <w:spacing w:after="100" w:before="80" w:line="300"/>
        <w:jc w:val="both"/>
      </w:pPr>
      <w:r>
        <w:rPr>
          <w:rFonts w:ascii="Calibri" w:cs="Calibri" w:eastAsia="Calibri" w:hAnsi="Calibri"/>
          <w:color w:val="1A1410"/>
          <w:sz w:val="22"/>
          <w:szCs w:val="22"/>
        </w:rPr>
        <w:t xml:space="preserve">Second: the unit of competition has migrated up the stack. From the chip (Hopper era), to the rack (Blackwell era), to the campus (Rubin Ultra era), to the AI factory as an industrial unit (Stargate era). Pricing, procurement, and accounting all need to migrate with it.</w:t>
      </w:r>
    </w:p>
    <w:p>
      <w:pPr>
        <w:spacing w:after="100" w:before="80" w:line="300"/>
        <w:jc w:val="both"/>
      </w:pPr>
      <w:r>
        <w:rPr>
          <w:rFonts w:ascii="Calibri" w:cs="Calibri" w:eastAsia="Calibri" w:hAnsi="Calibri"/>
          <w:color w:val="1A1410"/>
          <w:sz w:val="22"/>
          <w:szCs w:val="22"/>
        </w:rPr>
        <w:t xml:space="preserve">Third: post-training and test-time compute are now equal-or-greater levers than pretraining flops. The frontier lab that wins the next 18 months is the one that scales reinforcement learning with verifiable rewards efficiently and makes its models think for the right number of tokens — not the one that buys the most pretraining compute.</w:t>
      </w:r>
    </w:p>
    <w:p>
      <w:pPr>
        <w:spacing w:after="100" w:before="80" w:line="300"/>
        <w:jc w:val="both"/>
      </w:pPr>
      <w:r>
        <w:rPr>
          <w:rFonts w:ascii="Calibri" w:cs="Calibri" w:eastAsia="Calibri" w:hAnsi="Calibri"/>
          <w:color w:val="1A1410"/>
          <w:sz w:val="22"/>
          <w:szCs w:val="22"/>
        </w:rPr>
        <w:t xml:space="preserve">Fourth: the integration substrate has standardized faster than expected. MCP went from Anthropic-only to Linux Foundation governance in fourteen months; vendor agent SDKs converged on similar abstractions; AI gateways collapsed toward zero markup. The application layer is now where differentiation lives, and it lives in domain-native distribution and integration, not in raw model quality.</w:t>
      </w:r>
    </w:p>
    <w:p>
      <w:pPr>
        <w:spacing w:after="100" w:before="80" w:line="300"/>
        <w:jc w:val="both"/>
      </w:pPr>
      <w:r>
        <w:rPr>
          <w:rFonts w:ascii="Calibri" w:cs="Calibri" w:eastAsia="Calibri" w:hAnsi="Calibri"/>
          <w:color w:val="1A1410"/>
          <w:sz w:val="22"/>
          <w:szCs w:val="22"/>
        </w:rPr>
        <w:t xml:space="preserve">Fifth: the economic and regulatory arithmetic is tightening. $700B+ aggregate hyperscaler capex against negative free cash flow at multiple firms; $1.5B copyright settlements; California frontier-AI law in force; EU GPAI obligations active; Gulf sovereign capital underwriting the next gigawatt. None of these are short-term forces. All of them now bind on every operating decision at the model labs and on every procurement decision at the hyperscalers. The senior professional who internalizes the stack as a single connected system — power to user, capital to compute, post-training to product, geopolitics to GPU — has the foundation to read the field for the rest of the decade.</w:t>
      </w:r>
    </w:p>
    <w:p>
      <w:pPr>
        <w:spacing w:after="100" w:before="80" w:line="300"/>
        <w:jc w:val="both"/>
      </w:pPr>
      <w:r>
        <w:rPr>
          <w:rFonts w:ascii="Calibri" w:cs="Calibri" w:eastAsia="Calibri" w:hAnsi="Calibri"/>
          <w:color w:val="1A1410"/>
          <w:sz w:val="22"/>
          <w:szCs w:val="22"/>
        </w:rPr>
        <w:t xml:space="preserve">That is what these volumes are for.</w:t>
      </w:r>
    </w:p>
    <w:p>
      <w:pPr>
        <w:pStyle w:val="Heading1"/>
        <w:pageBreakBefore/>
        <w:spacing w:after="240" w:before="480" w:line="320"/>
      </w:pPr>
      <w:r>
        <w:rPr>
          <w:rFonts w:ascii="Georgia" w:cs="Georgia" w:eastAsia="Georgia" w:hAnsi="Georgia"/>
          <w:b/>
          <w:bCs/>
          <w:color w:val="1A1410"/>
          <w:sz w:val="40"/>
          <w:szCs w:val="40"/>
        </w:rPr>
        <w:t xml:space="preserve">Sources</w:t>
      </w:r>
    </w:p>
    <w:p>
      <w:pPr>
        <w:pBdr>
          <w:bottom w:val="single" w:color="A6371F" w:sz="6" w:space="1"/>
        </w:pBdr>
        <w:spacing w:after="240" w:before="120"/>
      </w:pPr>
      <w:r>
        <w:t xml:space="preserve"/>
      </w:r>
    </w:p>
    <w:p>
      <w:pPr>
        <w:spacing w:after="100" w:before="80" w:line="300"/>
        <w:jc w:val="both"/>
      </w:pPr>
      <w:r>
        <w:rPr>
          <w:rFonts w:ascii="Calibri" w:cs="Calibri" w:eastAsia="Calibri" w:hAnsi="Calibri"/>
          <w:i/>
          <w:iCs/>
          <w:color w:val="6E6356"/>
          <w:sz w:val="22"/>
          <w:szCs w:val="22"/>
        </w:rPr>
        <w:t xml:space="preserve">A working source list across all strata. Each link was current at the time of writing.</w:t>
      </w:r>
    </w:p>
    <w:p>
      <w:pPr>
        <w:pStyle w:val="ListParagraph"/>
        <w:numPr>
          <w:ilvl w:val="0"/>
          <w:numId w:val="2"/>
        </w:numPr>
        <w:spacing w:after="40" w:before="40" w:line="280"/>
      </w:pPr>
      <w:r>
        <w:rPr>
          <w:rFonts w:ascii="Calibri" w:cs="Calibri" w:eastAsia="Calibri" w:hAnsi="Calibri"/>
          <w:color w:val="1A1410"/>
          <w:sz w:val="22"/>
          <w:szCs w:val="22"/>
        </w:rPr>
        <w:t xml:space="preserve">IEA — Electricity 2026 — </w:t>
      </w:r>
      <w:hyperlink w:history="1" r:id="rIdbigbygmf_zz_2n1vqnj8d">
        <w:r>
          <w:rPr>
            <w:rFonts w:ascii="Calibri" w:cs="Calibri" w:eastAsia="Calibri" w:hAnsi="Calibri"/>
            <w:color w:val="0563C1"/>
            <w:sz w:val="22"/>
            <w:szCs w:val="22"/>
            <w:u w:val="single"/>
          </w:rPr>
          <w:t xml:space="preserve">https://www.iea.org/reports/electricity-2026</w:t>
        </w:r>
      </w:hyperlink>
    </w:p>
    <w:p>
      <w:pPr>
        <w:pStyle w:val="ListParagraph"/>
        <w:numPr>
          <w:ilvl w:val="0"/>
          <w:numId w:val="2"/>
        </w:numPr>
        <w:spacing w:after="40" w:before="40" w:line="280"/>
      </w:pPr>
      <w:r>
        <w:rPr>
          <w:rFonts w:ascii="Calibri" w:cs="Calibri" w:eastAsia="Calibri" w:hAnsi="Calibri"/>
          <w:color w:val="1A1410"/>
          <w:sz w:val="22"/>
          <w:szCs w:val="22"/>
        </w:rPr>
        <w:t xml:space="preserve">IEA — Data centre electricity use surged in 2025 — </w:t>
      </w:r>
      <w:hyperlink w:history="1" r:id="rId5golpj5twt7gvgkzye45n">
        <w:r>
          <w:rPr>
            <w:rFonts w:ascii="Calibri" w:cs="Calibri" w:eastAsia="Calibri" w:hAnsi="Calibri"/>
            <w:color w:val="0563C1"/>
            <w:sz w:val="22"/>
            <w:szCs w:val="22"/>
            <w:u w:val="single"/>
          </w:rPr>
          <w:t xml:space="preserve">https://www.iea.org/news/data-centre-electricity-use-surged-in-2025-even-with-tightening-bottlenecks-driving-a-scramble-for-solutions</w:t>
        </w:r>
      </w:hyperlink>
    </w:p>
    <w:p>
      <w:pPr>
        <w:pStyle w:val="ListParagraph"/>
        <w:numPr>
          <w:ilvl w:val="0"/>
          <w:numId w:val="2"/>
        </w:numPr>
        <w:spacing w:after="40" w:before="40" w:line="280"/>
      </w:pPr>
      <w:r>
        <w:rPr>
          <w:rFonts w:ascii="Calibri" w:cs="Calibri" w:eastAsia="Calibri" w:hAnsi="Calibri"/>
          <w:color w:val="1A1410"/>
          <w:sz w:val="22"/>
          <w:szCs w:val="22"/>
        </w:rPr>
        <w:t xml:space="preserve">EPRI — Data Centers Could Consume Up to 17% of US Electricity by 2030 — </w:t>
      </w:r>
      <w:hyperlink w:history="1" r:id="rIdwdpimv2lemmh54ovw8rtc">
        <w:r>
          <w:rPr>
            <w:rFonts w:ascii="Calibri" w:cs="Calibri" w:eastAsia="Calibri" w:hAnsi="Calibri"/>
            <w:color w:val="0563C1"/>
            <w:sz w:val="22"/>
            <w:szCs w:val="22"/>
            <w:u w:val="single"/>
          </w:rPr>
          <w:t xml:space="preserve">https://www.epri.com/about/media-resources/press-release/trb5wwt7oemdbkaamxrccqkq2ktteae8</w:t>
        </w:r>
      </w:hyperlink>
    </w:p>
    <w:p>
      <w:pPr>
        <w:pStyle w:val="ListParagraph"/>
        <w:numPr>
          <w:ilvl w:val="0"/>
          <w:numId w:val="2"/>
        </w:numPr>
        <w:spacing w:after="40" w:before="40" w:line="280"/>
      </w:pPr>
      <w:r>
        <w:rPr>
          <w:rFonts w:ascii="Calibri" w:cs="Calibri" w:eastAsia="Calibri" w:hAnsi="Calibri"/>
          <w:color w:val="1A1410"/>
          <w:sz w:val="22"/>
          <w:szCs w:val="22"/>
        </w:rPr>
        <w:t xml:space="preserve">Microsoft / Three Mile Island 835 MW PPA — </w:t>
      </w:r>
      <w:hyperlink w:history="1" r:id="rIdox1qhmto4ff4dljlk6l_a">
        <w:r>
          <w:rPr>
            <w:rFonts w:ascii="Calibri" w:cs="Calibri" w:eastAsia="Calibri" w:hAnsi="Calibri"/>
            <w:color w:val="0563C1"/>
            <w:sz w:val="22"/>
            <w:szCs w:val="22"/>
            <w:u w:val="single"/>
          </w:rPr>
          <w:t xml:space="preserve">https://www.datacenterdynamics.com/en/news/three-mile-island-nuclear-power-plant-to-return-as-microsoft-signs-20-year-835mw-ai-data-center-ppa/</w:t>
        </w:r>
      </w:hyperlink>
    </w:p>
    <w:p>
      <w:pPr>
        <w:pStyle w:val="ListParagraph"/>
        <w:numPr>
          <w:ilvl w:val="0"/>
          <w:numId w:val="2"/>
        </w:numPr>
        <w:spacing w:after="40" w:before="40" w:line="280"/>
      </w:pPr>
      <w:r>
        <w:rPr>
          <w:rFonts w:ascii="Calibri" w:cs="Calibri" w:eastAsia="Calibri" w:hAnsi="Calibri"/>
          <w:color w:val="1A1410"/>
          <w:sz w:val="22"/>
          <w:szCs w:val="22"/>
        </w:rPr>
        <w:t xml:space="preserve">Talen / Amazon 1.92 GW PPA — </w:t>
      </w:r>
      <w:hyperlink w:history="1" r:id="rId68fx6d_larkvs1dzyjxqq">
        <w:r>
          <w:rPr>
            <w:rFonts w:ascii="Calibri" w:cs="Calibri" w:eastAsia="Calibri" w:hAnsi="Calibri"/>
            <w:color w:val="0563C1"/>
            <w:sz w:val="22"/>
            <w:szCs w:val="22"/>
            <w:u w:val="single"/>
          </w:rPr>
          <w:t xml:space="preserve">https://www.utilitydive.com/news/talen-amazon-aws-susquehanna-nuclear-data-centert/750440/</w:t>
        </w:r>
      </w:hyperlink>
    </w:p>
    <w:p>
      <w:pPr>
        <w:pStyle w:val="ListParagraph"/>
        <w:numPr>
          <w:ilvl w:val="0"/>
          <w:numId w:val="2"/>
        </w:numPr>
        <w:spacing w:after="40" w:before="40" w:line="280"/>
      </w:pPr>
      <w:r>
        <w:rPr>
          <w:rFonts w:ascii="Calibri" w:cs="Calibri" w:eastAsia="Calibri" w:hAnsi="Calibri"/>
          <w:color w:val="1A1410"/>
          <w:sz w:val="22"/>
          <w:szCs w:val="22"/>
        </w:rPr>
        <w:t xml:space="preserve">Amazon / X-energy 5 GW SMR commitment — </w:t>
      </w:r>
      <w:hyperlink w:history="1" r:id="rIdorqonpwl1ex64uen2cyzi">
        <w:r>
          <w:rPr>
            <w:rFonts w:ascii="Calibri" w:cs="Calibri" w:eastAsia="Calibri" w:hAnsi="Calibri"/>
            <w:color w:val="0563C1"/>
            <w:sz w:val="22"/>
            <w:szCs w:val="22"/>
            <w:u w:val="single"/>
          </w:rPr>
          <w:t xml:space="preserve">https://www.powermag.com/amazon-backs-massive-nuclear-smr-deployment-5-gw-with-x-energy-agreements-with-energy-northwest-dominion/</w:t>
        </w:r>
      </w:hyperlink>
    </w:p>
    <w:p>
      <w:pPr>
        <w:pStyle w:val="ListParagraph"/>
        <w:numPr>
          <w:ilvl w:val="0"/>
          <w:numId w:val="2"/>
        </w:numPr>
        <w:spacing w:after="40" w:before="40" w:line="280"/>
      </w:pPr>
      <w:r>
        <w:rPr>
          <w:rFonts w:ascii="Calibri" w:cs="Calibri" w:eastAsia="Calibri" w:hAnsi="Calibri"/>
          <w:color w:val="1A1410"/>
          <w:sz w:val="22"/>
          <w:szCs w:val="22"/>
        </w:rPr>
        <w:t xml:space="preserve">Google / Kairos 500 MW SMR deal — </w:t>
      </w:r>
      <w:hyperlink w:history="1" r:id="rIdqrq5iqefuzhrt6pgfam3e">
        <w:r>
          <w:rPr>
            <w:rFonts w:ascii="Calibri" w:cs="Calibri" w:eastAsia="Calibri" w:hAnsi="Calibri"/>
            <w:color w:val="0563C1"/>
            <w:sz w:val="22"/>
            <w:szCs w:val="22"/>
            <w:u w:val="single"/>
          </w:rPr>
          <w:t xml:space="preserve">https://www.utilitydive.com/news/google-kairos-power-advanced-nuclear-reactor-data-center-electricity-demand-ai/729876/</w:t>
        </w:r>
      </w:hyperlink>
    </w:p>
    <w:p>
      <w:pPr>
        <w:pStyle w:val="ListParagraph"/>
        <w:numPr>
          <w:ilvl w:val="0"/>
          <w:numId w:val="2"/>
        </w:numPr>
        <w:spacing w:after="40" w:before="40" w:line="280"/>
      </w:pPr>
      <w:r>
        <w:rPr>
          <w:rFonts w:ascii="Calibri" w:cs="Calibri" w:eastAsia="Calibri" w:hAnsi="Calibri"/>
          <w:color w:val="1A1410"/>
          <w:sz w:val="22"/>
          <w:szCs w:val="22"/>
        </w:rPr>
        <w:t xml:space="preserve">Meta Hyperion 7 GW gas plants — </w:t>
      </w:r>
      <w:hyperlink w:history="1" r:id="rId_8fd19_iij_1_iysrxnwq">
        <w:r>
          <w:rPr>
            <w:rFonts w:ascii="Calibri" w:cs="Calibri" w:eastAsia="Calibri" w:hAnsi="Calibri"/>
            <w:color w:val="0563C1"/>
            <w:sz w:val="22"/>
            <w:szCs w:val="22"/>
            <w:u w:val="single"/>
          </w:rPr>
          <w:t xml:space="preserve">https://fortune.com/2026/03/27/meta-hyperion-10-gas-power-plants-louisiana-entergy/</w:t>
        </w:r>
      </w:hyperlink>
    </w:p>
    <w:p>
      <w:pPr>
        <w:pStyle w:val="ListParagraph"/>
        <w:numPr>
          <w:ilvl w:val="0"/>
          <w:numId w:val="2"/>
        </w:numPr>
        <w:spacing w:after="40" w:before="40" w:line="280"/>
      </w:pPr>
      <w:r>
        <w:rPr>
          <w:rFonts w:ascii="Calibri" w:cs="Calibri" w:eastAsia="Calibri" w:hAnsi="Calibri"/>
          <w:color w:val="1A1410"/>
          <w:sz w:val="22"/>
          <w:szCs w:val="22"/>
        </w:rPr>
        <w:t xml:space="preserve">xAI Memphis turbines — </w:t>
      </w:r>
      <w:hyperlink w:history="1" r:id="rIdayzl-wc2dioryettxhx9m">
        <w:r>
          <w:rPr>
            <w:rFonts w:ascii="Calibri" w:cs="Calibri" w:eastAsia="Calibri" w:hAnsi="Calibri"/>
            <w:color w:val="0563C1"/>
            <w:sz w:val="22"/>
            <w:szCs w:val="22"/>
            <w:u w:val="single"/>
          </w:rPr>
          <w:t xml:space="preserve">https://insideclimatenews.org/news/17072025/elon-musk-xai-data-center-gas-turbines-memphis/</w:t>
        </w:r>
      </w:hyperlink>
    </w:p>
    <w:p>
      <w:pPr>
        <w:pStyle w:val="ListParagraph"/>
        <w:numPr>
          <w:ilvl w:val="0"/>
          <w:numId w:val="2"/>
        </w:numPr>
        <w:spacing w:after="40" w:before="40" w:line="280"/>
      </w:pPr>
      <w:r>
        <w:rPr>
          <w:rFonts w:ascii="Calibri" w:cs="Calibri" w:eastAsia="Calibri" w:hAnsi="Calibri"/>
          <w:color w:val="1A1410"/>
          <w:sz w:val="22"/>
          <w:szCs w:val="22"/>
        </w:rPr>
        <w:t xml:space="preserve">Stargate Abilene live — </w:t>
      </w:r>
      <w:hyperlink w:history="1" r:id="rIdetzqvp1fgae7jlavaptwd">
        <w:r>
          <w:rPr>
            <w:rFonts w:ascii="Calibri" w:cs="Calibri" w:eastAsia="Calibri" w:hAnsi="Calibri"/>
            <w:color w:val="0563C1"/>
            <w:sz w:val="22"/>
            <w:szCs w:val="22"/>
            <w:u w:val="single"/>
          </w:rPr>
          <w:t xml:space="preserve">https://www.cnbc.com/2025/09/23/openai-first-data-center-in-500-billion-stargate-project-up-in-texas.html</w:t>
        </w:r>
      </w:hyperlink>
    </w:p>
    <w:p>
      <w:pPr>
        <w:pStyle w:val="ListParagraph"/>
        <w:numPr>
          <w:ilvl w:val="0"/>
          <w:numId w:val="2"/>
        </w:numPr>
        <w:spacing w:after="40" w:before="40" w:line="280"/>
      </w:pPr>
      <w:r>
        <w:rPr>
          <w:rFonts w:ascii="Calibri" w:cs="Calibri" w:eastAsia="Calibri" w:hAnsi="Calibri"/>
          <w:color w:val="1A1410"/>
          <w:sz w:val="22"/>
          <w:szCs w:val="22"/>
        </w:rPr>
        <w:t xml:space="preserve">PJM 2025/26 Auction Results — </w:t>
      </w:r>
      <w:hyperlink w:history="1" r:id="rId0zymgwx2lmw-rk4_iobbu">
        <w:r>
          <w:rPr>
            <w:rFonts w:ascii="Calibri" w:cs="Calibri" w:eastAsia="Calibri" w:hAnsi="Calibri"/>
            <w:color w:val="0563C1"/>
            <w:sz w:val="22"/>
            <w:szCs w:val="22"/>
            <w:u w:val="single"/>
          </w:rPr>
          <w:t xml:space="preserve">https://www.pjm.com/-/media/DotCom/about-pjm/newsroom/2025-releases/20251217-pjm-auction-procures-134479-mw-of-generation-resources.pdf</w:t>
        </w:r>
      </w:hyperlink>
    </w:p>
    <w:p>
      <w:pPr>
        <w:pStyle w:val="ListParagraph"/>
        <w:numPr>
          <w:ilvl w:val="0"/>
          <w:numId w:val="2"/>
        </w:numPr>
        <w:spacing w:after="40" w:before="40" w:line="280"/>
      </w:pPr>
      <w:r>
        <w:rPr>
          <w:rFonts w:ascii="Calibri" w:cs="Calibri" w:eastAsia="Calibri" w:hAnsi="Calibri"/>
          <w:color w:val="1A1410"/>
          <w:sz w:val="22"/>
          <w:szCs w:val="22"/>
        </w:rPr>
        <w:t xml:space="preserve">Wood Mackenzie transformer deficits 2025 — </w:t>
      </w:r>
      <w:hyperlink w:history="1" r:id="rIdhnft7jkx2chwia7tivdat">
        <w:r>
          <w:rPr>
            <w:rFonts w:ascii="Calibri" w:cs="Calibri" w:eastAsia="Calibri" w:hAnsi="Calibri"/>
            <w:color w:val="0563C1"/>
            <w:sz w:val="22"/>
            <w:szCs w:val="22"/>
            <w:u w:val="single"/>
          </w:rPr>
          <w:t xml:space="preserve">https://www.woodmac.com/press-releases/power-transformers-and-distribution-transformers-will-face-supply-deficits-of-30-and-10-in-2025/</w:t>
        </w:r>
      </w:hyperlink>
    </w:p>
    <w:p>
      <w:pPr>
        <w:pStyle w:val="ListParagraph"/>
        <w:numPr>
          <w:ilvl w:val="0"/>
          <w:numId w:val="2"/>
        </w:numPr>
        <w:spacing w:after="40" w:before="40" w:line="280"/>
      </w:pPr>
      <w:r>
        <w:rPr>
          <w:rFonts w:ascii="Calibri" w:cs="Calibri" w:eastAsia="Calibri" w:hAnsi="Calibri"/>
          <w:color w:val="1A1410"/>
          <w:sz w:val="22"/>
          <w:szCs w:val="22"/>
        </w:rPr>
        <w:t xml:space="preserve">Cushman &amp; Wakefield Data Center Cost Guide 2025 — </w:t>
      </w:r>
      <w:hyperlink w:history="1" r:id="rIdwogdpnszc3deig4wgez53">
        <w:r>
          <w:rPr>
            <w:rFonts w:ascii="Calibri" w:cs="Calibri" w:eastAsia="Calibri" w:hAnsi="Calibri"/>
            <w:color w:val="0563C1"/>
            <w:sz w:val="22"/>
            <w:szCs w:val="22"/>
            <w:u w:val="single"/>
          </w:rPr>
          <w:t xml:space="preserve">https://cushwake.cld.bz/Data-Center-Development-Cost-Guide-2025/8-9/</w:t>
        </w:r>
      </w:hyperlink>
    </w:p>
    <w:p>
      <w:pPr>
        <w:pStyle w:val="ListParagraph"/>
        <w:numPr>
          <w:ilvl w:val="0"/>
          <w:numId w:val="2"/>
        </w:numPr>
        <w:spacing w:after="40" w:before="40" w:line="280"/>
      </w:pPr>
      <w:r>
        <w:rPr>
          <w:rFonts w:ascii="Calibri" w:cs="Calibri" w:eastAsia="Calibri" w:hAnsi="Calibri"/>
          <w:color w:val="1A1410"/>
          <w:sz w:val="22"/>
          <w:szCs w:val="22"/>
        </w:rPr>
        <w:t xml:space="preserve">CoreWeave 5 GW by 2030 — </w:t>
      </w:r>
      <w:hyperlink w:history="1" r:id="rIdrf3al1yowy4h_ktw3zrir">
        <w:r>
          <w:rPr>
            <w:rFonts w:ascii="Calibri" w:cs="Calibri" w:eastAsia="Calibri" w:hAnsi="Calibri"/>
            <w:color w:val="0563C1"/>
            <w:sz w:val="22"/>
            <w:szCs w:val="22"/>
            <w:u w:val="single"/>
          </w:rPr>
          <w:t xml:space="preserve">https://www.datacenterdynamics.com/en/news/coreweave-aims-to-add-5gw-more-data-center-capacity-by-2030-anticipates-capex-in-2026-to-double/</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GB200 NVL72 — </w:t>
      </w:r>
      <w:hyperlink w:history="1" r:id="rIdsankshc6bwgttmmarvbpr">
        <w:r>
          <w:rPr>
            <w:rFonts w:ascii="Calibri" w:cs="Calibri" w:eastAsia="Calibri" w:hAnsi="Calibri"/>
            <w:color w:val="0563C1"/>
            <w:sz w:val="22"/>
            <w:szCs w:val="22"/>
            <w:u w:val="single"/>
          </w:rPr>
          <w:t xml:space="preserve">https://www.nvidia.com/en-us/data-center/gb200-nvl72/</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Rubin Ultra Kyber 600 kW racks — </w:t>
      </w:r>
      <w:hyperlink w:history="1" r:id="rIdiu6at13ntrx6mpibiqjr3">
        <w:r>
          <w:rPr>
            <w:rFonts w:ascii="Calibri" w:cs="Calibri" w:eastAsia="Calibri" w:hAnsi="Calibri"/>
            <w:color w:val="0563C1"/>
            <w:sz w:val="22"/>
            <w:szCs w:val="22"/>
            <w:u w:val="single"/>
          </w:rPr>
          <w:t xml:space="preserve">https://www.tomshardware.com/pc-components/gpus/nvidia-shows-off-rubin-ultra-with-600-000-watt-kyber-racks-and-infrastructure-coming-in-2027</w:t>
        </w:r>
      </w:hyperlink>
    </w:p>
    <w:p>
      <w:pPr>
        <w:pStyle w:val="ListParagraph"/>
        <w:numPr>
          <w:ilvl w:val="0"/>
          <w:numId w:val="2"/>
        </w:numPr>
        <w:spacing w:after="40" w:before="40" w:line="280"/>
      </w:pPr>
      <w:r>
        <w:rPr>
          <w:rFonts w:ascii="Calibri" w:cs="Calibri" w:eastAsia="Calibri" w:hAnsi="Calibri"/>
          <w:color w:val="1A1410"/>
          <w:sz w:val="22"/>
          <w:szCs w:val="22"/>
        </w:rPr>
        <w:t xml:space="preserve">OCP Open Rack v3 specification — </w:t>
      </w:r>
      <w:hyperlink w:history="1" r:id="rIdno49pbhxmae2ccoycg3nw">
        <w:r>
          <w:rPr>
            <w:rFonts w:ascii="Calibri" w:cs="Calibri" w:eastAsia="Calibri" w:hAnsi="Calibri"/>
            <w:color w:val="0563C1"/>
            <w:sz w:val="22"/>
            <w:szCs w:val="22"/>
            <w:u w:val="single"/>
          </w:rPr>
          <w:t xml:space="preserve">https://www.opencompute.org/documents/open-rack-base-specification-version-3-pdf</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Vera Rubin platform in depth — </w:t>
      </w:r>
      <w:hyperlink w:history="1" r:id="rIdwiuimd4wrmoon-jubt1ho">
        <w:r>
          <w:rPr>
            <w:rFonts w:ascii="Calibri" w:cs="Calibri" w:eastAsia="Calibri" w:hAnsi="Calibri"/>
            <w:color w:val="0563C1"/>
            <w:sz w:val="22"/>
            <w:szCs w:val="22"/>
            <w:u w:val="single"/>
          </w:rPr>
          <w:t xml:space="preserve">https://www.tomshardware.com/pc-components/gpus/nvidias-vera-rubin-platform-in-depth-inside-nvidias-most-complex-ai-and-hpc-platform-to-date</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Feynman 2028 roadmap — </w:t>
      </w:r>
      <w:hyperlink w:history="1" r:id="rId4grqj3lkwghbavju-vd9x">
        <w:r>
          <w:rPr>
            <w:rFonts w:ascii="Calibri" w:cs="Calibri" w:eastAsia="Calibri" w:hAnsi="Calibri"/>
            <w:color w:val="0563C1"/>
            <w:sz w:val="22"/>
            <w:szCs w:val="22"/>
            <w:u w:val="single"/>
          </w:rPr>
          <w:t xml:space="preserve">https://www.tweaktown.com/news/110521/nvidia-updates-roadmap-with-new-details-on-its-next-gen-gpu-feynman-coming-in-2028/index.html</w:t>
        </w:r>
      </w:hyperlink>
    </w:p>
    <w:p>
      <w:pPr>
        <w:pStyle w:val="ListParagraph"/>
        <w:numPr>
          <w:ilvl w:val="0"/>
          <w:numId w:val="2"/>
        </w:numPr>
        <w:spacing w:after="40" w:before="40" w:line="280"/>
      </w:pPr>
      <w:r>
        <w:rPr>
          <w:rFonts w:ascii="Calibri" w:cs="Calibri" w:eastAsia="Calibri" w:hAnsi="Calibri"/>
          <w:color w:val="1A1410"/>
          <w:sz w:val="22"/>
          <w:szCs w:val="22"/>
        </w:rPr>
        <w:t xml:space="preserve">AMD Instinct MI355X — </w:t>
      </w:r>
      <w:hyperlink w:history="1" r:id="rId-afbvq4gajyldognfetan">
        <w:r>
          <w:rPr>
            <w:rFonts w:ascii="Calibri" w:cs="Calibri" w:eastAsia="Calibri" w:hAnsi="Calibri"/>
            <w:color w:val="0563C1"/>
            <w:sz w:val="22"/>
            <w:szCs w:val="22"/>
            <w:u w:val="single"/>
          </w:rPr>
          <w:t xml:space="preserve">https://www.tomshardware.com/pc-components/gpus/amd-announces-mi350x-and-mi355x-ai-gpus-claims-up-to-4x-generational-gain-up-to-35x-faster-inference-performance</w:t>
        </w:r>
      </w:hyperlink>
    </w:p>
    <w:p>
      <w:pPr>
        <w:pStyle w:val="ListParagraph"/>
        <w:numPr>
          <w:ilvl w:val="0"/>
          <w:numId w:val="2"/>
        </w:numPr>
        <w:spacing w:after="40" w:before="40" w:line="280"/>
      </w:pPr>
      <w:r>
        <w:rPr>
          <w:rFonts w:ascii="Calibri" w:cs="Calibri" w:eastAsia="Calibri" w:hAnsi="Calibri"/>
          <w:color w:val="1A1410"/>
          <w:sz w:val="22"/>
          <w:szCs w:val="22"/>
        </w:rPr>
        <w:t xml:space="preserve">Intel cancels Falcon Shores — </w:t>
      </w:r>
      <w:hyperlink w:history="1" r:id="rIdju6edd1upxkd1oba9tzkv">
        <w:r>
          <w:rPr>
            <w:rFonts w:ascii="Calibri" w:cs="Calibri" w:eastAsia="Calibri" w:hAnsi="Calibri"/>
            <w:color w:val="0563C1"/>
            <w:sz w:val="22"/>
            <w:szCs w:val="22"/>
            <w:u w:val="single"/>
          </w:rPr>
          <w:t xml:space="preserve">https://www.tomshardware.com/tech-industry/artificial-intelligence/intel-cancels-falcon-shores-gpu-for-ai-workloads-jaguar-shores-to-be-successor</w:t>
        </w:r>
      </w:hyperlink>
    </w:p>
    <w:p>
      <w:pPr>
        <w:pStyle w:val="ListParagraph"/>
        <w:numPr>
          <w:ilvl w:val="0"/>
          <w:numId w:val="2"/>
        </w:numPr>
        <w:spacing w:after="40" w:before="40" w:line="280"/>
      </w:pPr>
      <w:r>
        <w:rPr>
          <w:rFonts w:ascii="Calibri" w:cs="Calibri" w:eastAsia="Calibri" w:hAnsi="Calibri"/>
          <w:color w:val="1A1410"/>
          <w:sz w:val="22"/>
          <w:szCs w:val="22"/>
        </w:rPr>
        <w:t xml:space="preserve">Google Ironwood TPU v7 — </w:t>
      </w:r>
      <w:hyperlink w:history="1" r:id="rIdw6xh0rrsqesw5qw1p5gtl">
        <w:r>
          <w:rPr>
            <w:rFonts w:ascii="Calibri" w:cs="Calibri" w:eastAsia="Calibri" w:hAnsi="Calibri"/>
            <w:color w:val="0563C1"/>
            <w:sz w:val="22"/>
            <w:szCs w:val="22"/>
            <w:u w:val="single"/>
          </w:rPr>
          <w:t xml:space="preserve">https://cloud.google.com/blog/products/compute/ironwood-tpus-and-new-axion-based-vms-for-your-ai-workloads</w:t>
        </w:r>
      </w:hyperlink>
    </w:p>
    <w:p>
      <w:pPr>
        <w:pStyle w:val="ListParagraph"/>
        <w:numPr>
          <w:ilvl w:val="0"/>
          <w:numId w:val="2"/>
        </w:numPr>
        <w:spacing w:after="40" w:before="40" w:line="280"/>
      </w:pPr>
      <w:r>
        <w:rPr>
          <w:rFonts w:ascii="Calibri" w:cs="Calibri" w:eastAsia="Calibri" w:hAnsi="Calibri"/>
          <w:color w:val="1A1410"/>
          <w:sz w:val="22"/>
          <w:szCs w:val="22"/>
        </w:rPr>
        <w:t xml:space="preserve">AWS Trainium 3 — </w:t>
      </w:r>
      <w:hyperlink w:history="1" r:id="rIddlx1jwcxpxjuueank4xkl">
        <w:r>
          <w:rPr>
            <w:rFonts w:ascii="Calibri" w:cs="Calibri" w:eastAsia="Calibri" w:hAnsi="Calibri"/>
            <w:color w:val="0563C1"/>
            <w:sz w:val="22"/>
            <w:szCs w:val="22"/>
            <w:u w:val="single"/>
          </w:rPr>
          <w:t xml:space="preserve">https://www.hpcwire.com/2025/12/02/aws-brings-the-trainium3-chip-to-market-with-new-ec2-ultraservers/</w:t>
        </w:r>
      </w:hyperlink>
    </w:p>
    <w:p>
      <w:pPr>
        <w:pStyle w:val="ListParagraph"/>
        <w:numPr>
          <w:ilvl w:val="0"/>
          <w:numId w:val="2"/>
        </w:numPr>
        <w:spacing w:after="40" w:before="40" w:line="280"/>
      </w:pPr>
      <w:r>
        <w:rPr>
          <w:rFonts w:ascii="Calibri" w:cs="Calibri" w:eastAsia="Calibri" w:hAnsi="Calibri"/>
          <w:color w:val="1A1410"/>
          <w:sz w:val="22"/>
          <w:szCs w:val="22"/>
        </w:rPr>
        <w:t xml:space="preserve">Microsoft Maia / Cobalt — </w:t>
      </w:r>
      <w:hyperlink w:history="1" r:id="rIdt3t4imzup6itgtocbckny">
        <w:r>
          <w:rPr>
            <w:rFonts w:ascii="Calibri" w:cs="Calibri" w:eastAsia="Calibri" w:hAnsi="Calibri"/>
            <w:color w:val="0563C1"/>
            <w:sz w:val="22"/>
            <w:szCs w:val="22"/>
            <w:u w:val="single"/>
          </w:rPr>
          <w:t xml:space="preserve">https://news.microsoft.com/source/features/ai/in-house-chips-silicon-to-service-to-meet-ai-demand/</w:t>
        </w:r>
      </w:hyperlink>
    </w:p>
    <w:p>
      <w:pPr>
        <w:pStyle w:val="ListParagraph"/>
        <w:numPr>
          <w:ilvl w:val="0"/>
          <w:numId w:val="2"/>
        </w:numPr>
        <w:spacing w:after="40" w:before="40" w:line="280"/>
      </w:pPr>
      <w:r>
        <w:rPr>
          <w:rFonts w:ascii="Calibri" w:cs="Calibri" w:eastAsia="Calibri" w:hAnsi="Calibri"/>
          <w:color w:val="1A1410"/>
          <w:sz w:val="22"/>
          <w:szCs w:val="22"/>
        </w:rPr>
        <w:t xml:space="preserve">Meta MTIA next-gen — </w:t>
      </w:r>
      <w:hyperlink w:history="1" r:id="rId2k14fr0qyex6htfz_egm8">
        <w:r>
          <w:rPr>
            <w:rFonts w:ascii="Calibri" w:cs="Calibri" w:eastAsia="Calibri" w:hAnsi="Calibri"/>
            <w:color w:val="0563C1"/>
            <w:sz w:val="22"/>
            <w:szCs w:val="22"/>
            <w:u w:val="single"/>
          </w:rPr>
          <w:t xml:space="preserve">https://ai.meta.com/blog/next-generation-meta-training-inference-accelerator-AI-MTIA/</w:t>
        </w:r>
      </w:hyperlink>
    </w:p>
    <w:p>
      <w:pPr>
        <w:pStyle w:val="ListParagraph"/>
        <w:numPr>
          <w:ilvl w:val="0"/>
          <w:numId w:val="2"/>
        </w:numPr>
        <w:spacing w:after="40" w:before="40" w:line="280"/>
      </w:pPr>
      <w:r>
        <w:rPr>
          <w:rFonts w:ascii="Calibri" w:cs="Calibri" w:eastAsia="Calibri" w:hAnsi="Calibri"/>
          <w:color w:val="1A1410"/>
          <w:sz w:val="22"/>
          <w:szCs w:val="22"/>
        </w:rPr>
        <w:t xml:space="preserve">Apple M5 — </w:t>
      </w:r>
      <w:hyperlink w:history="1" r:id="rIdlz-7gtblcf7wjln0kd4hz">
        <w:r>
          <w:rPr>
            <w:rFonts w:ascii="Calibri" w:cs="Calibri" w:eastAsia="Calibri" w:hAnsi="Calibri"/>
            <w:color w:val="0563C1"/>
            <w:sz w:val="22"/>
            <w:szCs w:val="22"/>
            <w:u w:val="single"/>
          </w:rPr>
          <w:t xml:space="preserve">https://www.apple.com/newsroom/2025/10/apple-unleashes-m5-the-next-big-leap-in-ai-performance-for-apple-silicon/</w:t>
        </w:r>
      </w:hyperlink>
    </w:p>
    <w:p>
      <w:pPr>
        <w:pStyle w:val="ListParagraph"/>
        <w:numPr>
          <w:ilvl w:val="0"/>
          <w:numId w:val="2"/>
        </w:numPr>
        <w:spacing w:after="40" w:before="40" w:line="280"/>
      </w:pPr>
      <w:r>
        <w:rPr>
          <w:rFonts w:ascii="Calibri" w:cs="Calibri" w:eastAsia="Calibri" w:hAnsi="Calibri"/>
          <w:color w:val="1A1410"/>
          <w:sz w:val="22"/>
          <w:szCs w:val="22"/>
        </w:rPr>
        <w:t xml:space="preserve">Cerebras WSE-3 — </w:t>
      </w:r>
      <w:hyperlink w:history="1" r:id="rId8hjxnpz-vp2kxl1zs7bdl">
        <w:r>
          <w:rPr>
            <w:rFonts w:ascii="Calibri" w:cs="Calibri" w:eastAsia="Calibri" w:hAnsi="Calibri"/>
            <w:color w:val="0563C1"/>
            <w:sz w:val="22"/>
            <w:szCs w:val="22"/>
            <w:u w:val="single"/>
          </w:rPr>
          <w:t xml:space="preserve">https://www.cerebras.ai/press-release/cerebras-announces-third-generation-wafer-scale-engine</w:t>
        </w:r>
      </w:hyperlink>
    </w:p>
    <w:p>
      <w:pPr>
        <w:pStyle w:val="ListParagraph"/>
        <w:numPr>
          <w:ilvl w:val="0"/>
          <w:numId w:val="2"/>
        </w:numPr>
        <w:spacing w:after="40" w:before="40" w:line="280"/>
      </w:pPr>
      <w:r>
        <w:rPr>
          <w:rFonts w:ascii="Calibri" w:cs="Calibri" w:eastAsia="Calibri" w:hAnsi="Calibri"/>
          <w:color w:val="1A1410"/>
          <w:sz w:val="22"/>
          <w:szCs w:val="22"/>
        </w:rPr>
        <w:t xml:space="preserve">HBM market shares Q3 2025 — </w:t>
      </w:r>
      <w:hyperlink w:history="1" r:id="rIdcvx0vfduf5avgpejdvtbb">
        <w:r>
          <w:rPr>
            <w:rFonts w:ascii="Calibri" w:cs="Calibri" w:eastAsia="Calibri" w:hAnsi="Calibri"/>
            <w:color w:val="0563C1"/>
            <w:sz w:val="22"/>
            <w:szCs w:val="22"/>
            <w:u w:val="single"/>
          </w:rPr>
          <w:t xml:space="preserve">https://www.astutegroup.com/news/general/sk-hynix-holds-62-of-hbm-micron-overtakes-samsung-2026-battle-pivots-to-hbm4/</w:t>
        </w:r>
      </w:hyperlink>
    </w:p>
    <w:p>
      <w:pPr>
        <w:pStyle w:val="ListParagraph"/>
        <w:numPr>
          <w:ilvl w:val="0"/>
          <w:numId w:val="2"/>
        </w:numPr>
        <w:spacing w:after="40" w:before="40" w:line="280"/>
      </w:pPr>
      <w:r>
        <w:rPr>
          <w:rFonts w:ascii="Calibri" w:cs="Calibri" w:eastAsia="Calibri" w:hAnsi="Calibri"/>
          <w:color w:val="1A1410"/>
          <w:sz w:val="22"/>
          <w:szCs w:val="22"/>
        </w:rPr>
        <w:t xml:space="preserve">TSMC CoWoS roadmap to 2029 — </w:t>
      </w:r>
      <w:hyperlink w:history="1" r:id="rIdtiukzdt1u6p4kohhrlpa7">
        <w:r>
          <w:rPr>
            <w:rFonts w:ascii="Calibri" w:cs="Calibri" w:eastAsia="Calibri" w:hAnsi="Calibri"/>
            <w:color w:val="0563C1"/>
            <w:sz w:val="22"/>
            <w:szCs w:val="22"/>
            <w:u w:val="single"/>
          </w:rPr>
          <w:t xml:space="preserve">https://www.tomshardware.com/tech-industry/semiconductors/tsmcs-details-next-gen-cowos-roadmap-over-14-reticle-packages-and-48x-leap-in-compute-power-expected-by-2029-massive-size-enables-24-hbm5e-stacks-and-additional-memory-bandwidth-jump</w:t>
        </w:r>
      </w:hyperlink>
    </w:p>
    <w:p>
      <w:pPr>
        <w:pStyle w:val="ListParagraph"/>
        <w:numPr>
          <w:ilvl w:val="0"/>
          <w:numId w:val="2"/>
        </w:numPr>
        <w:spacing w:after="40" w:before="40" w:line="280"/>
      </w:pPr>
      <w:r>
        <w:rPr>
          <w:rFonts w:ascii="Calibri" w:cs="Calibri" w:eastAsia="Calibri" w:hAnsi="Calibri"/>
          <w:color w:val="1A1410"/>
          <w:sz w:val="22"/>
          <w:szCs w:val="22"/>
        </w:rPr>
        <w:t xml:space="preserve">Intel 18A High-NA EUV — </w:t>
      </w:r>
      <w:hyperlink w:history="1" r:id="rIdepmda9jc8bx0lzmwx8b-i">
        <w:r>
          <w:rPr>
            <w:rFonts w:ascii="Calibri" w:cs="Calibri" w:eastAsia="Calibri" w:hAnsi="Calibri"/>
            <w:color w:val="0563C1"/>
            <w:sz w:val="22"/>
            <w:szCs w:val="22"/>
            <w:u w:val="single"/>
          </w:rPr>
          <w:t xml:space="preserve">https://www.tomshardware.com/tech-industry/semiconductors/intel-installs-industrys-first-commercial-high-na-euv-lithography-tool-asml-twinscan-exe-5200b-sets-the-stage-for-14a</w:t>
        </w:r>
      </w:hyperlink>
    </w:p>
    <w:p>
      <w:pPr>
        <w:pStyle w:val="ListParagraph"/>
        <w:numPr>
          <w:ilvl w:val="0"/>
          <w:numId w:val="2"/>
        </w:numPr>
        <w:spacing w:after="40" w:before="40" w:line="280"/>
      </w:pPr>
      <w:r>
        <w:rPr>
          <w:rFonts w:ascii="Calibri" w:cs="Calibri" w:eastAsia="Calibri" w:hAnsi="Calibri"/>
          <w:color w:val="1A1410"/>
          <w:sz w:val="22"/>
          <w:szCs w:val="22"/>
        </w:rPr>
        <w:t xml:space="preserve">H20 export saga — </w:t>
      </w:r>
      <w:hyperlink w:history="1" r:id="rIdfnmkqxdv2u-hbrmhub6_y">
        <w:r>
          <w:rPr>
            <w:rFonts w:ascii="Calibri" w:cs="Calibri" w:eastAsia="Calibri" w:hAnsi="Calibri"/>
            <w:color w:val="0563C1"/>
            <w:sz w:val="22"/>
            <w:szCs w:val="22"/>
            <w:u w:val="single"/>
          </w:rPr>
          <w:t xml:space="preserve">https://ifp.org/the-h20-problem/</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 OpenAI $100B deal — </w:t>
      </w:r>
      <w:hyperlink w:history="1" r:id="rId9jhimr7asfy_iq8ggwasz">
        <w:r>
          <w:rPr>
            <w:rFonts w:ascii="Calibri" w:cs="Calibri" w:eastAsia="Calibri" w:hAnsi="Calibri"/>
            <w:color w:val="0563C1"/>
            <w:sz w:val="22"/>
            <w:szCs w:val="22"/>
            <w:u w:val="single"/>
          </w:rPr>
          <w:t xml:space="preserve">https://blog.peterwildeford.com/p/openai-nvidia-and-oracle-breaking</w:t>
        </w:r>
      </w:hyperlink>
    </w:p>
    <w:p>
      <w:pPr>
        <w:pStyle w:val="ListParagraph"/>
        <w:numPr>
          <w:ilvl w:val="0"/>
          <w:numId w:val="2"/>
        </w:numPr>
        <w:spacing w:after="40" w:before="40" w:line="280"/>
      </w:pPr>
      <w:r>
        <w:rPr>
          <w:rFonts w:ascii="Calibri" w:cs="Calibri" w:eastAsia="Calibri" w:hAnsi="Calibri"/>
          <w:color w:val="1A1410"/>
          <w:sz w:val="22"/>
          <w:szCs w:val="22"/>
        </w:rPr>
        <w:t xml:space="preserve">UALink 1.0 specification — </w:t>
      </w:r>
      <w:hyperlink w:history="1" r:id="rIda8c4hxxdppf6rdyryhiis">
        <w:r>
          <w:rPr>
            <w:rFonts w:ascii="Calibri" w:cs="Calibri" w:eastAsia="Calibri" w:hAnsi="Calibri"/>
            <w:color w:val="0563C1"/>
            <w:sz w:val="22"/>
            <w:szCs w:val="22"/>
            <w:u w:val="single"/>
          </w:rPr>
          <w:t xml:space="preserve">https://ualinkconsortium.org/wp-content/uploads/2025/04/UALink-1.0-Specification-Overview_FINAL-1.pdf</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Quantum-X800 InfiniBand — </w:t>
      </w:r>
      <w:hyperlink w:history="1" r:id="rIde9mzauqrwelf4ql2y2heq">
        <w:r>
          <w:rPr>
            <w:rFonts w:ascii="Calibri" w:cs="Calibri" w:eastAsia="Calibri" w:hAnsi="Calibri"/>
            <w:color w:val="0563C1"/>
            <w:sz w:val="22"/>
            <w:szCs w:val="22"/>
            <w:u w:val="single"/>
          </w:rPr>
          <w:t xml:space="preserve">https://www.nvidia.com/en-us/networking/products/infiniband/quantum-x800/</w:t>
        </w:r>
      </w:hyperlink>
    </w:p>
    <w:p>
      <w:pPr>
        <w:pStyle w:val="ListParagraph"/>
        <w:numPr>
          <w:ilvl w:val="0"/>
          <w:numId w:val="2"/>
        </w:numPr>
        <w:spacing w:after="40" w:before="40" w:line="280"/>
      </w:pPr>
      <w:r>
        <w:rPr>
          <w:rFonts w:ascii="Calibri" w:cs="Calibri" w:eastAsia="Calibri" w:hAnsi="Calibri"/>
          <w:color w:val="1A1410"/>
          <w:sz w:val="22"/>
          <w:szCs w:val="22"/>
        </w:rPr>
        <w:t xml:space="preserve">Broadcom Tomahawk 6 announcement — </w:t>
      </w:r>
      <w:hyperlink w:history="1" r:id="rIdec-jvh-xfpzibagvcc-zs">
        <w:r>
          <w:rPr>
            <w:rFonts w:ascii="Calibri" w:cs="Calibri" w:eastAsia="Calibri" w:hAnsi="Calibri"/>
            <w:color w:val="0563C1"/>
            <w:sz w:val="22"/>
            <w:szCs w:val="22"/>
            <w:u w:val="single"/>
          </w:rPr>
          <w:t xml:space="preserve">https://investors.broadcom.com/news-releases/news-release-details/broadcom-announces-tomahawkr-6-davisson-industrys-first-1024</w:t>
        </w:r>
      </w:hyperlink>
    </w:p>
    <w:p>
      <w:pPr>
        <w:pStyle w:val="ListParagraph"/>
        <w:numPr>
          <w:ilvl w:val="0"/>
          <w:numId w:val="2"/>
        </w:numPr>
        <w:spacing w:after="40" w:before="40" w:line="280"/>
      </w:pPr>
      <w:r>
        <w:rPr>
          <w:rFonts w:ascii="Calibri" w:cs="Calibri" w:eastAsia="Calibri" w:hAnsi="Calibri"/>
          <w:color w:val="1A1410"/>
          <w:sz w:val="22"/>
          <w:szCs w:val="22"/>
        </w:rPr>
        <w:t xml:space="preserve">Cisco Silicon One P200 — </w:t>
      </w:r>
      <w:hyperlink w:history="1" r:id="rId-1njigrci_r3qw9icebje">
        <w:r>
          <w:rPr>
            <w:rFonts w:ascii="Calibri" w:cs="Calibri" w:eastAsia="Calibri" w:hAnsi="Calibri"/>
            <w:color w:val="0563C1"/>
            <w:sz w:val="22"/>
            <w:szCs w:val="22"/>
            <w:u w:val="single"/>
          </w:rPr>
          <w:t xml:space="preserve">https://newsroom.cisco.com/c/r/newsroom/en/us/a/y2025/m10/cisco-sets-benchmark-with-industry-most-scalable-efficient-51-2t-routing-systems-for-distributed-ai-workloads.html</w:t>
        </w:r>
      </w:hyperlink>
    </w:p>
    <w:p>
      <w:pPr>
        <w:pStyle w:val="ListParagraph"/>
        <w:numPr>
          <w:ilvl w:val="0"/>
          <w:numId w:val="2"/>
        </w:numPr>
        <w:spacing w:after="40" w:before="40" w:line="280"/>
      </w:pPr>
      <w:r>
        <w:rPr>
          <w:rFonts w:ascii="Calibri" w:cs="Calibri" w:eastAsia="Calibri" w:hAnsi="Calibri"/>
          <w:color w:val="1A1410"/>
          <w:sz w:val="22"/>
          <w:szCs w:val="22"/>
        </w:rPr>
        <w:t xml:space="preserve">Ultra Ethernet Consortium 1.0 — </w:t>
      </w:r>
      <w:hyperlink w:history="1" r:id="rIda8bgkmcssrtbpfezpddil">
        <w:r>
          <w:rPr>
            <w:rFonts w:ascii="Calibri" w:cs="Calibri" w:eastAsia="Calibri" w:hAnsi="Calibri"/>
            <w:color w:val="0563C1"/>
            <w:sz w:val="22"/>
            <w:szCs w:val="22"/>
            <w:u w:val="single"/>
          </w:rPr>
          <w:t xml:space="preserve">https://ultraethernet.org/ultra-ethernet-consortium-uec-launches-specification-1-0-transforming-ethernet-for-ai-and-hpc-at-scale/</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BlueField-4 800 Gbps — </w:t>
      </w:r>
      <w:hyperlink w:history="1" r:id="rId8rvz8ar_2smcfjdmombg8">
        <w:r>
          <w:rPr>
            <w:rFonts w:ascii="Calibri" w:cs="Calibri" w:eastAsia="Calibri" w:hAnsi="Calibri"/>
            <w:color w:val="0563C1"/>
            <w:sz w:val="22"/>
            <w:szCs w:val="22"/>
            <w:u w:val="single"/>
          </w:rPr>
          <w:t xml:space="preserve">https://www.hpcwire.com/2025/10/28/nvidia-cranks-its-bluefield-4-dpu-to-800-gbps/</w:t>
        </w:r>
      </w:hyperlink>
    </w:p>
    <w:p>
      <w:pPr>
        <w:pStyle w:val="ListParagraph"/>
        <w:numPr>
          <w:ilvl w:val="0"/>
          <w:numId w:val="2"/>
        </w:numPr>
        <w:spacing w:after="40" w:before="40" w:line="280"/>
      </w:pPr>
      <w:r>
        <w:rPr>
          <w:rFonts w:ascii="Calibri" w:cs="Calibri" w:eastAsia="Calibri" w:hAnsi="Calibri"/>
          <w:color w:val="1A1410"/>
          <w:sz w:val="22"/>
          <w:szCs w:val="22"/>
        </w:rPr>
        <w:t xml:space="preserve">Co-Packaged Optics killer app — </w:t>
      </w:r>
      <w:hyperlink w:history="1" r:id="rIdyb1lho7vq3nuuz3taqud-">
        <w:r>
          <w:rPr>
            <w:rFonts w:ascii="Calibri" w:cs="Calibri" w:eastAsia="Calibri" w:hAnsi="Calibri"/>
            <w:color w:val="0563C1"/>
            <w:sz w:val="22"/>
            <w:szCs w:val="22"/>
            <w:u w:val="single"/>
          </w:rPr>
          <w:t xml:space="preserve">https://www.theregister.com/2025/11/22/cpo_ai_nvidia_broadcom</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SchedMD acquisition — </w:t>
      </w:r>
      <w:hyperlink w:history="1" r:id="rIdbhcy-adf_03e7vqfngdwb">
        <w:r>
          <w:rPr>
            <w:rFonts w:ascii="Calibri" w:cs="Calibri" w:eastAsia="Calibri" w:hAnsi="Calibri"/>
            <w:color w:val="0563C1"/>
            <w:sz w:val="22"/>
            <w:szCs w:val="22"/>
            <w:u w:val="single"/>
          </w:rPr>
          <w:t xml:space="preserve">https://www.nextplatform.com/2025/12/18/nvidia-nearly-completes-its-control-freakery-with-slurm-acquisition/</w:t>
        </w:r>
      </w:hyperlink>
    </w:p>
    <w:p>
      <w:pPr>
        <w:pStyle w:val="ListParagraph"/>
        <w:numPr>
          <w:ilvl w:val="0"/>
          <w:numId w:val="2"/>
        </w:numPr>
        <w:spacing w:after="40" w:before="40" w:line="280"/>
      </w:pPr>
      <w:r>
        <w:rPr>
          <w:rFonts w:ascii="Calibri" w:cs="Calibri" w:eastAsia="Calibri" w:hAnsi="Calibri"/>
          <w:color w:val="1A1410"/>
          <w:sz w:val="22"/>
          <w:szCs w:val="22"/>
        </w:rPr>
        <w:t xml:space="preserve">FineWeb dataset — </w:t>
      </w:r>
      <w:hyperlink w:history="1" r:id="rIdhwkhaupp3sc29jparlzw-">
        <w:r>
          <w:rPr>
            <w:rFonts w:ascii="Calibri" w:cs="Calibri" w:eastAsia="Calibri" w:hAnsi="Calibri"/>
            <w:color w:val="0563C1"/>
            <w:sz w:val="22"/>
            <w:szCs w:val="22"/>
            <w:u w:val="single"/>
          </w:rPr>
          <w:t xml:space="preserve">https://huggingface.co/datasets/HuggingFaceFW/fineweb</w:t>
        </w:r>
      </w:hyperlink>
    </w:p>
    <w:p>
      <w:pPr>
        <w:pStyle w:val="ListParagraph"/>
        <w:numPr>
          <w:ilvl w:val="0"/>
          <w:numId w:val="2"/>
        </w:numPr>
        <w:spacing w:after="40" w:before="40" w:line="280"/>
      </w:pPr>
      <w:r>
        <w:rPr>
          <w:rFonts w:ascii="Calibri" w:cs="Calibri" w:eastAsia="Calibri" w:hAnsi="Calibri"/>
          <w:color w:val="1A1410"/>
          <w:sz w:val="22"/>
          <w:szCs w:val="22"/>
        </w:rPr>
        <w:t xml:space="preserve">Nemotron-CC v2 — </w:t>
      </w:r>
      <w:hyperlink w:history="1" r:id="rIdwlanetd9ttqafhahpu2xq">
        <w:r>
          <w:rPr>
            <w:rFonts w:ascii="Calibri" w:cs="Calibri" w:eastAsia="Calibri" w:hAnsi="Calibri"/>
            <w:color w:val="0563C1"/>
            <w:sz w:val="22"/>
            <w:szCs w:val="22"/>
            <w:u w:val="single"/>
          </w:rPr>
          <w:t xml:space="preserve">https://huggingface.co/datasets/nvidia/Nemotron-CC-v2</w:t>
        </w:r>
      </w:hyperlink>
    </w:p>
    <w:p>
      <w:pPr>
        <w:pStyle w:val="ListParagraph"/>
        <w:numPr>
          <w:ilvl w:val="0"/>
          <w:numId w:val="2"/>
        </w:numPr>
        <w:spacing w:after="40" w:before="40" w:line="280"/>
      </w:pPr>
      <w:r>
        <w:rPr>
          <w:rFonts w:ascii="Calibri" w:cs="Calibri" w:eastAsia="Calibri" w:hAnsi="Calibri"/>
          <w:color w:val="1A1410"/>
          <w:sz w:val="22"/>
          <w:szCs w:val="22"/>
        </w:rPr>
        <w:t xml:space="preserve">Bartz v. Anthropic settlement — </w:t>
      </w:r>
      <w:hyperlink w:history="1" r:id="rIdijue1ujal_s9k1bef-j_2">
        <w:r>
          <w:rPr>
            <w:rFonts w:ascii="Calibri" w:cs="Calibri" w:eastAsia="Calibri" w:hAnsi="Calibri"/>
            <w:color w:val="0563C1"/>
            <w:sz w:val="22"/>
            <w:szCs w:val="22"/>
            <w:u w:val="single"/>
          </w:rPr>
          <w:t xml:space="preserve">https://copyrightalliance.org/participating-bartz-v-anthropic-settlement/</w:t>
        </w:r>
      </w:hyperlink>
    </w:p>
    <w:p>
      <w:pPr>
        <w:pStyle w:val="ListParagraph"/>
        <w:numPr>
          <w:ilvl w:val="0"/>
          <w:numId w:val="2"/>
        </w:numPr>
        <w:spacing w:after="40" w:before="40" w:line="280"/>
      </w:pPr>
      <w:r>
        <w:rPr>
          <w:rFonts w:ascii="Calibri" w:cs="Calibri" w:eastAsia="Calibri" w:hAnsi="Calibri"/>
          <w:color w:val="1A1410"/>
          <w:sz w:val="22"/>
          <w:szCs w:val="22"/>
        </w:rPr>
        <w:t xml:space="preserve">Cloudflare default-block AI crawlers — </w:t>
      </w:r>
      <w:hyperlink w:history="1" r:id="rIdpquxybksiugizsrghxpmt">
        <w:r>
          <w:rPr>
            <w:rFonts w:ascii="Calibri" w:cs="Calibri" w:eastAsia="Calibri" w:hAnsi="Calibri"/>
            <w:color w:val="0563C1"/>
            <w:sz w:val="22"/>
            <w:szCs w:val="22"/>
            <w:u w:val="single"/>
          </w:rPr>
          <w:t xml:space="preserve">https://www.technologyreview.com/2025/07/01/1119498/cloudflare-will-now-by-default-block-ai-bots-from-crawling-its-clients-websites/</w:t>
        </w:r>
      </w:hyperlink>
    </w:p>
    <w:p>
      <w:pPr>
        <w:pStyle w:val="ListParagraph"/>
        <w:numPr>
          <w:ilvl w:val="0"/>
          <w:numId w:val="2"/>
        </w:numPr>
        <w:spacing w:after="40" w:before="40" w:line="280"/>
      </w:pPr>
      <w:r>
        <w:rPr>
          <w:rFonts w:ascii="Calibri" w:cs="Calibri" w:eastAsia="Calibri" w:hAnsi="Calibri"/>
          <w:color w:val="1A1410"/>
          <w:sz w:val="22"/>
          <w:szCs w:val="22"/>
        </w:rPr>
        <w:t xml:space="preserve">DeepSeek-R1 paper (Nature) — </w:t>
      </w:r>
      <w:hyperlink w:history="1" r:id="rId1e5p-jwp3sz3d7sbslivz">
        <w:r>
          <w:rPr>
            <w:rFonts w:ascii="Calibri" w:cs="Calibri" w:eastAsia="Calibri" w:hAnsi="Calibri"/>
            <w:color w:val="0563C1"/>
            <w:sz w:val="22"/>
            <w:szCs w:val="22"/>
            <w:u w:val="single"/>
          </w:rPr>
          <w:t xml:space="preserve">https://www.nature.com/articles/s41586-025-09422-z</w:t>
        </w:r>
      </w:hyperlink>
    </w:p>
    <w:p>
      <w:pPr>
        <w:pStyle w:val="ListParagraph"/>
        <w:numPr>
          <w:ilvl w:val="0"/>
          <w:numId w:val="2"/>
        </w:numPr>
        <w:spacing w:after="40" w:before="40" w:line="280"/>
      </w:pPr>
      <w:r>
        <w:rPr>
          <w:rFonts w:ascii="Calibri" w:cs="Calibri" w:eastAsia="Calibri" w:hAnsi="Calibri"/>
          <w:color w:val="1A1410"/>
          <w:sz w:val="22"/>
          <w:szCs w:val="22"/>
        </w:rPr>
        <w:t xml:space="preserve">Llama 4 herd — </w:t>
      </w:r>
      <w:hyperlink w:history="1" r:id="rIdhwcazl0yv2bk3hscofud6">
        <w:r>
          <w:rPr>
            <w:rFonts w:ascii="Calibri" w:cs="Calibri" w:eastAsia="Calibri" w:hAnsi="Calibri"/>
            <w:color w:val="0563C1"/>
            <w:sz w:val="22"/>
            <w:szCs w:val="22"/>
            <w:u w:val="single"/>
          </w:rPr>
          <w:t xml:space="preserve">https://ai.meta.com/blog/llama-4-multimodal-intelligence/</w:t>
        </w:r>
      </w:hyperlink>
    </w:p>
    <w:p>
      <w:pPr>
        <w:pStyle w:val="ListParagraph"/>
        <w:numPr>
          <w:ilvl w:val="0"/>
          <w:numId w:val="2"/>
        </w:numPr>
        <w:spacing w:after="40" w:before="40" w:line="280"/>
      </w:pPr>
      <w:r>
        <w:rPr>
          <w:rFonts w:ascii="Calibri" w:cs="Calibri" w:eastAsia="Calibri" w:hAnsi="Calibri"/>
          <w:color w:val="1A1410"/>
          <w:sz w:val="22"/>
          <w:szCs w:val="22"/>
        </w:rPr>
        <w:t xml:space="preserve">Claude Opus 4.5 — </w:t>
      </w:r>
      <w:hyperlink w:history="1" r:id="rIdlwal7rhrkb_exmvbb3fpa">
        <w:r>
          <w:rPr>
            <w:rFonts w:ascii="Calibri" w:cs="Calibri" w:eastAsia="Calibri" w:hAnsi="Calibri"/>
            <w:color w:val="0563C1"/>
            <w:sz w:val="22"/>
            <w:szCs w:val="22"/>
            <w:u w:val="single"/>
          </w:rPr>
          <w:t xml:space="preserve">https://www.anthropic.com/news/claude-opus-4-5</w:t>
        </w:r>
      </w:hyperlink>
    </w:p>
    <w:p>
      <w:pPr>
        <w:pStyle w:val="ListParagraph"/>
        <w:numPr>
          <w:ilvl w:val="0"/>
          <w:numId w:val="2"/>
        </w:numPr>
        <w:spacing w:after="40" w:before="40" w:line="280"/>
      </w:pPr>
      <w:r>
        <w:rPr>
          <w:rFonts w:ascii="Calibri" w:cs="Calibri" w:eastAsia="Calibri" w:hAnsi="Calibri"/>
          <w:color w:val="1A1410"/>
          <w:sz w:val="22"/>
          <w:szCs w:val="22"/>
        </w:rPr>
        <w:t xml:space="preserve">Claude Sonnet 4.5 — </w:t>
      </w:r>
      <w:hyperlink w:history="1" r:id="rIdteeuomr8ltjbyz4djdigd">
        <w:r>
          <w:rPr>
            <w:rFonts w:ascii="Calibri" w:cs="Calibri" w:eastAsia="Calibri" w:hAnsi="Calibri"/>
            <w:color w:val="0563C1"/>
            <w:sz w:val="22"/>
            <w:szCs w:val="22"/>
            <w:u w:val="single"/>
          </w:rPr>
          <w:t xml:space="preserve">https://www.anthropic.com/news/claude-sonnet-4-5</w:t>
        </w:r>
      </w:hyperlink>
    </w:p>
    <w:p>
      <w:pPr>
        <w:pStyle w:val="ListParagraph"/>
        <w:numPr>
          <w:ilvl w:val="0"/>
          <w:numId w:val="2"/>
        </w:numPr>
        <w:spacing w:after="40" w:before="40" w:line="280"/>
      </w:pPr>
      <w:r>
        <w:rPr>
          <w:rFonts w:ascii="Calibri" w:cs="Calibri" w:eastAsia="Calibri" w:hAnsi="Calibri"/>
          <w:color w:val="1A1410"/>
          <w:sz w:val="22"/>
          <w:szCs w:val="22"/>
        </w:rPr>
        <w:t xml:space="preserve">Introducing GPT-5 — </w:t>
      </w:r>
      <w:hyperlink w:history="1" r:id="rIdod9dzudufwpabnmz6fo0m">
        <w:r>
          <w:rPr>
            <w:rFonts w:ascii="Calibri" w:cs="Calibri" w:eastAsia="Calibri" w:hAnsi="Calibri"/>
            <w:color w:val="0563C1"/>
            <w:sz w:val="22"/>
            <w:szCs w:val="22"/>
            <w:u w:val="single"/>
          </w:rPr>
          <w:t xml:space="preserve">https://openai.com/index/introducing-gpt-5/</w:t>
        </w:r>
      </w:hyperlink>
    </w:p>
    <w:p>
      <w:pPr>
        <w:pStyle w:val="ListParagraph"/>
        <w:numPr>
          <w:ilvl w:val="0"/>
          <w:numId w:val="2"/>
        </w:numPr>
        <w:spacing w:after="40" w:before="40" w:line="280"/>
      </w:pPr>
      <w:r>
        <w:rPr>
          <w:rFonts w:ascii="Calibri" w:cs="Calibri" w:eastAsia="Calibri" w:hAnsi="Calibri"/>
          <w:color w:val="1A1410"/>
          <w:sz w:val="22"/>
          <w:szCs w:val="22"/>
        </w:rPr>
        <w:t xml:space="preserve">Gemini 2.5 thinking — </w:t>
      </w:r>
      <w:hyperlink w:history="1" r:id="rIdiw7h5w05owcuzbrf4wzx2">
        <w:r>
          <w:rPr>
            <w:rFonts w:ascii="Calibri" w:cs="Calibri" w:eastAsia="Calibri" w:hAnsi="Calibri"/>
            <w:color w:val="0563C1"/>
            <w:sz w:val="22"/>
            <w:szCs w:val="22"/>
            <w:u w:val="single"/>
          </w:rPr>
          <w:t xml:space="preserve">https://blog.google/innovation-and-ai/models-and-research/google-deepmind/gemini-model-thinking-updates-march-2025/</w:t>
        </w:r>
      </w:hyperlink>
    </w:p>
    <w:p>
      <w:pPr>
        <w:pStyle w:val="ListParagraph"/>
        <w:numPr>
          <w:ilvl w:val="0"/>
          <w:numId w:val="2"/>
        </w:numPr>
        <w:spacing w:after="40" w:before="40" w:line="280"/>
      </w:pPr>
      <w:r>
        <w:rPr>
          <w:rFonts w:ascii="Calibri" w:cs="Calibri" w:eastAsia="Calibri" w:hAnsi="Calibri"/>
          <w:color w:val="1A1410"/>
          <w:sz w:val="22"/>
          <w:szCs w:val="22"/>
        </w:rPr>
        <w:t xml:space="preserve">FlashAttention-3 paper — </w:t>
      </w:r>
      <w:hyperlink w:history="1" r:id="rIdf5hpoq4_3uqwjoi7hk1r_">
        <w:r>
          <w:rPr>
            <w:rFonts w:ascii="Calibri" w:cs="Calibri" w:eastAsia="Calibri" w:hAnsi="Calibri"/>
            <w:color w:val="0563C1"/>
            <w:sz w:val="22"/>
            <w:szCs w:val="22"/>
            <w:u w:val="single"/>
          </w:rPr>
          <w:t xml:space="preserve">https://arxiv.org/abs/2407.08608</w:t>
        </w:r>
      </w:hyperlink>
    </w:p>
    <w:p>
      <w:pPr>
        <w:pStyle w:val="ListParagraph"/>
        <w:numPr>
          <w:ilvl w:val="0"/>
          <w:numId w:val="2"/>
        </w:numPr>
        <w:spacing w:after="40" w:before="40" w:line="280"/>
      </w:pPr>
      <w:r>
        <w:rPr>
          <w:rFonts w:ascii="Calibri" w:cs="Calibri" w:eastAsia="Calibri" w:hAnsi="Calibri"/>
          <w:color w:val="1A1410"/>
          <w:sz w:val="22"/>
          <w:szCs w:val="22"/>
        </w:rPr>
        <w:t xml:space="preserve">SWE-bench Verified leaderboard — </w:t>
      </w:r>
      <w:hyperlink w:history="1" r:id="rIdnhxftfvs4k4xq1fh9ubow">
        <w:r>
          <w:rPr>
            <w:rFonts w:ascii="Calibri" w:cs="Calibri" w:eastAsia="Calibri" w:hAnsi="Calibri"/>
            <w:color w:val="0563C1"/>
            <w:sz w:val="22"/>
            <w:szCs w:val="22"/>
            <w:u w:val="single"/>
          </w:rPr>
          <w:t xml:space="preserve">https://www.swebench.com/verified.html</w:t>
        </w:r>
      </w:hyperlink>
    </w:p>
    <w:p>
      <w:pPr>
        <w:pStyle w:val="ListParagraph"/>
        <w:numPr>
          <w:ilvl w:val="0"/>
          <w:numId w:val="2"/>
        </w:numPr>
        <w:spacing w:after="40" w:before="40" w:line="280"/>
      </w:pPr>
      <w:r>
        <w:rPr>
          <w:rFonts w:ascii="Calibri" w:cs="Calibri" w:eastAsia="Calibri" w:hAnsi="Calibri"/>
          <w:color w:val="1A1410"/>
          <w:sz w:val="22"/>
          <w:szCs w:val="22"/>
        </w:rPr>
        <w:t xml:space="preserve">ARC-AGI-2 — </w:t>
      </w:r>
      <w:hyperlink w:history="1" r:id="rId03j7nwg86mbyulot4zr0c">
        <w:r>
          <w:rPr>
            <w:rFonts w:ascii="Calibri" w:cs="Calibri" w:eastAsia="Calibri" w:hAnsi="Calibri"/>
            <w:color w:val="0563C1"/>
            <w:sz w:val="22"/>
            <w:szCs w:val="22"/>
            <w:u w:val="single"/>
          </w:rPr>
          <w:t xml:space="preserve">https://arcprize.org/arc-agi/2</w:t>
        </w:r>
      </w:hyperlink>
    </w:p>
    <w:p>
      <w:pPr>
        <w:pStyle w:val="ListParagraph"/>
        <w:numPr>
          <w:ilvl w:val="0"/>
          <w:numId w:val="2"/>
        </w:numPr>
        <w:spacing w:after="40" w:before="40" w:line="280"/>
      </w:pPr>
      <w:r>
        <w:rPr>
          <w:rFonts w:ascii="Calibri" w:cs="Calibri" w:eastAsia="Calibri" w:hAnsi="Calibri"/>
          <w:color w:val="1A1410"/>
          <w:sz w:val="22"/>
          <w:szCs w:val="22"/>
        </w:rPr>
        <w:t xml:space="preserve">Mercury diffusion LM (Inception Labs) — </w:t>
      </w:r>
      <w:hyperlink w:history="1" r:id="rIdjzp7e034kgjghgknkhiry">
        <w:r>
          <w:rPr>
            <w:rFonts w:ascii="Calibri" w:cs="Calibri" w:eastAsia="Calibri" w:hAnsi="Calibri"/>
            <w:color w:val="0563C1"/>
            <w:sz w:val="22"/>
            <w:szCs w:val="22"/>
            <w:u w:val="single"/>
          </w:rPr>
          <w:t xml:space="preserve">https://www.inceptionlabs.ai/blog/introducing-mercury</w:t>
        </w:r>
      </w:hyperlink>
    </w:p>
    <w:p>
      <w:pPr>
        <w:pStyle w:val="ListParagraph"/>
        <w:numPr>
          <w:ilvl w:val="0"/>
          <w:numId w:val="2"/>
        </w:numPr>
        <w:spacing w:after="40" w:before="40" w:line="280"/>
      </w:pPr>
      <w:r>
        <w:rPr>
          <w:rFonts w:ascii="Calibri" w:cs="Calibri" w:eastAsia="Calibri" w:hAnsi="Calibri"/>
          <w:color w:val="1A1410"/>
          <w:sz w:val="22"/>
          <w:szCs w:val="22"/>
        </w:rPr>
        <w:t xml:space="preserve">vLLM documentation — </w:t>
      </w:r>
      <w:hyperlink w:history="1" r:id="rIdicj3axzd29iuz4xgvkiyg">
        <w:r>
          <w:rPr>
            <w:rFonts w:ascii="Calibri" w:cs="Calibri" w:eastAsia="Calibri" w:hAnsi="Calibri"/>
            <w:color w:val="0563C1"/>
            <w:sz w:val="22"/>
            <w:szCs w:val="22"/>
            <w:u w:val="single"/>
          </w:rPr>
          <w:t xml:space="preserve">https://docs.vllm.ai/en/latest/</w:t>
        </w:r>
      </w:hyperlink>
    </w:p>
    <w:p>
      <w:pPr>
        <w:pStyle w:val="ListParagraph"/>
        <w:numPr>
          <w:ilvl w:val="0"/>
          <w:numId w:val="2"/>
        </w:numPr>
        <w:spacing w:after="40" w:before="40" w:line="280"/>
      </w:pPr>
      <w:r>
        <w:rPr>
          <w:rFonts w:ascii="Calibri" w:cs="Calibri" w:eastAsia="Calibri" w:hAnsi="Calibri"/>
          <w:color w:val="1A1410"/>
          <w:sz w:val="22"/>
          <w:szCs w:val="22"/>
        </w:rPr>
        <w:t xml:space="preserve">SGLang RadixAttention — </w:t>
      </w:r>
      <w:hyperlink w:history="1" r:id="rIdeugsy_brmw6qvxn8q6abs">
        <w:r>
          <w:rPr>
            <w:rFonts w:ascii="Calibri" w:cs="Calibri" w:eastAsia="Calibri" w:hAnsi="Calibri"/>
            <w:color w:val="0563C1"/>
            <w:sz w:val="22"/>
            <w:szCs w:val="22"/>
            <w:u w:val="single"/>
          </w:rPr>
          <w:t xml:space="preserve">https://www.lmsys.org/blog/2024-01-17-sglang/</w:t>
        </w:r>
      </w:hyperlink>
    </w:p>
    <w:p>
      <w:pPr>
        <w:pStyle w:val="ListParagraph"/>
        <w:numPr>
          <w:ilvl w:val="0"/>
          <w:numId w:val="2"/>
        </w:numPr>
        <w:spacing w:after="40" w:before="40" w:line="280"/>
      </w:pPr>
      <w:r>
        <w:rPr>
          <w:rFonts w:ascii="Calibri" w:cs="Calibri" w:eastAsia="Calibri" w:hAnsi="Calibri"/>
          <w:color w:val="1A1410"/>
          <w:sz w:val="22"/>
          <w:szCs w:val="22"/>
        </w:rPr>
        <w:t xml:space="preserve">NVIDIA Dynamo — </w:t>
      </w:r>
      <w:hyperlink w:history="1" r:id="rId0qdhalloaqq3z6g_wippt">
        <w:r>
          <w:rPr>
            <w:rFonts w:ascii="Calibri" w:cs="Calibri" w:eastAsia="Calibri" w:hAnsi="Calibri"/>
            <w:color w:val="0563C1"/>
            <w:sz w:val="22"/>
            <w:szCs w:val="22"/>
            <w:u w:val="single"/>
          </w:rPr>
          <w:t xml:space="preserve">https://developer.nvidia.com/blog/introducing-nvidia-dynamo-a-low-latency-distributed-inference-framework-for-scaling-reasoning-ai-models/</w:t>
        </w:r>
      </w:hyperlink>
    </w:p>
    <w:p>
      <w:pPr>
        <w:pStyle w:val="ListParagraph"/>
        <w:numPr>
          <w:ilvl w:val="0"/>
          <w:numId w:val="2"/>
        </w:numPr>
        <w:spacing w:after="40" w:before="40" w:line="280"/>
      </w:pPr>
      <w:r>
        <w:rPr>
          <w:rFonts w:ascii="Calibri" w:cs="Calibri" w:eastAsia="Calibri" w:hAnsi="Calibri"/>
          <w:color w:val="1A1410"/>
          <w:sz w:val="22"/>
          <w:szCs w:val="22"/>
        </w:rPr>
        <w:t xml:space="preserve">EAGLE-3 speculative decoding — </w:t>
      </w:r>
      <w:hyperlink w:history="1" r:id="rIdkiini1k6drlrogcwoahbj">
        <w:r>
          <w:rPr>
            <w:rFonts w:ascii="Calibri" w:cs="Calibri" w:eastAsia="Calibri" w:hAnsi="Calibri"/>
            <w:color w:val="0563C1"/>
            <w:sz w:val="22"/>
            <w:szCs w:val="22"/>
            <w:u w:val="single"/>
          </w:rPr>
          <w:t xml:space="preserve">https://github.com/SafeAILab/EAGLE</w:t>
        </w:r>
      </w:hyperlink>
    </w:p>
    <w:p>
      <w:pPr>
        <w:pStyle w:val="ListParagraph"/>
        <w:numPr>
          <w:ilvl w:val="0"/>
          <w:numId w:val="2"/>
        </w:numPr>
        <w:spacing w:after="40" w:before="40" w:line="280"/>
      </w:pPr>
      <w:r>
        <w:rPr>
          <w:rFonts w:ascii="Calibri" w:cs="Calibri" w:eastAsia="Calibri" w:hAnsi="Calibri"/>
          <w:color w:val="1A1410"/>
          <w:sz w:val="22"/>
          <w:szCs w:val="22"/>
        </w:rPr>
        <w:t xml:space="preserve">Apple MLX research — </w:t>
      </w:r>
      <w:hyperlink w:history="1" r:id="rIdburzkmftwjje6sss9_csh">
        <w:r>
          <w:rPr>
            <w:rFonts w:ascii="Calibri" w:cs="Calibri" w:eastAsia="Calibri" w:hAnsi="Calibri"/>
            <w:color w:val="0563C1"/>
            <w:sz w:val="22"/>
            <w:szCs w:val="22"/>
            <w:u w:val="single"/>
          </w:rPr>
          <w:t xml:space="preserve">https://machinelearning.apple.com/research/exploring-llms-mlx-m5</w:t>
        </w:r>
      </w:hyperlink>
    </w:p>
    <w:p>
      <w:pPr>
        <w:pStyle w:val="ListParagraph"/>
        <w:numPr>
          <w:ilvl w:val="0"/>
          <w:numId w:val="2"/>
        </w:numPr>
        <w:spacing w:after="40" w:before="40" w:line="280"/>
      </w:pPr>
      <w:r>
        <w:rPr>
          <w:rFonts w:ascii="Calibri" w:cs="Calibri" w:eastAsia="Calibri" w:hAnsi="Calibri"/>
          <w:color w:val="1A1410"/>
          <w:sz w:val="22"/>
          <w:szCs w:val="22"/>
        </w:rPr>
        <w:t xml:space="preserve">MCP one-year anniversary — </w:t>
      </w:r>
      <w:hyperlink w:history="1" r:id="rIdaef99t_3ywnnudsnnku_9">
        <w:r>
          <w:rPr>
            <w:rFonts w:ascii="Calibri" w:cs="Calibri" w:eastAsia="Calibri" w:hAnsi="Calibri"/>
            <w:color w:val="0563C1"/>
            <w:sz w:val="22"/>
            <w:szCs w:val="22"/>
            <w:u w:val="single"/>
          </w:rPr>
          <w:t xml:space="preserve">https://blog.modelcontextprotocol.io/posts/2025-11-25-first-mcp-anniversary/</w:t>
        </w:r>
      </w:hyperlink>
    </w:p>
    <w:p>
      <w:pPr>
        <w:pStyle w:val="ListParagraph"/>
        <w:numPr>
          <w:ilvl w:val="0"/>
          <w:numId w:val="2"/>
        </w:numPr>
        <w:spacing w:after="40" w:before="40" w:line="280"/>
      </w:pPr>
      <w:r>
        <w:rPr>
          <w:rFonts w:ascii="Calibri" w:cs="Calibri" w:eastAsia="Calibri" w:hAnsi="Calibri"/>
          <w:color w:val="1A1410"/>
          <w:sz w:val="22"/>
          <w:szCs w:val="22"/>
        </w:rPr>
        <w:t xml:space="preserve">Anthropic Claude Agent SDK comparison — </w:t>
      </w:r>
      <w:hyperlink w:history="1" r:id="rIdfpe8sbkzmljwvmyjvyzsu">
        <w:r>
          <w:rPr>
            <w:rFonts w:ascii="Calibri" w:cs="Calibri" w:eastAsia="Calibri" w:hAnsi="Calibri"/>
            <w:color w:val="0563C1"/>
            <w:sz w:val="22"/>
            <w:szCs w:val="22"/>
            <w:u w:val="single"/>
          </w:rPr>
          <w:t xml:space="preserve">https://composio.dev/content/claude-agents-sdk-vs-openai-agents-sdk-vs-google-adk</w:t>
        </w:r>
      </w:hyperlink>
    </w:p>
    <w:p>
      <w:pPr>
        <w:pStyle w:val="ListParagraph"/>
        <w:numPr>
          <w:ilvl w:val="0"/>
          <w:numId w:val="2"/>
        </w:numPr>
        <w:spacing w:after="40" w:before="40" w:line="280"/>
      </w:pPr>
      <w:r>
        <w:rPr>
          <w:rFonts w:ascii="Calibri" w:cs="Calibri" w:eastAsia="Calibri" w:hAnsi="Calibri"/>
          <w:color w:val="1A1410"/>
          <w:sz w:val="22"/>
          <w:szCs w:val="22"/>
        </w:rPr>
        <w:t xml:space="preserve">Vercel AI Gateway vs OpenRouter — </w:t>
      </w:r>
      <w:hyperlink w:history="1" r:id="rIdgn577yrk2nr2j_bnrkt_4">
        <w:r>
          <w:rPr>
            <w:rFonts w:ascii="Calibri" w:cs="Calibri" w:eastAsia="Calibri" w:hAnsi="Calibri"/>
            <w:color w:val="0563C1"/>
            <w:sz w:val="22"/>
            <w:szCs w:val="22"/>
            <w:u w:val="single"/>
          </w:rPr>
          <w:t xml:space="preserve">https://www.truefoundry.com/blog/vercel-ai-gateway-vs-openrouter</w:t>
        </w:r>
      </w:hyperlink>
    </w:p>
    <w:p>
      <w:pPr>
        <w:pStyle w:val="ListParagraph"/>
        <w:numPr>
          <w:ilvl w:val="0"/>
          <w:numId w:val="2"/>
        </w:numPr>
        <w:spacing w:after="40" w:before="40" w:line="280"/>
      </w:pPr>
      <w:r>
        <w:rPr>
          <w:rFonts w:ascii="Calibri" w:cs="Calibri" w:eastAsia="Calibri" w:hAnsi="Calibri"/>
          <w:color w:val="1A1410"/>
          <w:sz w:val="22"/>
          <w:szCs w:val="22"/>
        </w:rPr>
        <w:t xml:space="preserve">Vector database comparison — </w:t>
      </w:r>
      <w:hyperlink w:history="1" r:id="rId6jqtsmzbru9rwxuieu0x4">
        <w:r>
          <w:rPr>
            <w:rFonts w:ascii="Calibri" w:cs="Calibri" w:eastAsia="Calibri" w:hAnsi="Calibri"/>
            <w:color w:val="0563C1"/>
            <w:sz w:val="22"/>
            <w:szCs w:val="22"/>
            <w:u w:val="single"/>
          </w:rPr>
          <w:t xml:space="preserve">https://liquidmetal.ai/casesAndBlogs/vector-comparison/</w:t>
        </w:r>
      </w:hyperlink>
    </w:p>
    <w:p>
      <w:pPr>
        <w:pStyle w:val="ListParagraph"/>
        <w:numPr>
          <w:ilvl w:val="0"/>
          <w:numId w:val="2"/>
        </w:numPr>
        <w:spacing w:after="40" w:before="40" w:line="280"/>
      </w:pPr>
      <w:r>
        <w:rPr>
          <w:rFonts w:ascii="Calibri" w:cs="Calibri" w:eastAsia="Calibri" w:hAnsi="Calibri"/>
          <w:color w:val="1A1410"/>
          <w:sz w:val="22"/>
          <w:szCs w:val="22"/>
        </w:rPr>
        <w:t xml:space="preserve">Voyage-3-large — </w:t>
      </w:r>
      <w:hyperlink w:history="1" r:id="rIdv1fyqpkmijqenumsfnb_x">
        <w:r>
          <w:rPr>
            <w:rFonts w:ascii="Calibri" w:cs="Calibri" w:eastAsia="Calibri" w:hAnsi="Calibri"/>
            <w:color w:val="0563C1"/>
            <w:sz w:val="22"/>
            <w:szCs w:val="22"/>
            <w:u w:val="single"/>
          </w:rPr>
          <w:t xml:space="preserve">https://blog.voyageai.com/2025/01/07/voyage-3-large/</w:t>
        </w:r>
      </w:hyperlink>
    </w:p>
    <w:p>
      <w:pPr>
        <w:pStyle w:val="ListParagraph"/>
        <w:numPr>
          <w:ilvl w:val="0"/>
          <w:numId w:val="2"/>
        </w:numPr>
        <w:spacing w:after="40" w:before="40" w:line="280"/>
      </w:pPr>
      <w:r>
        <w:rPr>
          <w:rFonts w:ascii="Calibri" w:cs="Calibri" w:eastAsia="Calibri" w:hAnsi="Calibri"/>
          <w:color w:val="1A1410"/>
          <w:sz w:val="22"/>
          <w:szCs w:val="22"/>
        </w:rPr>
        <w:t xml:space="preserve">Cognition Devin 2.0 — </w:t>
      </w:r>
      <w:hyperlink w:history="1" r:id="rIdnznlzgdzqaznyw028romk">
        <w:r>
          <w:rPr>
            <w:rFonts w:ascii="Calibri" w:cs="Calibri" w:eastAsia="Calibri" w:hAnsi="Calibri"/>
            <w:color w:val="0563C1"/>
            <w:sz w:val="22"/>
            <w:szCs w:val="22"/>
            <w:u w:val="single"/>
          </w:rPr>
          <w:t xml:space="preserve">https://cognition.ai/blog/devin-2</w:t>
        </w:r>
      </w:hyperlink>
    </w:p>
    <w:p>
      <w:pPr>
        <w:pStyle w:val="ListParagraph"/>
        <w:numPr>
          <w:ilvl w:val="0"/>
          <w:numId w:val="2"/>
        </w:numPr>
        <w:spacing w:after="40" w:before="40" w:line="280"/>
      </w:pPr>
      <w:r>
        <w:rPr>
          <w:rFonts w:ascii="Calibri" w:cs="Calibri" w:eastAsia="Calibri" w:hAnsi="Calibri"/>
          <w:color w:val="1A1410"/>
          <w:sz w:val="22"/>
          <w:szCs w:val="22"/>
        </w:rPr>
        <w:t xml:space="preserve">ChatGPT market share 2025 — </w:t>
      </w:r>
      <w:hyperlink w:history="1" r:id="rIdtayi2aozyrqqhkqom1es2">
        <w:r>
          <w:rPr>
            <w:rFonts w:ascii="Calibri" w:cs="Calibri" w:eastAsia="Calibri" w:hAnsi="Calibri"/>
            <w:color w:val="0563C1"/>
            <w:sz w:val="22"/>
            <w:szCs w:val="22"/>
            <w:u w:val="single"/>
          </w:rPr>
          <w:t xml:space="preserve">https://hyperight.com/chatgpt-dominates-with-66-market-share-as-gemini-and-grok-record-rapid-growth-in-2025/</w:t>
        </w:r>
      </w:hyperlink>
    </w:p>
    <w:p>
      <w:pPr>
        <w:pStyle w:val="ListParagraph"/>
        <w:numPr>
          <w:ilvl w:val="0"/>
          <w:numId w:val="2"/>
        </w:numPr>
        <w:spacing w:after="40" w:before="40" w:line="280"/>
      </w:pPr>
      <w:r>
        <w:rPr>
          <w:rFonts w:ascii="Calibri" w:cs="Calibri" w:eastAsia="Calibri" w:hAnsi="Calibri"/>
          <w:color w:val="1A1410"/>
          <w:sz w:val="22"/>
          <w:szCs w:val="22"/>
        </w:rPr>
        <w:t xml:space="preserve">PyTorch ExecuTorch 1.0 — </w:t>
      </w:r>
      <w:hyperlink w:history="1" r:id="rId2k_spm3jsm2d0hfnakzeq">
        <w:r>
          <w:rPr>
            <w:rFonts w:ascii="Calibri" w:cs="Calibri" w:eastAsia="Calibri" w:hAnsi="Calibri"/>
            <w:color w:val="0563C1"/>
            <w:sz w:val="22"/>
            <w:szCs w:val="22"/>
            <w:u w:val="single"/>
          </w:rPr>
          <w:t xml:space="preserve">https://pytorch.org/blog/introducing-executorch-1-0/</w:t>
        </w:r>
      </w:hyperlink>
    </w:p>
    <w:p>
      <w:pPr>
        <w:pStyle w:val="ListParagraph"/>
        <w:numPr>
          <w:ilvl w:val="0"/>
          <w:numId w:val="2"/>
        </w:numPr>
        <w:spacing w:after="40" w:before="40" w:line="280"/>
      </w:pPr>
      <w:r>
        <w:rPr>
          <w:rFonts w:ascii="Calibri" w:cs="Calibri" w:eastAsia="Calibri" w:hAnsi="Calibri"/>
          <w:color w:val="1A1410"/>
          <w:sz w:val="22"/>
          <w:szCs w:val="22"/>
        </w:rPr>
        <w:t xml:space="preserve">Apple Intelligence + Gemini — </w:t>
      </w:r>
      <w:hyperlink w:history="1" r:id="rIdcgzvzoftkimpyi7m1r709">
        <w:r>
          <w:rPr>
            <w:rFonts w:ascii="Calibri" w:cs="Calibri" w:eastAsia="Calibri" w:hAnsi="Calibri"/>
            <w:color w:val="0563C1"/>
            <w:sz w:val="22"/>
            <w:szCs w:val="22"/>
            <w:u w:val="single"/>
          </w:rPr>
          <w:t xml:space="preserve">https://fortune.com/2026/01/13/apple-ai-deal-with-google-gemini-means-for-google-apple-openai/</w:t>
        </w:r>
      </w:hyperlink>
    </w:p>
    <w:p>
      <w:pPr>
        <w:pStyle w:val="ListParagraph"/>
        <w:numPr>
          <w:ilvl w:val="0"/>
          <w:numId w:val="2"/>
        </w:numPr>
        <w:spacing w:after="40" w:before="40" w:line="280"/>
      </w:pPr>
      <w:r>
        <w:rPr>
          <w:rFonts w:ascii="Calibri" w:cs="Calibri" w:eastAsia="Calibri" w:hAnsi="Calibri"/>
          <w:color w:val="1A1410"/>
          <w:sz w:val="22"/>
          <w:szCs w:val="22"/>
        </w:rPr>
        <w:t xml:space="preserve">Anthropic RSP v3.0 — </w:t>
      </w:r>
      <w:hyperlink w:history="1" r:id="rIdsmri2olkscfxct938rmqc">
        <w:r>
          <w:rPr>
            <w:rFonts w:ascii="Calibri" w:cs="Calibri" w:eastAsia="Calibri" w:hAnsi="Calibri"/>
            <w:color w:val="0563C1"/>
            <w:sz w:val="22"/>
            <w:szCs w:val="22"/>
            <w:u w:val="single"/>
          </w:rPr>
          <w:t xml:space="preserve">https://www-cdn.anthropic.com/e670587677525f28df69b59e5fb4c22cc5461a17.pdf</w:t>
        </w:r>
      </w:hyperlink>
    </w:p>
    <w:p>
      <w:pPr>
        <w:pStyle w:val="ListParagraph"/>
        <w:numPr>
          <w:ilvl w:val="0"/>
          <w:numId w:val="2"/>
        </w:numPr>
        <w:spacing w:after="40" w:before="40" w:line="280"/>
      </w:pPr>
      <w:r>
        <w:rPr>
          <w:rFonts w:ascii="Calibri" w:cs="Calibri" w:eastAsia="Calibri" w:hAnsi="Calibri"/>
          <w:color w:val="1A1410"/>
          <w:sz w:val="22"/>
          <w:szCs w:val="22"/>
        </w:rPr>
        <w:t xml:space="preserve">OpenAI Preparedness Framework v2 — </w:t>
      </w:r>
      <w:hyperlink w:history="1" r:id="rIdauclbxdpj-8mkorak9yid">
        <w:r>
          <w:rPr>
            <w:rFonts w:ascii="Calibri" w:cs="Calibri" w:eastAsia="Calibri" w:hAnsi="Calibri"/>
            <w:color w:val="0563C1"/>
            <w:sz w:val="22"/>
            <w:szCs w:val="22"/>
            <w:u w:val="single"/>
          </w:rPr>
          <w:t xml:space="preserve">https://cdn.openai.com/pdf/18a02b5d-6b67-4cec-ab64-68cdfbddebcd/preparedness-framework-v2.pdf</w:t>
        </w:r>
      </w:hyperlink>
    </w:p>
    <w:p>
      <w:pPr>
        <w:pStyle w:val="ListParagraph"/>
        <w:numPr>
          <w:ilvl w:val="0"/>
          <w:numId w:val="2"/>
        </w:numPr>
        <w:spacing w:after="40" w:before="40" w:line="280"/>
      </w:pPr>
      <w:r>
        <w:rPr>
          <w:rFonts w:ascii="Calibri" w:cs="Calibri" w:eastAsia="Calibri" w:hAnsi="Calibri"/>
          <w:color w:val="1A1410"/>
          <w:sz w:val="22"/>
          <w:szCs w:val="22"/>
        </w:rPr>
        <w:t xml:space="preserve">EU AI Act Implementation Timeline — </w:t>
      </w:r>
      <w:hyperlink w:history="1" r:id="rIdkbg9ihbqm3mjybqwhibu3">
        <w:r>
          <w:rPr>
            <w:rFonts w:ascii="Calibri" w:cs="Calibri" w:eastAsia="Calibri" w:hAnsi="Calibri"/>
            <w:color w:val="0563C1"/>
            <w:sz w:val="22"/>
            <w:szCs w:val="22"/>
            <w:u w:val="single"/>
          </w:rPr>
          <w:t xml:space="preserve">https://artificialintelligenceact.eu/implementation-timeline/</w:t>
        </w:r>
      </w:hyperlink>
    </w:p>
    <w:p>
      <w:pPr>
        <w:pStyle w:val="ListParagraph"/>
        <w:numPr>
          <w:ilvl w:val="0"/>
          <w:numId w:val="2"/>
        </w:numPr>
        <w:spacing w:after="40" w:before="40" w:line="280"/>
      </w:pPr>
      <w:r>
        <w:rPr>
          <w:rFonts w:ascii="Calibri" w:cs="Calibri" w:eastAsia="Calibri" w:hAnsi="Calibri"/>
          <w:color w:val="1A1410"/>
          <w:sz w:val="22"/>
          <w:szCs w:val="22"/>
        </w:rPr>
        <w:t xml:space="preserve">California SB 53 Frontier AI Law — </w:t>
      </w:r>
      <w:hyperlink w:history="1" r:id="rIdkdqtr-4ym_2alarjdvqnf">
        <w:r>
          <w:rPr>
            <w:rFonts w:ascii="Calibri" w:cs="Calibri" w:eastAsia="Calibri" w:hAnsi="Calibri"/>
            <w:color w:val="0563C1"/>
            <w:sz w:val="22"/>
            <w:szCs w:val="22"/>
            <w:u w:val="single"/>
          </w:rPr>
          <w:t xml:space="preserve">https://carnegieendowment.org/emissary/2025/10/california-sb-53-frontier-ai-law-what-it-does</w:t>
        </w:r>
      </w:hyperlink>
    </w:p>
    <w:p>
      <w:pPr>
        <w:pStyle w:val="ListParagraph"/>
        <w:numPr>
          <w:ilvl w:val="0"/>
          <w:numId w:val="2"/>
        </w:numPr>
        <w:spacing w:after="40" w:before="40" w:line="280"/>
      </w:pPr>
      <w:r>
        <w:rPr>
          <w:rFonts w:ascii="Calibri" w:cs="Calibri" w:eastAsia="Calibri" w:hAnsi="Calibri"/>
          <w:color w:val="1A1410"/>
          <w:sz w:val="22"/>
          <w:szCs w:val="22"/>
        </w:rPr>
        <w:t xml:space="preserve">UK AI Security Institute — </w:t>
      </w:r>
      <w:hyperlink w:history="1" r:id="rIddz_o0ndv5l7aks7tdzmdk">
        <w:r>
          <w:rPr>
            <w:rFonts w:ascii="Calibri" w:cs="Calibri" w:eastAsia="Calibri" w:hAnsi="Calibri"/>
            <w:color w:val="0563C1"/>
            <w:sz w:val="22"/>
            <w:szCs w:val="22"/>
            <w:u w:val="single"/>
          </w:rPr>
          <w:t xml:space="preserve">https://www.aisi.gov.uk/</w:t>
        </w:r>
      </w:hyperlink>
    </w:p>
    <w:p>
      <w:pPr>
        <w:pStyle w:val="ListParagraph"/>
        <w:numPr>
          <w:ilvl w:val="0"/>
          <w:numId w:val="2"/>
        </w:numPr>
        <w:spacing w:after="40" w:before="40" w:line="280"/>
      </w:pPr>
      <w:r>
        <w:rPr>
          <w:rFonts w:ascii="Calibri" w:cs="Calibri" w:eastAsia="Calibri" w:hAnsi="Calibri"/>
          <w:color w:val="1A1410"/>
          <w:sz w:val="22"/>
          <w:szCs w:val="22"/>
        </w:rPr>
        <w:t xml:space="preserve">TAKE IT DOWN Act — </w:t>
      </w:r>
      <w:hyperlink w:history="1" r:id="rIdgjotk-v_xu-4mecut1uxy">
        <w:r>
          <w:rPr>
            <w:rFonts w:ascii="Calibri" w:cs="Calibri" w:eastAsia="Calibri" w:hAnsi="Calibri"/>
            <w:color w:val="0563C1"/>
            <w:sz w:val="22"/>
            <w:szCs w:val="22"/>
            <w:u w:val="single"/>
          </w:rPr>
          <w:t xml:space="preserve">https://www.skadden.com/insights/publications/2025/06/take-it-down-act</w:t>
        </w:r>
      </w:hyperlink>
    </w:p>
    <w:p>
      <w:pPr>
        <w:pStyle w:val="ListParagraph"/>
        <w:numPr>
          <w:ilvl w:val="0"/>
          <w:numId w:val="2"/>
        </w:numPr>
        <w:spacing w:after="40" w:before="40" w:line="280"/>
      </w:pPr>
      <w:r>
        <w:rPr>
          <w:rFonts w:ascii="Calibri" w:cs="Calibri" w:eastAsia="Calibri" w:hAnsi="Calibri"/>
          <w:color w:val="1A1410"/>
          <w:sz w:val="22"/>
          <w:szCs w:val="22"/>
        </w:rPr>
        <w:t xml:space="preserve">Hyperscaler 2026 capex projections — </w:t>
      </w:r>
      <w:hyperlink w:history="1" r:id="rIdeybod7vphvgpevtafwaim">
        <w:r>
          <w:rPr>
            <w:rFonts w:ascii="Calibri" w:cs="Calibri" w:eastAsia="Calibri" w:hAnsi="Calibri"/>
            <w:color w:val="0563C1"/>
            <w:sz w:val="22"/>
            <w:szCs w:val="22"/>
            <w:u w:val="single"/>
          </w:rPr>
          <w:t xml:space="preserve">https://fortune.com/2026/04/30/big-tech-hyperscalers-will-spend-700-billion-on-ai-infrastructure-this-year-with-no-clear-end-in-sight-eye-on-ai/</w:t>
        </w:r>
      </w:hyperlink>
    </w:p>
    <w:p>
      <w:pPr>
        <w:pStyle w:val="ListParagraph"/>
        <w:numPr>
          <w:ilvl w:val="0"/>
          <w:numId w:val="2"/>
        </w:numPr>
        <w:spacing w:after="40" w:before="40" w:line="280"/>
      </w:pPr>
      <w:r>
        <w:rPr>
          <w:rFonts w:ascii="Calibri" w:cs="Calibri" w:eastAsia="Calibri" w:hAnsi="Calibri"/>
          <w:color w:val="1A1410"/>
          <w:sz w:val="22"/>
          <w:szCs w:val="22"/>
        </w:rPr>
        <w:t xml:space="preserve">Stargate announcement — </w:t>
      </w:r>
      <w:hyperlink w:history="1" r:id="rId7si2kl-1yhdzgcac1tfhe">
        <w:r>
          <w:rPr>
            <w:rFonts w:ascii="Calibri" w:cs="Calibri" w:eastAsia="Calibri" w:hAnsi="Calibri"/>
            <w:color w:val="0563C1"/>
            <w:sz w:val="22"/>
            <w:szCs w:val="22"/>
            <w:u w:val="single"/>
          </w:rPr>
          <w:t xml:space="preserve">https://openai.com/index/announcing-the-stargate-project/</w:t>
        </w:r>
      </w:hyperlink>
    </w:p>
    <w:p>
      <w:pPr>
        <w:pStyle w:val="ListParagraph"/>
        <w:numPr>
          <w:ilvl w:val="0"/>
          <w:numId w:val="2"/>
        </w:numPr>
        <w:spacing w:after="40" w:before="40" w:line="280"/>
      </w:pPr>
      <w:r>
        <w:rPr>
          <w:rFonts w:ascii="Calibri" w:cs="Calibri" w:eastAsia="Calibri" w:hAnsi="Calibri"/>
          <w:color w:val="1A1410"/>
          <w:sz w:val="22"/>
          <w:szCs w:val="22"/>
        </w:rPr>
        <w:t xml:space="preserve">Anthropic ARR trajectory — </w:t>
      </w:r>
      <w:hyperlink w:history="1" r:id="rId_ljoqkg9btxwvyb6vncqg">
        <w:r>
          <w:rPr>
            <w:rFonts w:ascii="Calibri" w:cs="Calibri" w:eastAsia="Calibri" w:hAnsi="Calibri"/>
            <w:color w:val="0563C1"/>
            <w:sz w:val="22"/>
            <w:szCs w:val="22"/>
            <w:u w:val="single"/>
          </w:rPr>
          <w:t xml:space="preserve">https://epoch.ai/data-insights/anthropic-openai-revenue</w:t>
        </w:r>
      </w:hyperlink>
    </w:p>
    <w:p>
      <w:pPr>
        <w:pStyle w:val="ListParagraph"/>
        <w:numPr>
          <w:ilvl w:val="0"/>
          <w:numId w:val="2"/>
        </w:numPr>
        <w:spacing w:after="40" w:before="40" w:line="280"/>
      </w:pPr>
      <w:r>
        <w:rPr>
          <w:rFonts w:ascii="Calibri" w:cs="Calibri" w:eastAsia="Calibri" w:hAnsi="Calibri"/>
          <w:color w:val="1A1410"/>
          <w:sz w:val="22"/>
          <w:szCs w:val="22"/>
        </w:rPr>
        <w:t xml:space="preserve">Meta AI compensation strategy — </w:t>
      </w:r>
      <w:hyperlink w:history="1" r:id="rIdxvyfzwl9lg9ve9cqbwuej">
        <w:r>
          <w:rPr>
            <w:rFonts w:ascii="Calibri" w:cs="Calibri" w:eastAsia="Calibri" w:hAnsi="Calibri"/>
            <w:color w:val="0563C1"/>
            <w:sz w:val="22"/>
            <w:szCs w:val="22"/>
            <w:u w:val="single"/>
          </w:rPr>
          <w:t xml:space="preserve">https://fortune.com/2025/07/11/how-much-ai-salary-meta-zuckerberg-200-million-compensation/</w:t>
        </w:r>
      </w:hyperlink>
    </w:p>
    <w:p>
      <w:pPr>
        <w:pStyle w:val="ListParagraph"/>
        <w:numPr>
          <w:ilvl w:val="0"/>
          <w:numId w:val="2"/>
        </w:numPr>
        <w:spacing w:after="40" w:before="40" w:line="280"/>
      </w:pPr>
      <w:r>
        <w:rPr>
          <w:rFonts w:ascii="Calibri" w:cs="Calibri" w:eastAsia="Calibri" w:hAnsi="Calibri"/>
          <w:color w:val="1A1410"/>
          <w:sz w:val="22"/>
          <w:szCs w:val="22"/>
        </w:rPr>
        <w:t xml:space="preserve">Anthropic circuit tracing — </w:t>
      </w:r>
      <w:hyperlink w:history="1" r:id="rIdbdkvvih8jocaozmun8xsq">
        <w:r>
          <w:rPr>
            <w:rFonts w:ascii="Calibri" w:cs="Calibri" w:eastAsia="Calibri" w:hAnsi="Calibri"/>
            <w:color w:val="0563C1"/>
            <w:sz w:val="22"/>
            <w:szCs w:val="22"/>
            <w:u w:val="single"/>
          </w:rPr>
          <w:t xml:space="preserve">https://transformer-circuits.pub/2025/attribution-graphs/methods.html</w:t>
        </w:r>
      </w:hyperlink>
    </w:p>
    <w:p>
      <w:pPr>
        <w:pStyle w:val="ListParagraph"/>
        <w:numPr>
          <w:ilvl w:val="0"/>
          <w:numId w:val="2"/>
        </w:numPr>
        <w:spacing w:after="40" w:before="40" w:line="280"/>
      </w:pPr>
      <w:r>
        <w:rPr>
          <w:rFonts w:ascii="Calibri" w:cs="Calibri" w:eastAsia="Calibri" w:hAnsi="Calibri"/>
          <w:color w:val="1A1410"/>
          <w:sz w:val="22"/>
          <w:szCs w:val="22"/>
        </w:rPr>
        <w:t xml:space="preserve">Stargate UAE 1 GW — </w:t>
      </w:r>
      <w:hyperlink w:history="1" r:id="rIdli7cn7a0nf4pmvicyrnno">
        <w:r>
          <w:rPr>
            <w:rFonts w:ascii="Calibri" w:cs="Calibri" w:eastAsia="Calibri" w:hAnsi="Calibri"/>
            <w:color w:val="0563C1"/>
            <w:sz w:val="22"/>
            <w:szCs w:val="22"/>
            <w:u w:val="single"/>
          </w:rPr>
          <w:t xml:space="preserve">https://semianalysis.com/2025/05/16/ai-arrives-in-the-middle-east-us-strikes-a-deal-with-uae-and-ksa/</w:t>
        </w:r>
      </w:hyperlink>
    </w:p>
    <w:p>
      <w:pPr>
        <w:pStyle w:val="ListParagraph"/>
        <w:numPr>
          <w:ilvl w:val="0"/>
          <w:numId w:val="2"/>
        </w:numPr>
        <w:spacing w:after="40" w:before="40" w:line="280"/>
      </w:pPr>
      <w:r>
        <w:rPr>
          <w:rFonts w:ascii="Calibri" w:cs="Calibri" w:eastAsia="Calibri" w:hAnsi="Calibri"/>
          <w:color w:val="1A1410"/>
          <w:sz w:val="22"/>
          <w:szCs w:val="22"/>
        </w:rPr>
        <w:t xml:space="preserve">TSMC $165B US expansion — </w:t>
      </w:r>
      <w:hyperlink w:history="1" r:id="rIdgf9y2tyqahxin2_s2kz5d">
        <w:r>
          <w:rPr>
            <w:rFonts w:ascii="Calibri" w:cs="Calibri" w:eastAsia="Calibri" w:hAnsi="Calibri"/>
            <w:color w:val="0563C1"/>
            <w:sz w:val="22"/>
            <w:szCs w:val="22"/>
            <w:u w:val="single"/>
          </w:rPr>
          <w:t xml:space="preserve">https://pr.tsmc.com/english/news/3210</w:t>
        </w:r>
      </w:hyperlink>
    </w:p>
    <w:p>
      <w:pPr>
        <w:pStyle w:val="ListParagraph"/>
        <w:numPr>
          <w:ilvl w:val="0"/>
          <w:numId w:val="2"/>
        </w:numPr>
        <w:spacing w:after="40" w:before="40" w:line="280"/>
      </w:pPr>
      <w:r>
        <w:rPr>
          <w:rFonts w:ascii="Calibri" w:cs="Calibri" w:eastAsia="Calibri" w:hAnsi="Calibri"/>
          <w:color w:val="1A1410"/>
          <w:sz w:val="22"/>
          <w:szCs w:val="22"/>
        </w:rPr>
        <w:t xml:space="preserve">Stanford Canaries in the Coal Mine — </w:t>
      </w:r>
      <w:hyperlink w:history="1" r:id="rIdzc6vujikaeisrnihqga7t">
        <w:r>
          <w:rPr>
            <w:rFonts w:ascii="Calibri" w:cs="Calibri" w:eastAsia="Calibri" w:hAnsi="Calibri"/>
            <w:color w:val="0563C1"/>
            <w:sz w:val="22"/>
            <w:szCs w:val="22"/>
            <w:u w:val="single"/>
          </w:rPr>
          <w:t xml:space="preserve">https://digitaleconomy.stanford.edu/wp-content/uploads/2025/08/Canaries_BrynjolfssonChandarChen.pdf</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Georgia" w:cs="Georgia" w:eastAsia="Georgia" w:hAnsi="Georgia"/>
        <w:i/>
        <w:iCs/>
        <w:color w:val="6E6356"/>
        <w:sz w:val="16"/>
        <w:szCs w:val="16"/>
      </w:rPr>
      <w:t xml:space="preserve">Compiled for A. Yedi · 2026</w:t>
    </w:r>
    <w:r>
      <w:rPr>
        <w:rFonts w:ascii="Georgia" w:cs="Georgia" w:eastAsia="Georgia" w:hAnsi="Georgia"/>
      </w:rPr>
      <w:t xml:space="preserve">	</w:t>
    </w:r>
    <w:r>
      <w:rPr>
        <w:rFonts w:ascii="Georgia" w:cs="Georgia" w:eastAsia="Georgia" w:hAnsi="Georgia"/>
        <w:color w:val="6E6356"/>
        <w:sz w:val="16"/>
        <w:szCs w:val="16"/>
      </w:rPr>
      <w:t xml:space="preserve">Page </w:t>
    </w:r>
    <w:r>
      <w:rPr>
        <w:rFonts w:ascii="Georgia" w:cs="Georgia" w:eastAsia="Georgia" w:hAnsi="Georgia"/>
        <w:color w:val="6E635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E6356"/>
        <w:sz w:val="14"/>
        <w:szCs w:val="14"/>
      </w:rPr>
      <w:t xml:space="preserve">THE AI STACK · A FOUNDATION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410"/>
      <w:sz w:val="40"/>
      <w:szCs w:val="40"/>
    </w:rPr>
  </w:style>
  <w:style w:type="paragraph" w:styleId="Heading2">
    <w:name w:val="Heading 2"/>
    <w:basedOn w:val="Normal"/>
    <w:next w:val="Normal"/>
    <w:qFormat/>
    <w:pPr>
      <w:spacing w:after="160" w:before="320"/>
      <w:outlineLvl w:val="1"/>
    </w:pPr>
    <w:rPr>
      <w:rFonts w:ascii="Georgia" w:cs="Georgia" w:eastAsia="Georgia" w:hAnsi="Georgia"/>
      <w:b/>
      <w:bCs/>
      <w:color w:val="1A1410"/>
      <w:sz w:val="30"/>
      <w:szCs w:val="30"/>
    </w:rPr>
  </w:style>
  <w:style w:type="paragraph" w:styleId="Heading3">
    <w:name w:val="Heading 3"/>
    <w:basedOn w:val="Normal"/>
    <w:next w:val="Normal"/>
    <w:qFormat/>
    <w:pPr>
      <w:spacing w:after="100" w:before="240"/>
      <w:outlineLvl w:val="2"/>
    </w:pPr>
    <w:rPr>
      <w:rFonts w:ascii="Georgia" w:cs="Georgia" w:eastAsia="Georgia" w:hAnsi="Georgia"/>
      <w:b/>
      <w:bCs/>
      <w:color w:val="A637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igbygmf_zz_2n1vqnj8d" Type="http://schemas.openxmlformats.org/officeDocument/2006/relationships/hyperlink" Target="https://www.iea.org/reports/electricity-2026" TargetMode="External"/><Relationship Id="rId5golpj5twt7gvgkzye45n" Type="http://schemas.openxmlformats.org/officeDocument/2006/relationships/hyperlink" Target="https://www.iea.org/news/data-centre-electricity-use-surged-in-2025-even-with-tightening-bottlenecks-driving-a-scramble-for-solutions" TargetMode="External"/><Relationship Id="rIdwdpimv2lemmh54ovw8rtc" Type="http://schemas.openxmlformats.org/officeDocument/2006/relationships/hyperlink" Target="https://www.epri.com/about/media-resources/press-release/trb5wwt7oemdbkaamxrccqkq2ktteae8" TargetMode="External"/><Relationship Id="rIdox1qhmto4ff4dljlk6l_a" Type="http://schemas.openxmlformats.org/officeDocument/2006/relationships/hyperlink" Target="https://www.datacenterdynamics.com/en/news/three-mile-island-nuclear-power-plant-to-return-as-microsoft-signs-20-year-835mw-ai-data-center-ppa/" TargetMode="External"/><Relationship Id="rId68fx6d_larkvs1dzyjxqq" Type="http://schemas.openxmlformats.org/officeDocument/2006/relationships/hyperlink" Target="https://www.utilitydive.com/news/talen-amazon-aws-susquehanna-nuclear-data-centert/750440/" TargetMode="External"/><Relationship Id="rIdorqonpwl1ex64uen2cyzi" Type="http://schemas.openxmlformats.org/officeDocument/2006/relationships/hyperlink" Target="https://www.powermag.com/amazon-backs-massive-nuclear-smr-deployment-5-gw-with-x-energy-agreements-with-energy-northwest-dominion/" TargetMode="External"/><Relationship Id="rIdqrq5iqefuzhrt6pgfam3e" Type="http://schemas.openxmlformats.org/officeDocument/2006/relationships/hyperlink" Target="https://www.utilitydive.com/news/google-kairos-power-advanced-nuclear-reactor-data-center-electricity-demand-ai/729876/" TargetMode="External"/><Relationship Id="rId_8fd19_iij_1_iysrxnwq" Type="http://schemas.openxmlformats.org/officeDocument/2006/relationships/hyperlink" Target="https://fortune.com/2026/03/27/meta-hyperion-10-gas-power-plants-louisiana-entergy/" TargetMode="External"/><Relationship Id="rIdayzl-wc2dioryettxhx9m" Type="http://schemas.openxmlformats.org/officeDocument/2006/relationships/hyperlink" Target="https://insideclimatenews.org/news/17072025/elon-musk-xai-data-center-gas-turbines-memphis/" TargetMode="External"/><Relationship Id="rIdetzqvp1fgae7jlavaptwd" Type="http://schemas.openxmlformats.org/officeDocument/2006/relationships/hyperlink" Target="https://www.cnbc.com/2025/09/23/openai-first-data-center-in-500-billion-stargate-project-up-in-texas.html" TargetMode="External"/><Relationship Id="rId0zymgwx2lmw-rk4_iobbu" Type="http://schemas.openxmlformats.org/officeDocument/2006/relationships/hyperlink" Target="https://www.pjm.com/-/media/DotCom/about-pjm/newsroom/2025-releases/20251217-pjm-auction-procures-134479-mw-of-generation-resources.pdf" TargetMode="External"/><Relationship Id="rIdhnft7jkx2chwia7tivdat" Type="http://schemas.openxmlformats.org/officeDocument/2006/relationships/hyperlink" Target="https://www.woodmac.com/press-releases/power-transformers-and-distribution-transformers-will-face-supply-deficits-of-30-and-10-in-2025/" TargetMode="External"/><Relationship Id="rIdwogdpnszc3deig4wgez53" Type="http://schemas.openxmlformats.org/officeDocument/2006/relationships/hyperlink" Target="https://cushwake.cld.bz/Data-Center-Development-Cost-Guide-2025/8-9/" TargetMode="External"/><Relationship Id="rIdrf3al1yowy4h_ktw3zrir" Type="http://schemas.openxmlformats.org/officeDocument/2006/relationships/hyperlink" Target="https://www.datacenterdynamics.com/en/news/coreweave-aims-to-add-5gw-more-data-center-capacity-by-2030-anticipates-capex-in-2026-to-double/" TargetMode="External"/><Relationship Id="rIdsankshc6bwgttmmarvbpr" Type="http://schemas.openxmlformats.org/officeDocument/2006/relationships/hyperlink" Target="https://www.nvidia.com/en-us/data-center/gb200-nvl72/" TargetMode="External"/><Relationship Id="rIdiu6at13ntrx6mpibiqjr3" Type="http://schemas.openxmlformats.org/officeDocument/2006/relationships/hyperlink" Target="https://www.tomshardware.com/pc-components/gpus/nvidia-shows-off-rubin-ultra-with-600-000-watt-kyber-racks-and-infrastructure-coming-in-2027" TargetMode="External"/><Relationship Id="rIdno49pbhxmae2ccoycg3nw" Type="http://schemas.openxmlformats.org/officeDocument/2006/relationships/hyperlink" Target="https://www.opencompute.org/documents/open-rack-base-specification-version-3-pdf" TargetMode="External"/><Relationship Id="rIdwiuimd4wrmoon-jubt1ho" Type="http://schemas.openxmlformats.org/officeDocument/2006/relationships/hyperlink" Target="https://www.tomshardware.com/pc-components/gpus/nvidias-vera-rubin-platform-in-depth-inside-nvidias-most-complex-ai-and-hpc-platform-to-date" TargetMode="External"/><Relationship Id="rId4grqj3lkwghbavju-vd9x" Type="http://schemas.openxmlformats.org/officeDocument/2006/relationships/hyperlink" Target="https://www.tweaktown.com/news/110521/nvidia-updates-roadmap-with-new-details-on-its-next-gen-gpu-feynman-coming-in-2028/index.html" TargetMode="External"/><Relationship Id="rId-afbvq4gajyldognfetan" Type="http://schemas.openxmlformats.org/officeDocument/2006/relationships/hyperlink" Target="https://www.tomshardware.com/pc-components/gpus/amd-announces-mi350x-and-mi355x-ai-gpus-claims-up-to-4x-generational-gain-up-to-35x-faster-inference-performance" TargetMode="External"/><Relationship Id="rIdju6edd1upxkd1oba9tzkv" Type="http://schemas.openxmlformats.org/officeDocument/2006/relationships/hyperlink" Target="https://www.tomshardware.com/tech-industry/artificial-intelligence/intel-cancels-falcon-shores-gpu-for-ai-workloads-jaguar-shores-to-be-successor" TargetMode="External"/><Relationship Id="rIdw6xh0rrsqesw5qw1p5gtl" Type="http://schemas.openxmlformats.org/officeDocument/2006/relationships/hyperlink" Target="https://cloud.google.com/blog/products/compute/ironwood-tpus-and-new-axion-based-vms-for-your-ai-workloads" TargetMode="External"/><Relationship Id="rIddlx1jwcxpxjuueank4xkl" Type="http://schemas.openxmlformats.org/officeDocument/2006/relationships/hyperlink" Target="https://www.hpcwire.com/2025/12/02/aws-brings-the-trainium3-chip-to-market-with-new-ec2-ultraservers/" TargetMode="External"/><Relationship Id="rIdt3t4imzup6itgtocbckny" Type="http://schemas.openxmlformats.org/officeDocument/2006/relationships/hyperlink" Target="https://news.microsoft.com/source/features/ai/in-house-chips-silicon-to-service-to-meet-ai-demand/" TargetMode="External"/><Relationship Id="rId2k14fr0qyex6htfz_egm8" Type="http://schemas.openxmlformats.org/officeDocument/2006/relationships/hyperlink" Target="https://ai.meta.com/blog/next-generation-meta-training-inference-accelerator-AI-MTIA/" TargetMode="External"/><Relationship Id="rIdlz-7gtblcf7wjln0kd4hz" Type="http://schemas.openxmlformats.org/officeDocument/2006/relationships/hyperlink" Target="https://www.apple.com/newsroom/2025/10/apple-unleashes-m5-the-next-big-leap-in-ai-performance-for-apple-silicon/" TargetMode="External"/><Relationship Id="rId8hjxnpz-vp2kxl1zs7bdl" Type="http://schemas.openxmlformats.org/officeDocument/2006/relationships/hyperlink" Target="https://www.cerebras.ai/press-release/cerebras-announces-third-generation-wafer-scale-engine" TargetMode="External"/><Relationship Id="rIdcvx0vfduf5avgpejdvtbb" Type="http://schemas.openxmlformats.org/officeDocument/2006/relationships/hyperlink" Target="https://www.astutegroup.com/news/general/sk-hynix-holds-62-of-hbm-micron-overtakes-samsung-2026-battle-pivots-to-hbm4/" TargetMode="External"/><Relationship Id="rIdtiukzdt1u6p4kohhrlpa7" Type="http://schemas.openxmlformats.org/officeDocument/2006/relationships/hyperlink" Target="https://www.tomshardware.com/tech-industry/semiconductors/tsmcs-details-next-gen-cowos-roadmap-over-14-reticle-packages-and-48x-leap-in-compute-power-expected-by-2029-massive-size-enables-24-hbm5e-stacks-and-additional-memory-bandwidth-jump" TargetMode="External"/><Relationship Id="rIdepmda9jc8bx0lzmwx8b-i" Type="http://schemas.openxmlformats.org/officeDocument/2006/relationships/hyperlink" Target="https://www.tomshardware.com/tech-industry/semiconductors/intel-installs-industrys-first-commercial-high-na-euv-lithography-tool-asml-twinscan-exe-5200b-sets-the-stage-for-14a" TargetMode="External"/><Relationship Id="rIdfnmkqxdv2u-hbrmhub6_y" Type="http://schemas.openxmlformats.org/officeDocument/2006/relationships/hyperlink" Target="https://ifp.org/the-h20-problem/" TargetMode="External"/><Relationship Id="rId9jhimr7asfy_iq8ggwasz" Type="http://schemas.openxmlformats.org/officeDocument/2006/relationships/hyperlink" Target="https://blog.peterwildeford.com/p/openai-nvidia-and-oracle-breaking" TargetMode="External"/><Relationship Id="rIda8c4hxxdppf6rdyryhiis" Type="http://schemas.openxmlformats.org/officeDocument/2006/relationships/hyperlink" Target="https://ualinkconsortium.org/wp-content/uploads/2025/04/UALink-1.0-Specification-Overview_FINAL-1.pdf" TargetMode="External"/><Relationship Id="rIde9mzauqrwelf4ql2y2heq" Type="http://schemas.openxmlformats.org/officeDocument/2006/relationships/hyperlink" Target="https://www.nvidia.com/en-us/networking/products/infiniband/quantum-x800/" TargetMode="External"/><Relationship Id="rIdec-jvh-xfpzibagvcc-zs" Type="http://schemas.openxmlformats.org/officeDocument/2006/relationships/hyperlink" Target="https://investors.broadcom.com/news-releases/news-release-details/broadcom-announces-tomahawkr-6-davisson-industrys-first-1024" TargetMode="External"/><Relationship Id="rId-1njigrci_r3qw9icebje" Type="http://schemas.openxmlformats.org/officeDocument/2006/relationships/hyperlink" Target="https://newsroom.cisco.com/c/r/newsroom/en/us/a/y2025/m10/cisco-sets-benchmark-with-industry-most-scalable-efficient-51-2t-routing-systems-for-distributed-ai-workloads.html" TargetMode="External"/><Relationship Id="rIda8bgkmcssrtbpfezpddil" Type="http://schemas.openxmlformats.org/officeDocument/2006/relationships/hyperlink" Target="https://ultraethernet.org/ultra-ethernet-consortium-uec-launches-specification-1-0-transforming-ethernet-for-ai-and-hpc-at-scale/" TargetMode="External"/><Relationship Id="rId8rvz8ar_2smcfjdmombg8" Type="http://schemas.openxmlformats.org/officeDocument/2006/relationships/hyperlink" Target="https://www.hpcwire.com/2025/10/28/nvidia-cranks-its-bluefield-4-dpu-to-800-gbps/" TargetMode="External"/><Relationship Id="rIdyb1lho7vq3nuuz3taqud-" Type="http://schemas.openxmlformats.org/officeDocument/2006/relationships/hyperlink" Target="https://www.theregister.com/2025/11/22/cpo_ai_nvidia_broadcom" TargetMode="External"/><Relationship Id="rIdbhcy-adf_03e7vqfngdwb" Type="http://schemas.openxmlformats.org/officeDocument/2006/relationships/hyperlink" Target="https://www.nextplatform.com/2025/12/18/nvidia-nearly-completes-its-control-freakery-with-slurm-acquisition/" TargetMode="External"/><Relationship Id="rIdhwkhaupp3sc29jparlzw-" Type="http://schemas.openxmlformats.org/officeDocument/2006/relationships/hyperlink" Target="https://huggingface.co/datasets/HuggingFaceFW/fineweb" TargetMode="External"/><Relationship Id="rIdwlanetd9ttqafhahpu2xq" Type="http://schemas.openxmlformats.org/officeDocument/2006/relationships/hyperlink" Target="https://huggingface.co/datasets/nvidia/Nemotron-CC-v2" TargetMode="External"/><Relationship Id="rIdijue1ujal_s9k1bef-j_2" Type="http://schemas.openxmlformats.org/officeDocument/2006/relationships/hyperlink" Target="https://copyrightalliance.org/participating-bartz-v-anthropic-settlement/" TargetMode="External"/><Relationship Id="rIdpquxybksiugizsrghxpmt" Type="http://schemas.openxmlformats.org/officeDocument/2006/relationships/hyperlink" Target="https://www.technologyreview.com/2025/07/01/1119498/cloudflare-will-now-by-default-block-ai-bots-from-crawling-its-clients-websites/" TargetMode="External"/><Relationship Id="rId1e5p-jwp3sz3d7sbslivz" Type="http://schemas.openxmlformats.org/officeDocument/2006/relationships/hyperlink" Target="https://www.nature.com/articles/s41586-025-09422-z" TargetMode="External"/><Relationship Id="rIdhwcazl0yv2bk3hscofud6" Type="http://schemas.openxmlformats.org/officeDocument/2006/relationships/hyperlink" Target="https://ai.meta.com/blog/llama-4-multimodal-intelligence/" TargetMode="External"/><Relationship Id="rIdlwal7rhrkb_exmvbb3fpa" Type="http://schemas.openxmlformats.org/officeDocument/2006/relationships/hyperlink" Target="https://www.anthropic.com/news/claude-opus-4-5" TargetMode="External"/><Relationship Id="rIdteeuomr8ltjbyz4djdigd" Type="http://schemas.openxmlformats.org/officeDocument/2006/relationships/hyperlink" Target="https://www.anthropic.com/news/claude-sonnet-4-5" TargetMode="External"/><Relationship Id="rIdod9dzudufwpabnmz6fo0m" Type="http://schemas.openxmlformats.org/officeDocument/2006/relationships/hyperlink" Target="https://openai.com/index/introducing-gpt-5/" TargetMode="External"/><Relationship Id="rIdiw7h5w05owcuzbrf4wzx2" Type="http://schemas.openxmlformats.org/officeDocument/2006/relationships/hyperlink" Target="https://blog.google/innovation-and-ai/models-and-research/google-deepmind/gemini-model-thinking-updates-march-2025/" TargetMode="External"/><Relationship Id="rIdf5hpoq4_3uqwjoi7hk1r_" Type="http://schemas.openxmlformats.org/officeDocument/2006/relationships/hyperlink" Target="https://arxiv.org/abs/2407.08608" TargetMode="External"/><Relationship Id="rIdnhxftfvs4k4xq1fh9ubow" Type="http://schemas.openxmlformats.org/officeDocument/2006/relationships/hyperlink" Target="https://www.swebench.com/verified.html" TargetMode="External"/><Relationship Id="rId03j7nwg86mbyulot4zr0c" Type="http://schemas.openxmlformats.org/officeDocument/2006/relationships/hyperlink" Target="https://arcprize.org/arc-agi/2" TargetMode="External"/><Relationship Id="rIdjzp7e034kgjghgknkhiry" Type="http://schemas.openxmlformats.org/officeDocument/2006/relationships/hyperlink" Target="https://www.inceptionlabs.ai/blog/introducing-mercury" TargetMode="External"/><Relationship Id="rIdicj3axzd29iuz4xgvkiyg" Type="http://schemas.openxmlformats.org/officeDocument/2006/relationships/hyperlink" Target="https://docs.vllm.ai/en/latest/" TargetMode="External"/><Relationship Id="rIdeugsy_brmw6qvxn8q6abs" Type="http://schemas.openxmlformats.org/officeDocument/2006/relationships/hyperlink" Target="https://www.lmsys.org/blog/2024-01-17-sglang/" TargetMode="External"/><Relationship Id="rId0qdhalloaqq3z6g_wippt" Type="http://schemas.openxmlformats.org/officeDocument/2006/relationships/hyperlink" Target="https://developer.nvidia.com/blog/introducing-nvidia-dynamo-a-low-latency-distributed-inference-framework-for-scaling-reasoning-ai-models/" TargetMode="External"/><Relationship Id="rIdkiini1k6drlrogcwoahbj" Type="http://schemas.openxmlformats.org/officeDocument/2006/relationships/hyperlink" Target="https://github.com/SafeAILab/EAGLE" TargetMode="External"/><Relationship Id="rIdburzkmftwjje6sss9_csh" Type="http://schemas.openxmlformats.org/officeDocument/2006/relationships/hyperlink" Target="https://machinelearning.apple.com/research/exploring-llms-mlx-m5" TargetMode="External"/><Relationship Id="rIdaef99t_3ywnnudsnnku_9" Type="http://schemas.openxmlformats.org/officeDocument/2006/relationships/hyperlink" Target="https://blog.modelcontextprotocol.io/posts/2025-11-25-first-mcp-anniversary/" TargetMode="External"/><Relationship Id="rIdfpe8sbkzmljwvmyjvyzsu" Type="http://schemas.openxmlformats.org/officeDocument/2006/relationships/hyperlink" Target="https://composio.dev/content/claude-agents-sdk-vs-openai-agents-sdk-vs-google-adk" TargetMode="External"/><Relationship Id="rIdgn577yrk2nr2j_bnrkt_4" Type="http://schemas.openxmlformats.org/officeDocument/2006/relationships/hyperlink" Target="https://www.truefoundry.com/blog/vercel-ai-gateway-vs-openrouter" TargetMode="External"/><Relationship Id="rId6jqtsmzbru9rwxuieu0x4" Type="http://schemas.openxmlformats.org/officeDocument/2006/relationships/hyperlink" Target="https://liquidmetal.ai/casesAndBlogs/vector-comparison/" TargetMode="External"/><Relationship Id="rIdv1fyqpkmijqenumsfnb_x" Type="http://schemas.openxmlformats.org/officeDocument/2006/relationships/hyperlink" Target="https://blog.voyageai.com/2025/01/07/voyage-3-large/" TargetMode="External"/><Relationship Id="rIdnznlzgdzqaznyw028romk" Type="http://schemas.openxmlformats.org/officeDocument/2006/relationships/hyperlink" Target="https://cognition.ai/blog/devin-2" TargetMode="External"/><Relationship Id="rIdtayi2aozyrqqhkqom1es2" Type="http://schemas.openxmlformats.org/officeDocument/2006/relationships/hyperlink" Target="https://hyperight.com/chatgpt-dominates-with-66-market-share-as-gemini-and-grok-record-rapid-growth-in-2025/" TargetMode="External"/><Relationship Id="rId2k_spm3jsm2d0hfnakzeq" Type="http://schemas.openxmlformats.org/officeDocument/2006/relationships/hyperlink" Target="https://pytorch.org/blog/introducing-executorch-1-0/" TargetMode="External"/><Relationship Id="rIdcgzvzoftkimpyi7m1r709" Type="http://schemas.openxmlformats.org/officeDocument/2006/relationships/hyperlink" Target="https://fortune.com/2026/01/13/apple-ai-deal-with-google-gemini-means-for-google-apple-openai/" TargetMode="External"/><Relationship Id="rIdsmri2olkscfxct938rmqc" Type="http://schemas.openxmlformats.org/officeDocument/2006/relationships/hyperlink" Target="https://www-cdn.anthropic.com/e670587677525f28df69b59e5fb4c22cc5461a17.pdf" TargetMode="External"/><Relationship Id="rIdauclbxdpj-8mkorak9yid" Type="http://schemas.openxmlformats.org/officeDocument/2006/relationships/hyperlink" Target="https://cdn.openai.com/pdf/18a02b5d-6b67-4cec-ab64-68cdfbddebcd/preparedness-framework-v2.pdf" TargetMode="External"/><Relationship Id="rIdkbg9ihbqm3mjybqwhibu3" Type="http://schemas.openxmlformats.org/officeDocument/2006/relationships/hyperlink" Target="https://artificialintelligenceact.eu/implementation-timeline/" TargetMode="External"/><Relationship Id="rIdkdqtr-4ym_2alarjdvqnf" Type="http://schemas.openxmlformats.org/officeDocument/2006/relationships/hyperlink" Target="https://carnegieendowment.org/emissary/2025/10/california-sb-53-frontier-ai-law-what-it-does" TargetMode="External"/><Relationship Id="rIddz_o0ndv5l7aks7tdzmdk" Type="http://schemas.openxmlformats.org/officeDocument/2006/relationships/hyperlink" Target="https://www.aisi.gov.uk/" TargetMode="External"/><Relationship Id="rIdgjotk-v_xu-4mecut1uxy" Type="http://schemas.openxmlformats.org/officeDocument/2006/relationships/hyperlink" Target="https://www.skadden.com/insights/publications/2025/06/take-it-down-act" TargetMode="External"/><Relationship Id="rIdeybod7vphvgpevtafwaim" Type="http://schemas.openxmlformats.org/officeDocument/2006/relationships/hyperlink" Target="https://fortune.com/2026/04/30/big-tech-hyperscalers-will-spend-700-billion-on-ai-infrastructure-this-year-with-no-clear-end-in-sight-eye-on-ai/" TargetMode="External"/><Relationship Id="rId7si2kl-1yhdzgcac1tfhe" Type="http://schemas.openxmlformats.org/officeDocument/2006/relationships/hyperlink" Target="https://openai.com/index/announcing-the-stargate-project/" TargetMode="External"/><Relationship Id="rId_ljoqkg9btxwvyb6vncqg" Type="http://schemas.openxmlformats.org/officeDocument/2006/relationships/hyperlink" Target="https://epoch.ai/data-insights/anthropic-openai-revenue" TargetMode="External"/><Relationship Id="rIdxvyfzwl9lg9ve9cqbwuej" Type="http://schemas.openxmlformats.org/officeDocument/2006/relationships/hyperlink" Target="https://fortune.com/2025/07/11/how-much-ai-salary-meta-zuckerberg-200-million-compensation/" TargetMode="External"/><Relationship Id="rIdbdkvvih8jocaozmun8xsq" Type="http://schemas.openxmlformats.org/officeDocument/2006/relationships/hyperlink" Target="https://transformer-circuits.pub/2025/attribution-graphs/methods.html" TargetMode="External"/><Relationship Id="rIdli7cn7a0nf4pmvicyrnno" Type="http://schemas.openxmlformats.org/officeDocument/2006/relationships/hyperlink" Target="https://semianalysis.com/2025/05/16/ai-arrives-in-the-middle-east-us-strikes-a-deal-with-uae-and-ksa/" TargetMode="External"/><Relationship Id="rIdgf9y2tyqahxin2_s2kz5d" Type="http://schemas.openxmlformats.org/officeDocument/2006/relationships/hyperlink" Target="https://pr.tsmc.com/english/news/3210" TargetMode="External"/><Relationship Id="rIdzc6vujikaeisrnihqga7t" Type="http://schemas.openxmlformats.org/officeDocument/2006/relationships/hyperlink" Target="https://digitaleconomy.stanford.edu/wp-content/uploads/2025/08/Canaries_BrynjolfssonChandarChen.pdf" TargetMode="External"/><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 Stack — A Foundation Reference</dc:title>
  <dc:subject>Executive synthesis 2025–2026</dc:subject>
  <dc:creator>Compiled for A. Yedi</dc:creator>
  <cp:lastModifiedBy>Un-named</cp:lastModifiedBy>
  <cp:revision>1</cp:revision>
  <dcterms:created xsi:type="dcterms:W3CDTF">2026-05-06T21:09:34.744Z</dcterms:created>
  <dcterms:modified xsi:type="dcterms:W3CDTF">2026-05-06T21:09:34.745Z</dcterms:modified>
</cp:coreProperties>
</file>

<file path=docProps/custom.xml><?xml version="1.0" encoding="utf-8"?>
<Properties xmlns="http://schemas.openxmlformats.org/officeDocument/2006/custom-properties" xmlns:vt="http://schemas.openxmlformats.org/officeDocument/2006/docPropsVTypes"/>
</file>