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120"/>
        <w:jc w:val="center"/>
      </w:pPr>
      <w:r>
        <w:rPr>
          <w:rFonts w:ascii="Consolas" w:hAnsi="Consolas" w:cs="Consolas"/>
          <w:b w:val="0"/>
          <w:i w:val="0"/>
          <w:color w:val="7A6E60"/>
          <w:sz w:val="18"/>
        </w:rPr>
        <w:t>A N   A T L A S   O F   T H E   A G E N T   S T R A T A</w:t>
      </w:r>
    </w:p>
    <w:p>
      <w:pPr>
        <w:pBdr>
          <w:bottom w:val="single" w:sz="6" w:space="1" w:color="2A211B"/>
        </w:pBdr>
        <w:spacing w:after="120"/>
      </w:pPr>
    </w:p>
    <w:p>
      <w:pPr>
        <w:spacing w:after="80"/>
        <w:jc w:val="center"/>
      </w:pPr>
      <w:r>
        <w:rPr>
          <w:rFonts w:ascii="Georgia" w:hAnsi="Georgia" w:cs="Georgia"/>
          <w:b/>
          <w:i w:val="0"/>
          <w:color w:val="171210"/>
          <w:sz w:val="68"/>
        </w:rPr>
        <w:t>The Agent, Seen Whole</w:t>
      </w:r>
    </w:p>
    <w:p>
      <w:pPr>
        <w:spacing w:after="400"/>
        <w:jc w:val="center"/>
      </w:pPr>
      <w:r>
        <w:rPr>
          <w:rFonts w:ascii="Georgia" w:hAnsi="Georgia" w:cs="Georgia"/>
          <w:b w:val="0"/>
          <w:i/>
          <w:color w:val="3A2F26"/>
          <w:sz w:val="28"/>
        </w:rPr>
        <w:t>Master Read-Through · Learning Path · Project Map</w:t>
      </w:r>
    </w:p>
    <w:p>
      <w:pPr>
        <w:pBdr>
          <w:bottom w:val="single" w:sz="6" w:space="1" w:color="A6371F"/>
        </w:pBdr>
        <w:spacing w:after="120"/>
      </w:pPr>
    </w:p>
    <w:p>
      <w:pPr>
        <w:spacing w:after="120"/>
        <w:jc w:val="center"/>
      </w:pPr>
      <w:r>
        <w:rPr>
          <w:rFonts w:ascii="Georgia" w:hAnsi="Georgia" w:cs="Georgia"/>
          <w:b w:val="0"/>
          <w:i/>
          <w:color w:val="3A2F26"/>
          <w:sz w:val="22"/>
        </w:rPr>
        <w:t>Volume III of the OCQ corpus, distilled into one guided sequence. How to read the readings, when to look at the plates, what to do once you have.</w:t>
      </w:r>
    </w:p>
    <w:p>
      <w:pPr>
        <w:spacing w:before="1600" w:after="80"/>
        <w:jc w:val="center"/>
      </w:pPr>
      <w:r>
        <w:rPr>
          <w:rFonts w:ascii="Georgia" w:hAnsi="Georgia" w:cs="Georgia"/>
          <w:b w:val="0"/>
          <w:i/>
          <w:color w:val="171210"/>
          <w:sz w:val="24"/>
        </w:rPr>
        <w:t>Compiled for A. Yedi</w:t>
      </w:r>
    </w:p>
    <w:p>
      <w:pPr>
        <w:spacing w:after="80"/>
        <w:jc w:val="center"/>
      </w:pPr>
      <w:r>
        <w:rPr>
          <w:rFonts w:ascii="Consolas" w:hAnsi="Consolas" w:cs="Consolas"/>
          <w:b w:val="0"/>
          <w:i w:val="0"/>
          <w:color w:val="7A6E60"/>
          <w:sz w:val="18"/>
        </w:rPr>
        <w:t>Cycle MMXXVI · Revision I · 2026-05-14</w:t>
      </w:r>
    </w:p>
    <w:p>
      <w:r>
        <w:br w:type="page"/>
      </w:r>
    </w:p>
    <w:p>
      <w:pPr>
        <w:pStyle w:val="Heading1"/>
        <w:spacing w:before="360" w:after="200"/>
      </w:pPr>
      <w:r>
        <w:rPr>
          <w:rFonts w:ascii="Georgia" w:hAnsi="Georgia" w:cs="Georgia"/>
          <w:b/>
          <w:i w:val="0"/>
          <w:color w:val="171210"/>
          <w:sz w:val="44"/>
        </w:rPr>
        <w:t>Contents</w:t>
      </w:r>
    </w:p>
    <w:p>
      <w:r>
        <w:rPr>
          <w:rFonts w:ascii="Georgia" w:hAnsi="Georgia" w:cs="Georgia"/>
          <w:b w:val="0"/>
          <w:i/>
          <w:color w:val="7A6E60"/>
          <w:sz w:val="20"/>
        </w:rPr>
        <w:t>Open in Word and choose Update Field (or press F9) to populate this table of contents from the headings below.</w:t>
      </w:r>
    </w:p>
    <w:p>
      <w:r>
        <w:fldChar w:fldCharType="begin"/>
        <w:instrText xml:space="preserve">TOC \o "1-3" \h \z \u</w:instrText>
        <w:fldChar w:fldCharType="separate"/>
        <w:r>
          <w:t>Right-click and choose Update Field to populate this table of contents.</w:t>
        </w:r>
        <w:fldChar w:fldCharType="end"/>
      </w:r>
    </w:p>
    <w:p>
      <w:r>
        <w:br w:type="page"/>
      </w:r>
    </w:p>
    <w:p>
      <w:pPr>
        <w:pStyle w:val="Heading1"/>
        <w:spacing w:before="360" w:after="200"/>
      </w:pPr>
      <w:r>
        <w:rPr>
          <w:rFonts w:ascii="Georgia" w:hAnsi="Georgia" w:cs="Georgia"/>
          <w:b/>
          <w:i w:val="0"/>
          <w:color w:val="171210"/>
          <w:sz w:val="44"/>
        </w:rPr>
        <w:t>How to read this volume</w:t>
      </w:r>
    </w:p>
    <w:p>
      <w:pPr>
        <w:spacing w:after="120"/>
      </w:pPr>
      <w:r>
        <w:rPr>
          <w:rFonts w:ascii="Georgia" w:hAnsi="Georgia" w:cs="Georgia"/>
          <w:b w:val="0"/>
          <w:i w:val="0"/>
          <w:sz w:val="22"/>
        </w:rPr>
        <w:t>The agent layer is the same six artifacts looked at from six angles. This volume tells you which angle to start from, what each artifact is actually for, and what action drops out the other end. Two paths are offered — pick the one that fits the time you have.</w:t>
      </w:r>
    </w:p>
    <w:p>
      <w:pPr>
        <w:pStyle w:val="Heading2"/>
        <w:spacing w:before="280" w:after="120"/>
      </w:pPr>
      <w:r>
        <w:rPr>
          <w:rFonts w:ascii="Georgia" w:hAnsi="Georgia" w:cs="Georgia"/>
          <w:b/>
          <w:i w:val="0"/>
          <w:color w:val="171210"/>
          <w:sz w:val="30"/>
        </w:rPr>
        <w:t>Path A — The 90-minute speed-read</w:t>
      </w:r>
    </w:p>
    <w:p>
      <w:pPr>
        <w:spacing w:after="120"/>
      </w:pPr>
      <w:r>
        <w:rPr>
          <w:rFonts w:ascii="Georgia" w:hAnsi="Georgia" w:cs="Georgia"/>
          <w:b w:val="0"/>
          <w:i/>
          <w:color w:val="3A2F26"/>
          <w:sz w:val="21"/>
        </w:rPr>
        <w:t>If you only have an evening, take this route. You will lose the texture of the descriptive volume but you will keep the operating decisions intact.</w:t>
      </w:r>
    </w:p>
    <w:p>
      <w:pPr>
        <w:pStyle w:val="ListBullet"/>
        <w:spacing w:after="60"/>
      </w:pPr>
      <w:r>
        <w:rPr>
          <w:rFonts w:ascii="Consolas" w:hAnsi="Consolas" w:cs="Consolas"/>
          <w:b/>
          <w:i w:val="0"/>
          <w:color w:val="A37425"/>
          <w:sz w:val="20"/>
        </w:rPr>
        <w:t xml:space="preserve">5 min  </w:t>
      </w:r>
      <w:r>
        <w:rPr>
          <w:rFonts w:ascii="Georgia" w:hAnsi="Georgia" w:cs="Georgia"/>
          <w:b w:val="0"/>
          <w:i w:val="0"/>
          <w:color w:val="171210"/>
          <w:sz w:val="22"/>
        </w:rPr>
        <w:t>Plate M — Master Plate · the synthesis frontispiece</w:t>
      </w:r>
    </w:p>
    <w:p>
      <w:pPr>
        <w:pStyle w:val="ListBullet"/>
        <w:spacing w:after="60"/>
      </w:pPr>
      <w:r>
        <w:rPr>
          <w:rFonts w:ascii="Consolas" w:hAnsi="Consolas" w:cs="Consolas"/>
          <w:b/>
          <w:i w:val="0"/>
          <w:color w:val="A37425"/>
          <w:sz w:val="20"/>
        </w:rPr>
        <w:t xml:space="preserve">10 min  </w:t>
      </w:r>
      <w:r>
        <w:rPr>
          <w:rFonts w:ascii="Georgia" w:hAnsi="Georgia" w:cs="Georgia"/>
          <w:b w:val="0"/>
          <w:i w:val="0"/>
          <w:color w:val="171210"/>
          <w:sz w:val="22"/>
        </w:rPr>
        <w:t>Tracker §A — the seven Bets refreshed (Vol III deltas)</w:t>
      </w:r>
    </w:p>
    <w:p>
      <w:pPr>
        <w:pStyle w:val="ListBullet"/>
        <w:spacing w:after="60"/>
      </w:pPr>
      <w:r>
        <w:rPr>
          <w:rFonts w:ascii="Consolas" w:hAnsi="Consolas" w:cs="Consolas"/>
          <w:b/>
          <w:i w:val="0"/>
          <w:color w:val="A37425"/>
          <w:sz w:val="20"/>
        </w:rPr>
        <w:t xml:space="preserve">20 min  </w:t>
      </w:r>
      <w:r>
        <w:rPr>
          <w:rFonts w:ascii="Georgia" w:hAnsi="Georgia" w:cs="Georgia"/>
          <w:b w:val="0"/>
          <w:i w:val="0"/>
          <w:color w:val="171210"/>
          <w:sz w:val="22"/>
        </w:rPr>
        <w:t>Addendum Part XI — Synthesis · Bet rewrites · Risks · Cruxes</w:t>
      </w:r>
    </w:p>
    <w:p>
      <w:pPr>
        <w:pStyle w:val="ListBullet"/>
        <w:spacing w:after="60"/>
      </w:pPr>
      <w:r>
        <w:rPr>
          <w:rFonts w:ascii="Consolas" w:hAnsi="Consolas" w:cs="Consolas"/>
          <w:b/>
          <w:i w:val="0"/>
          <w:color w:val="A37425"/>
          <w:sz w:val="20"/>
        </w:rPr>
        <w:t xml:space="preserve">15 min  </w:t>
      </w:r>
      <w:r>
        <w:rPr>
          <w:rFonts w:ascii="Georgia" w:hAnsi="Georgia" w:cs="Georgia"/>
          <w:b w:val="0"/>
          <w:i w:val="0"/>
          <w:color w:val="171210"/>
          <w:sz w:val="22"/>
        </w:rPr>
        <w:t>Addendum Part XIII — the Agent-Specific Procurement Rubric</w:t>
      </w:r>
    </w:p>
    <w:p>
      <w:pPr>
        <w:pStyle w:val="ListBullet"/>
        <w:spacing w:after="60"/>
      </w:pPr>
      <w:r>
        <w:rPr>
          <w:rFonts w:ascii="Consolas" w:hAnsi="Consolas" w:cs="Consolas"/>
          <w:b/>
          <w:i w:val="0"/>
          <w:color w:val="A37425"/>
          <w:sz w:val="20"/>
        </w:rPr>
        <w:t xml:space="preserve">10 min  </w:t>
      </w:r>
      <w:r>
        <w:rPr>
          <w:rFonts w:ascii="Georgia" w:hAnsi="Georgia" w:cs="Georgia"/>
          <w:b w:val="0"/>
          <w:i w:val="0"/>
          <w:color w:val="171210"/>
          <w:sz w:val="22"/>
        </w:rPr>
        <w:t>Plate I (index) + Plate V (vertical products)</w:t>
      </w:r>
    </w:p>
    <w:p>
      <w:pPr>
        <w:pStyle w:val="ListBullet"/>
        <w:spacing w:after="60"/>
      </w:pPr>
      <w:r>
        <w:rPr>
          <w:rFonts w:ascii="Consolas" w:hAnsi="Consolas" w:cs="Consolas"/>
          <w:b/>
          <w:i w:val="0"/>
          <w:color w:val="A37425"/>
          <w:sz w:val="20"/>
        </w:rPr>
        <w:t xml:space="preserve">10 min  </w:t>
      </w:r>
      <w:r>
        <w:rPr>
          <w:rFonts w:ascii="Georgia" w:hAnsi="Georgia" w:cs="Georgia"/>
          <w:b w:val="0"/>
          <w:i w:val="0"/>
          <w:color w:val="171210"/>
          <w:sz w:val="22"/>
        </w:rPr>
        <w:t>Report Executive Summary — five forces structuring the layer</w:t>
      </w:r>
    </w:p>
    <w:p>
      <w:pPr>
        <w:pStyle w:val="ListBullet"/>
        <w:spacing w:after="60"/>
      </w:pPr>
      <w:r>
        <w:rPr>
          <w:rFonts w:ascii="Consolas" w:hAnsi="Consolas" w:cs="Consolas"/>
          <w:b/>
          <w:i w:val="0"/>
          <w:color w:val="A37425"/>
          <w:sz w:val="20"/>
        </w:rPr>
        <w:t xml:space="preserve">20 min  </w:t>
      </w:r>
      <w:r>
        <w:rPr>
          <w:rFonts w:ascii="Georgia" w:hAnsi="Georgia" w:cs="Georgia"/>
          <w:b w:val="0"/>
          <w:i w:val="0"/>
          <w:color w:val="171210"/>
          <w:sz w:val="22"/>
        </w:rPr>
        <w:t>Addendum Part XII — the 6 / 12 / 18-Month Action Map</w:t>
      </w:r>
    </w:p>
    <w:p>
      <w:pPr>
        <w:pStyle w:val="Heading2"/>
        <w:spacing w:before="280" w:after="120"/>
      </w:pPr>
      <w:r>
        <w:rPr>
          <w:rFonts w:ascii="Georgia" w:hAnsi="Georgia" w:cs="Georgia"/>
          <w:b/>
          <w:i w:val="0"/>
          <w:color w:val="171210"/>
          <w:sz w:val="30"/>
        </w:rPr>
        <w:t>Path B — The full cycle (≈ 6 hours)</w:t>
      </w:r>
    </w:p>
    <w:p>
      <w:pPr>
        <w:spacing w:after="120"/>
      </w:pPr>
      <w:r>
        <w:rPr>
          <w:rFonts w:ascii="Georgia" w:hAnsi="Georgia" w:cs="Georgia"/>
          <w:b w:val="0"/>
          <w:i/>
          <w:color w:val="3A2F26"/>
          <w:sz w:val="21"/>
        </w:rPr>
        <w:t>The reading order in which every later piece assumes the earlier one. Each step has a 'so what' — the single takeaway you should walk away with.</w:t>
      </w:r>
    </w:p>
    <w:p>
      <w:pPr>
        <w:spacing w:after="40" w:before="120"/>
      </w:pPr>
      <w:r>
        <w:rPr>
          <w:rFonts w:ascii="Consolas" w:hAnsi="Consolas" w:cs="Consolas"/>
          <w:b/>
          <w:i w:val="0"/>
          <w:color w:val="A6371F"/>
          <w:sz w:val="18"/>
        </w:rPr>
        <w:t xml:space="preserve">Step 1  </w:t>
      </w:r>
      <w:r>
        <w:rPr>
          <w:rFonts w:ascii="Georgia" w:hAnsi="Georgia" w:cs="Georgia"/>
          <w:b/>
          <w:i w:val="0"/>
          <w:color w:val="171210"/>
          <w:sz w:val="23"/>
        </w:rPr>
        <w:t>Plate M — Master Plate</w:t>
      </w:r>
    </w:p>
    <w:p>
      <w:pPr>
        <w:spacing w:after="160"/>
        <w:ind w:left="504"/>
      </w:pPr>
      <w:r>
        <w:rPr>
          <w:rFonts w:ascii="Consolas" w:hAnsi="Consolas" w:cs="Consolas"/>
          <w:b w:val="0"/>
          <w:i w:val="0"/>
          <w:color w:val="A37425"/>
          <w:sz w:val="17"/>
        </w:rPr>
        <w:t xml:space="preserve">So what  ·  </w:t>
      </w:r>
      <w:r>
        <w:rPr>
          <w:rFonts w:ascii="Georgia" w:hAnsi="Georgia" w:cs="Georgia"/>
          <w:b w:val="0"/>
          <w:i/>
          <w:color w:val="3A2F26"/>
          <w:sz w:val="21"/>
        </w:rPr>
        <w:t>The map of the territory. Every later plate is a zoom into one quadrant.</w:t>
      </w:r>
    </w:p>
    <w:p>
      <w:pPr>
        <w:spacing w:after="40" w:before="120"/>
      </w:pPr>
      <w:r>
        <w:rPr>
          <w:rFonts w:ascii="Consolas" w:hAnsi="Consolas" w:cs="Consolas"/>
          <w:b/>
          <w:i w:val="0"/>
          <w:color w:val="A6371F"/>
          <w:sz w:val="18"/>
        </w:rPr>
        <w:t xml:space="preserve">Step 2  </w:t>
      </w:r>
      <w:r>
        <w:rPr>
          <w:rFonts w:ascii="Georgia" w:hAnsi="Georgia" w:cs="Georgia"/>
          <w:b/>
          <w:i w:val="0"/>
          <w:color w:val="171210"/>
          <w:sz w:val="23"/>
        </w:rPr>
        <w:t>Report (AI_AGENTS_REPORT.docx) — Foundation Reference</w:t>
      </w:r>
    </w:p>
    <w:p>
      <w:pPr>
        <w:spacing w:after="160"/>
        <w:ind w:left="504"/>
      </w:pPr>
      <w:r>
        <w:rPr>
          <w:rFonts w:ascii="Consolas" w:hAnsi="Consolas" w:cs="Consolas"/>
          <w:b w:val="0"/>
          <w:i w:val="0"/>
          <w:color w:val="A37425"/>
          <w:sz w:val="17"/>
        </w:rPr>
        <w:t xml:space="preserve">So what  ·  </w:t>
      </w:r>
      <w:r>
        <w:rPr>
          <w:rFonts w:ascii="Georgia" w:hAnsi="Georgia" w:cs="Georgia"/>
          <w:b w:val="0"/>
          <w:i/>
          <w:color w:val="3A2F26"/>
          <w:sz w:val="21"/>
        </w:rPr>
        <w:t>The descriptive layer. Read in four parts: Capability Substrate · Loops of Cognition · Action &amp; Defense · Productized Layer.</w:t>
      </w:r>
    </w:p>
    <w:p>
      <w:pPr>
        <w:spacing w:after="40" w:before="120"/>
      </w:pPr>
      <w:r>
        <w:rPr>
          <w:rFonts w:ascii="Consolas" w:hAnsi="Consolas" w:cs="Consolas"/>
          <w:b/>
          <w:i w:val="0"/>
          <w:color w:val="A6371F"/>
          <w:sz w:val="18"/>
        </w:rPr>
        <w:t xml:space="preserve">Step 3  </w:t>
      </w:r>
      <w:r>
        <w:rPr>
          <w:rFonts w:ascii="Georgia" w:hAnsi="Georgia" w:cs="Georgia"/>
          <w:b/>
          <w:i w:val="0"/>
          <w:color w:val="171210"/>
          <w:sz w:val="23"/>
        </w:rPr>
        <w:t>Plates I–VI — Substrate Vol I · the agent column</w:t>
      </w:r>
    </w:p>
    <w:p>
      <w:pPr>
        <w:spacing w:after="160"/>
        <w:ind w:left="504"/>
      </w:pPr>
      <w:r>
        <w:rPr>
          <w:rFonts w:ascii="Consolas" w:hAnsi="Consolas" w:cs="Consolas"/>
          <w:b w:val="0"/>
          <w:i w:val="0"/>
          <w:color w:val="A37425"/>
          <w:sz w:val="17"/>
        </w:rPr>
        <w:t xml:space="preserve">So what  ·  </w:t>
      </w:r>
      <w:r>
        <w:rPr>
          <w:rFonts w:ascii="Georgia" w:hAnsi="Georgia" w:cs="Georgia"/>
          <w:b w:val="0"/>
          <w:i/>
          <w:color w:val="3A2F26"/>
          <w:sz w:val="21"/>
        </w:rPr>
        <w:t>Visual atlas of the ten sub-strata plus four meta-strata. Each plate is the Report's same content as a single page you can hold in mind.</w:t>
      </w:r>
    </w:p>
    <w:p>
      <w:pPr>
        <w:spacing w:after="40" w:before="120"/>
      </w:pPr>
      <w:r>
        <w:rPr>
          <w:rFonts w:ascii="Consolas" w:hAnsi="Consolas" w:cs="Consolas"/>
          <w:b/>
          <w:i w:val="0"/>
          <w:color w:val="A6371F"/>
          <w:sz w:val="18"/>
        </w:rPr>
        <w:t xml:space="preserve">Step 4  </w:t>
      </w:r>
      <w:r>
        <w:rPr>
          <w:rFonts w:ascii="Georgia" w:hAnsi="Georgia" w:cs="Georgia"/>
          <w:b/>
          <w:i w:val="0"/>
          <w:color w:val="171210"/>
          <w:sz w:val="23"/>
        </w:rPr>
        <w:t>Addendum (AI_AGENTS_ADDENDUM.docx) — Decisions Playbook</w:t>
      </w:r>
    </w:p>
    <w:p>
      <w:pPr>
        <w:spacing w:after="160"/>
        <w:ind w:left="504"/>
      </w:pPr>
      <w:r>
        <w:rPr>
          <w:rFonts w:ascii="Consolas" w:hAnsi="Consolas" w:cs="Consolas"/>
          <w:b w:val="0"/>
          <w:i w:val="0"/>
          <w:color w:val="A37425"/>
          <w:sz w:val="17"/>
        </w:rPr>
        <w:t xml:space="preserve">So what  ·  </w:t>
      </w:r>
      <w:r>
        <w:rPr>
          <w:rFonts w:ascii="Georgia" w:hAnsi="Georgia" w:cs="Georgia"/>
          <w:b w:val="0"/>
          <w:i/>
          <w:color w:val="3A2F26"/>
          <w:sz w:val="21"/>
        </w:rPr>
        <w:t>Five frameworks applied to the strata. Read Parts VI–X for analysis, then XI–XIII for the operating decisions.</w:t>
      </w:r>
    </w:p>
    <w:p>
      <w:pPr>
        <w:spacing w:after="40" w:before="120"/>
      </w:pPr>
      <w:r>
        <w:rPr>
          <w:rFonts w:ascii="Consolas" w:hAnsi="Consolas" w:cs="Consolas"/>
          <w:b/>
          <w:i w:val="0"/>
          <w:color w:val="A6371F"/>
          <w:sz w:val="18"/>
        </w:rPr>
        <w:t xml:space="preserve">Step 5  </w:t>
      </w:r>
      <w:r>
        <w:rPr>
          <w:rFonts w:ascii="Georgia" w:hAnsi="Georgia" w:cs="Georgia"/>
          <w:b/>
          <w:i w:val="0"/>
          <w:color w:val="171210"/>
          <w:sz w:val="23"/>
        </w:rPr>
        <w:t>Plates VII–XI — Substrate Vol II · framework plates</w:t>
      </w:r>
    </w:p>
    <w:p>
      <w:pPr>
        <w:spacing w:after="160"/>
        <w:ind w:left="504"/>
      </w:pPr>
      <w:r>
        <w:rPr>
          <w:rFonts w:ascii="Consolas" w:hAnsi="Consolas" w:cs="Consolas"/>
          <w:b w:val="0"/>
          <w:i w:val="0"/>
          <w:color w:val="A37425"/>
          <w:sz w:val="17"/>
        </w:rPr>
        <w:t xml:space="preserve">So what  ·  </w:t>
      </w:r>
      <w:r>
        <w:rPr>
          <w:rFonts w:ascii="Georgia" w:hAnsi="Georgia" w:cs="Georgia"/>
          <w:b w:val="0"/>
          <w:i/>
          <w:color w:val="3A2F26"/>
          <w:sz w:val="21"/>
        </w:rPr>
        <w:t>Same five frameworks as Plates: OCQ heat · Wardley · 7 Powers · JTBD · Action Portfolio.</w:t>
      </w:r>
    </w:p>
    <w:p>
      <w:pPr>
        <w:spacing w:after="40" w:before="120"/>
      </w:pPr>
      <w:r>
        <w:rPr>
          <w:rFonts w:ascii="Consolas" w:hAnsi="Consolas" w:cs="Consolas"/>
          <w:b/>
          <w:i w:val="0"/>
          <w:color w:val="A6371F"/>
          <w:sz w:val="18"/>
        </w:rPr>
        <w:t xml:space="preserve">Step 6  </w:t>
      </w:r>
      <w:r>
        <w:rPr>
          <w:rFonts w:ascii="Georgia" w:hAnsi="Georgia" w:cs="Georgia"/>
          <w:b/>
          <w:i w:val="0"/>
          <w:color w:val="171210"/>
          <w:sz w:val="23"/>
        </w:rPr>
        <w:t>Tracker (AI_AGENTS_TRACKER.md) — Living Tracker</w:t>
      </w:r>
    </w:p>
    <w:p>
      <w:pPr>
        <w:spacing w:after="160"/>
        <w:ind w:left="504"/>
      </w:pPr>
      <w:r>
        <w:rPr>
          <w:rFonts w:ascii="Consolas" w:hAnsi="Consolas" w:cs="Consolas"/>
          <w:b w:val="0"/>
          <w:i w:val="0"/>
          <w:color w:val="A37425"/>
          <w:sz w:val="17"/>
        </w:rPr>
        <w:t xml:space="preserve">So what  ·  </w:t>
      </w:r>
      <w:r>
        <w:rPr>
          <w:rFonts w:ascii="Georgia" w:hAnsi="Georgia" w:cs="Georgia"/>
          <w:b w:val="0"/>
          <w:i/>
          <w:color w:val="3A2F26"/>
          <w:sz w:val="21"/>
        </w:rPr>
        <w:t>The working surface. Three sections, three cadences: monthly Bets, bi-weekly talent + capital, trigger-based cruxes and risks.</w:t>
      </w:r>
    </w:p>
    <w:p>
      <w:pPr>
        <w:spacing w:after="40"/>
      </w:pPr>
      <w:r>
        <w:rPr>
          <w:rFonts w:ascii="Consolas" w:hAnsi="Consolas" w:cs="Consolas"/>
          <w:b/>
          <w:i w:val="0"/>
          <w:color w:val="A6371F"/>
          <w:sz w:val="16"/>
        </w:rPr>
        <w:t>THE VOL III DELTA IN ONE LINE</w:t>
      </w:r>
    </w:p>
    <w:p>
      <w:pPr>
        <w:spacing w:after="200"/>
      </w:pPr>
      <w:r>
        <w:rPr>
          <w:rFonts w:ascii="Georgia" w:hAnsi="Georgia" w:cs="Georgia"/>
          <w:b w:val="0"/>
          <w:i/>
          <w:color w:val="3A2F26"/>
          <w:sz w:val="22"/>
        </w:rPr>
        <w:t>Bet #1 is sequenced first (claim Process Power via the Procurement Playbook). Bet #2 second (collect equity at a vertical-agent winner). Bet #3 third (compound as advisory). Bets #4 and #5 fold into #1 as modules.</w:t>
      </w:r>
    </w:p>
    <w:p>
      <w:r>
        <w:br w:type="page"/>
      </w:r>
    </w:p>
    <w:p>
      <w:pPr>
        <w:pStyle w:val="Heading1"/>
        <w:spacing w:before="360" w:after="200"/>
      </w:pPr>
      <w:r>
        <w:rPr>
          <w:rFonts w:ascii="Georgia" w:hAnsi="Georgia" w:cs="Georgia"/>
          <w:b/>
          <w:i w:val="0"/>
          <w:color w:val="171210"/>
          <w:sz w:val="44"/>
        </w:rPr>
        <w:t>The plates</w:t>
      </w:r>
    </w:p>
    <w:p>
      <w:pPr>
        <w:spacing w:after="120"/>
      </w:pPr>
      <w:r>
        <w:rPr>
          <w:rFonts w:ascii="Georgia" w:hAnsi="Georgia" w:cs="Georgia"/>
          <w:b w:val="0"/>
          <w:i/>
          <w:color w:val="3A2F26"/>
          <w:sz w:val="22"/>
        </w:rPr>
        <w:t>Twelve plates in the order they should be experienced. The visual atlas lives in AI_AGENTS_MASTER_PLATES.pdf — this section tells you what each plate is for and what to extract from it.</w:t>
      </w:r>
    </w:p>
    <w:p>
      <w:pPr>
        <w:pStyle w:val="Heading2"/>
        <w:spacing w:before="280" w:after="120"/>
      </w:pPr>
      <w:r>
        <w:rPr>
          <w:rFonts w:ascii="Georgia" w:hAnsi="Georgia" w:cs="Georgia"/>
          <w:b/>
          <w:i w:val="0"/>
          <w:color w:val="171210"/>
          <w:sz w:val="30"/>
        </w:rPr>
        <w:t>Plate M — Master Plate</w:t>
      </w:r>
    </w:p>
    <w:p>
      <w:pPr>
        <w:spacing w:after="120"/>
      </w:pPr>
      <w:r>
        <w:rPr>
          <w:rFonts w:ascii="Georgia" w:hAnsi="Georgia" w:cs="Georgia"/>
          <w:b w:val="0"/>
          <w:i w:val="0"/>
          <w:sz w:val="22"/>
        </w:rPr>
        <w:t>The synthesis frontispiece. The agent layer drawn as one connected system: ten sub-strata stacked vertically, four meta-strata wrapping horizontally, the seven Bets sketched as actions in the margins.</w:t>
      </w:r>
    </w:p>
    <w:p>
      <w:pPr>
        <w:spacing w:after="40"/>
      </w:pPr>
      <w:r>
        <w:rPr>
          <w:rFonts w:ascii="Consolas" w:hAnsi="Consolas" w:cs="Consolas"/>
          <w:b/>
          <w:i w:val="0"/>
          <w:color w:val="A6371F"/>
          <w:sz w:val="16"/>
        </w:rPr>
        <w:t>EXTRACT</w:t>
      </w:r>
    </w:p>
    <w:p>
      <w:pPr>
        <w:spacing w:after="200"/>
      </w:pPr>
      <w:r>
        <w:rPr>
          <w:rFonts w:ascii="Georgia" w:hAnsi="Georgia" w:cs="Georgia"/>
          <w:b w:val="0"/>
          <w:i/>
          <w:color w:val="3A2F26"/>
          <w:sz w:val="22"/>
        </w:rPr>
        <w:t>Where on this single page do you most want to put your next 12 months of attention? That quadrant is your reading lens for everything that follows.</w:t>
      </w:r>
    </w:p>
    <w:p>
      <w:pPr>
        <w:pStyle w:val="Heading2"/>
        <w:spacing w:before="280" w:after="120"/>
      </w:pPr>
      <w:r>
        <w:rPr>
          <w:rFonts w:ascii="Georgia" w:hAnsi="Georgia" w:cs="Georgia"/>
          <w:b/>
          <w:i w:val="0"/>
          <w:color w:val="171210"/>
          <w:sz w:val="30"/>
        </w:rPr>
        <w:t>Substrate Volume I — Plates I–VI · the agent column</w:t>
      </w:r>
    </w:p>
    <w:p>
      <w:pPr>
        <w:spacing w:after="40" w:before="120"/>
      </w:pPr>
      <w:r>
        <w:rPr>
          <w:rFonts w:ascii="Consolas" w:hAnsi="Consolas" w:cs="Consolas"/>
          <w:b/>
          <w:i w:val="0"/>
          <w:color w:val="A37425"/>
          <w:sz w:val="19"/>
        </w:rPr>
        <w:t xml:space="preserve">Plate I  ·  </w:t>
      </w:r>
      <w:r>
        <w:rPr>
          <w:rFonts w:ascii="Georgia" w:hAnsi="Georgia" w:cs="Georgia"/>
          <w:b/>
          <w:i w:val="0"/>
          <w:color w:val="171210"/>
          <w:sz w:val="23"/>
        </w:rPr>
        <w:t>Index of the agent column</w:t>
      </w:r>
    </w:p>
    <w:p>
      <w:pPr>
        <w:spacing w:after="80"/>
      </w:pPr>
      <w:r>
        <w:rPr>
          <w:rFonts w:ascii="Georgia" w:hAnsi="Georgia" w:cs="Georgia"/>
          <w:b w:val="0"/>
          <w:i w:val="0"/>
          <w:color w:val="3A2F26"/>
          <w:sz w:val="21"/>
        </w:rPr>
        <w:t>The ten sub-strata named and stacked. The reading order for the Report. Every other plate is a zoom into one of these rows.</w:t>
      </w:r>
    </w:p>
    <w:p>
      <w:pPr>
        <w:spacing w:after="40" w:before="120"/>
      </w:pPr>
      <w:r>
        <w:rPr>
          <w:rFonts w:ascii="Consolas" w:hAnsi="Consolas" w:cs="Consolas"/>
          <w:b/>
          <w:i w:val="0"/>
          <w:color w:val="A37425"/>
          <w:sz w:val="19"/>
        </w:rPr>
        <w:t xml:space="preserve">Plate II  ·  </w:t>
      </w:r>
      <w:r>
        <w:rPr>
          <w:rFonts w:ascii="Georgia" w:hAnsi="Georgia" w:cs="Georgia"/>
          <w:b/>
          <w:i w:val="0"/>
          <w:color w:val="171210"/>
          <w:sz w:val="23"/>
        </w:rPr>
        <w:t>The cognition loop</w:t>
      </w:r>
    </w:p>
    <w:p>
      <w:pPr>
        <w:spacing w:after="80"/>
      </w:pPr>
      <w:r>
        <w:rPr>
          <w:rFonts w:ascii="Georgia" w:hAnsi="Georgia" w:cs="Georgia"/>
          <w:b w:val="0"/>
          <w:i w:val="0"/>
          <w:color w:val="3A2F26"/>
          <w:sz w:val="21"/>
        </w:rPr>
        <w:t>Perceive · plan · act · reflect. Read this before Report Part II so the planning / reasoning vocabulary lands precisely.</w:t>
      </w:r>
    </w:p>
    <w:p>
      <w:pPr>
        <w:spacing w:after="40" w:before="120"/>
      </w:pPr>
      <w:r>
        <w:rPr>
          <w:rFonts w:ascii="Consolas" w:hAnsi="Consolas" w:cs="Consolas"/>
          <w:b/>
          <w:i w:val="0"/>
          <w:color w:val="A37425"/>
          <w:sz w:val="19"/>
        </w:rPr>
        <w:t xml:space="preserve">Plate III  ·  </w:t>
      </w:r>
      <w:r>
        <w:rPr>
          <w:rFonts w:ascii="Georgia" w:hAnsi="Georgia" w:cs="Georgia"/>
          <w:b/>
          <w:i w:val="0"/>
          <w:color w:val="171210"/>
          <w:sz w:val="23"/>
        </w:rPr>
        <w:t>Memory and state</w:t>
      </w:r>
    </w:p>
    <w:p>
      <w:pPr>
        <w:spacing w:after="80"/>
      </w:pPr>
      <w:r>
        <w:rPr>
          <w:rFonts w:ascii="Georgia" w:hAnsi="Georgia" w:cs="Georgia"/>
          <w:b w:val="0"/>
          <w:i w:val="0"/>
          <w:color w:val="3A2F26"/>
          <w:sz w:val="21"/>
        </w:rPr>
        <w:t>Short-term scratchpad, episodic, long-term, shared. The single plate that separates demo-grade agents from production-grade.</w:t>
      </w:r>
    </w:p>
    <w:p>
      <w:pPr>
        <w:spacing w:after="40" w:before="120"/>
      </w:pPr>
      <w:r>
        <w:rPr>
          <w:rFonts w:ascii="Consolas" w:hAnsi="Consolas" w:cs="Consolas"/>
          <w:b/>
          <w:i w:val="0"/>
          <w:color w:val="A37425"/>
          <w:sz w:val="19"/>
        </w:rPr>
        <w:t xml:space="preserve">Plate IV  ·  </w:t>
      </w:r>
      <w:r>
        <w:rPr>
          <w:rFonts w:ascii="Georgia" w:hAnsi="Georgia" w:cs="Georgia"/>
          <w:b/>
          <w:i w:val="0"/>
          <w:color w:val="171210"/>
          <w:sz w:val="23"/>
        </w:rPr>
        <w:t>Action surfaces</w:t>
      </w:r>
    </w:p>
    <w:p>
      <w:pPr>
        <w:spacing w:after="80"/>
      </w:pPr>
      <w:r>
        <w:rPr>
          <w:rFonts w:ascii="Georgia" w:hAnsi="Georgia" w:cs="Georgia"/>
          <w:b w:val="0"/>
          <w:i w:val="0"/>
          <w:color w:val="3A2F26"/>
          <w:sz w:val="21"/>
        </w:rPr>
        <w:t>Tool use, browser, code interpreter, computer use, voice. Each surface has its own safety story — read with Report Part III open.</w:t>
      </w:r>
    </w:p>
    <w:p>
      <w:pPr>
        <w:spacing w:after="40" w:before="120"/>
      </w:pPr>
      <w:r>
        <w:rPr>
          <w:rFonts w:ascii="Consolas" w:hAnsi="Consolas" w:cs="Consolas"/>
          <w:b/>
          <w:i w:val="0"/>
          <w:color w:val="A37425"/>
          <w:sz w:val="19"/>
        </w:rPr>
        <w:t xml:space="preserve">Plate V  ·  </w:t>
      </w:r>
      <w:r>
        <w:rPr>
          <w:rFonts w:ascii="Georgia" w:hAnsi="Georgia" w:cs="Georgia"/>
          <w:b/>
          <w:i w:val="0"/>
          <w:color w:val="171210"/>
          <w:sz w:val="23"/>
        </w:rPr>
        <w:t>Vertical products</w:t>
      </w:r>
    </w:p>
    <w:p>
      <w:pPr>
        <w:spacing w:after="80"/>
      </w:pPr>
      <w:r>
        <w:rPr>
          <w:rFonts w:ascii="Georgia" w:hAnsi="Georgia" w:cs="Georgia"/>
          <w:b w:val="0"/>
          <w:i w:val="0"/>
          <w:color w:val="3A2F26"/>
          <w:sz w:val="21"/>
        </w:rPr>
        <w:t>Where the agent meets the buyer. Sierra · Decagon · Glean · Harvey · Hippocratic. This is Bet #2's hunting ground.</w:t>
      </w:r>
    </w:p>
    <w:p>
      <w:pPr>
        <w:spacing w:after="40" w:before="120"/>
      </w:pPr>
      <w:r>
        <w:rPr>
          <w:rFonts w:ascii="Consolas" w:hAnsi="Consolas" w:cs="Consolas"/>
          <w:b/>
          <w:i w:val="0"/>
          <w:color w:val="A37425"/>
          <w:sz w:val="19"/>
        </w:rPr>
        <w:t xml:space="preserve">Plate VI  ·  </w:t>
      </w:r>
      <w:r>
        <w:rPr>
          <w:rFonts w:ascii="Georgia" w:hAnsi="Georgia" w:cs="Georgia"/>
          <w:b/>
          <w:i w:val="0"/>
          <w:color w:val="171210"/>
          <w:sz w:val="23"/>
        </w:rPr>
        <w:t>Evaluation · observability · safety · regulation</w:t>
      </w:r>
    </w:p>
    <w:p>
      <w:pPr>
        <w:spacing w:after="80"/>
      </w:pPr>
      <w:r>
        <w:rPr>
          <w:rFonts w:ascii="Georgia" w:hAnsi="Georgia" w:cs="Georgia"/>
          <w:b w:val="0"/>
          <w:i w:val="0"/>
          <w:color w:val="3A2F26"/>
          <w:sz w:val="21"/>
        </w:rPr>
        <w:t>The four meta-strata that wrap the column. The plate that makes Bet #1's procurement angle visible.</w:t>
      </w:r>
    </w:p>
    <w:p>
      <w:pPr>
        <w:pStyle w:val="Heading2"/>
        <w:spacing w:before="280" w:after="120"/>
      </w:pPr>
      <w:r>
        <w:rPr>
          <w:rFonts w:ascii="Georgia" w:hAnsi="Georgia" w:cs="Georgia"/>
          <w:b/>
          <w:i w:val="0"/>
          <w:color w:val="171210"/>
          <w:sz w:val="30"/>
        </w:rPr>
        <w:t>Substrate Volume II — Plates VII–XI · the framework plates</w:t>
      </w:r>
    </w:p>
    <w:p>
      <w:pPr>
        <w:spacing w:after="40" w:before="120"/>
      </w:pPr>
      <w:r>
        <w:rPr>
          <w:rFonts w:ascii="Consolas" w:hAnsi="Consolas" w:cs="Consolas"/>
          <w:b/>
          <w:i w:val="0"/>
          <w:color w:val="A37425"/>
          <w:sz w:val="19"/>
        </w:rPr>
        <w:t xml:space="preserve">Plate VII  ·  </w:t>
      </w:r>
      <w:r>
        <w:rPr>
          <w:rFonts w:ascii="Georgia" w:hAnsi="Georgia" w:cs="Georgia"/>
          <w:b/>
          <w:i w:val="0"/>
          <w:color w:val="171210"/>
          <w:sz w:val="23"/>
        </w:rPr>
        <w:t>OCQ heat map</w:t>
      </w:r>
    </w:p>
    <w:p>
      <w:pPr>
        <w:spacing w:after="80"/>
      </w:pPr>
      <w:r>
        <w:rPr>
          <w:rFonts w:ascii="Georgia" w:hAnsi="Georgia" w:cs="Georgia"/>
          <w:b w:val="0"/>
          <w:i w:val="0"/>
          <w:color w:val="3A2F26"/>
          <w:sz w:val="21"/>
        </w:rPr>
        <w:t>Opportunities · Challenges · Open Questions painted across every stratum. The plate that names where the gaps are.</w:t>
      </w:r>
    </w:p>
    <w:p>
      <w:pPr>
        <w:spacing w:after="40" w:before="120"/>
      </w:pPr>
      <w:r>
        <w:rPr>
          <w:rFonts w:ascii="Consolas" w:hAnsi="Consolas" w:cs="Consolas"/>
          <w:b/>
          <w:i w:val="0"/>
          <w:color w:val="A37425"/>
          <w:sz w:val="19"/>
        </w:rPr>
        <w:t xml:space="preserve">Plate VIII  ·  </w:t>
      </w:r>
      <w:r>
        <w:rPr>
          <w:rFonts w:ascii="Georgia" w:hAnsi="Georgia" w:cs="Georgia"/>
          <w:b/>
          <w:i w:val="0"/>
          <w:color w:val="171210"/>
          <w:sz w:val="23"/>
        </w:rPr>
        <w:t>Wardley map of the agent stack</w:t>
      </w:r>
    </w:p>
    <w:p>
      <w:pPr>
        <w:spacing w:after="80"/>
      </w:pPr>
      <w:r>
        <w:rPr>
          <w:rFonts w:ascii="Georgia" w:hAnsi="Georgia" w:cs="Georgia"/>
          <w:b w:val="0"/>
          <w:i w:val="0"/>
          <w:color w:val="3A2F26"/>
          <w:sz w:val="21"/>
        </w:rPr>
        <w:t>Genesis → Custom → Product → Commodity for every component. The claimable flags. Where Bet #3 lives.</w:t>
      </w:r>
    </w:p>
    <w:p>
      <w:pPr>
        <w:spacing w:after="40" w:before="120"/>
      </w:pPr>
      <w:r>
        <w:rPr>
          <w:rFonts w:ascii="Consolas" w:hAnsi="Consolas" w:cs="Consolas"/>
          <w:b/>
          <w:i w:val="0"/>
          <w:color w:val="A37425"/>
          <w:sz w:val="19"/>
        </w:rPr>
        <w:t xml:space="preserve">Plate IX  ·  </w:t>
      </w:r>
      <w:r>
        <w:rPr>
          <w:rFonts w:ascii="Georgia" w:hAnsi="Georgia" w:cs="Georgia"/>
          <w:b/>
          <w:i w:val="0"/>
          <w:color w:val="171210"/>
          <w:sz w:val="23"/>
        </w:rPr>
        <w:t>Helmer's 7 Powers at the agent layer</w:t>
      </w:r>
    </w:p>
    <w:p>
      <w:pPr>
        <w:spacing w:after="80"/>
      </w:pPr>
      <w:r>
        <w:rPr>
          <w:rFonts w:ascii="Georgia" w:hAnsi="Georgia" w:cs="Georgia"/>
          <w:b w:val="0"/>
          <w:i w:val="0"/>
          <w:color w:val="3A2F26"/>
          <w:sz w:val="21"/>
        </w:rPr>
        <w:t>Which of the seven powers actually compound here. Procurement Process Power at the meta-layer is Alex's only durable claim.</w:t>
      </w:r>
    </w:p>
    <w:p>
      <w:pPr>
        <w:spacing w:after="40" w:before="120"/>
      </w:pPr>
      <w:r>
        <w:rPr>
          <w:rFonts w:ascii="Consolas" w:hAnsi="Consolas" w:cs="Consolas"/>
          <w:b/>
          <w:i w:val="0"/>
          <w:color w:val="A37425"/>
          <w:sz w:val="19"/>
        </w:rPr>
        <w:t xml:space="preserve">Plate X  ·  </w:t>
      </w:r>
      <w:r>
        <w:rPr>
          <w:rFonts w:ascii="Georgia" w:hAnsi="Georgia" w:cs="Georgia"/>
          <w:b/>
          <w:i w:val="0"/>
          <w:color w:val="171210"/>
          <w:sz w:val="23"/>
        </w:rPr>
        <w:t>Six ecosystem-level jobs to be done</w:t>
      </w:r>
    </w:p>
    <w:p>
      <w:pPr>
        <w:spacing w:after="80"/>
      </w:pPr>
      <w:r>
        <w:rPr>
          <w:rFonts w:ascii="Georgia" w:hAnsi="Georgia" w:cs="Georgia"/>
          <w:b w:val="0"/>
          <w:i w:val="0"/>
          <w:color w:val="3A2F26"/>
          <w:sz w:val="21"/>
        </w:rPr>
        <w:t>The Job 6 phase map IS the Procurement Playbook's table of contents. Read this before drafting Bet #1.</w:t>
      </w:r>
    </w:p>
    <w:p>
      <w:pPr>
        <w:spacing w:after="40" w:before="120"/>
      </w:pPr>
      <w:r>
        <w:rPr>
          <w:rFonts w:ascii="Consolas" w:hAnsi="Consolas" w:cs="Consolas"/>
          <w:b/>
          <w:i w:val="0"/>
          <w:color w:val="A37425"/>
          <w:sz w:val="19"/>
        </w:rPr>
        <w:t xml:space="preserve">Plate XI  ·  </w:t>
      </w:r>
      <w:r>
        <w:rPr>
          <w:rFonts w:ascii="Georgia" w:hAnsi="Georgia" w:cs="Georgia"/>
          <w:b/>
          <w:i w:val="0"/>
          <w:color w:val="171210"/>
          <w:sz w:val="23"/>
        </w:rPr>
        <w:t>The Action Portfolio</w:t>
      </w:r>
    </w:p>
    <w:p>
      <w:pPr>
        <w:spacing w:after="80"/>
      </w:pPr>
      <w:r>
        <w:rPr>
          <w:rFonts w:ascii="Georgia" w:hAnsi="Georgia" w:cs="Georgia"/>
          <w:b w:val="0"/>
          <w:i w:val="0"/>
          <w:color w:val="3A2F26"/>
          <w:sz w:val="21"/>
        </w:rPr>
        <w:t>The seven Bets refreshed, sequenced, sized. Compare to Tracker §A for the same content in update-cadence form.</w:t>
      </w:r>
    </w:p>
    <w:p>
      <w:r>
        <w:br w:type="page"/>
      </w:r>
    </w:p>
    <w:p>
      <w:pPr>
        <w:pStyle w:val="Heading1"/>
        <w:spacing w:before="360" w:after="200"/>
      </w:pPr>
      <w:r>
        <w:rPr>
          <w:rFonts w:ascii="Georgia" w:hAnsi="Georgia" w:cs="Georgia"/>
          <w:b/>
          <w:i w:val="0"/>
          <w:color w:val="171210"/>
          <w:sz w:val="44"/>
        </w:rPr>
        <w:t>The readings</w:t>
      </w:r>
    </w:p>
    <w:p>
      <w:pPr>
        <w:spacing w:after="120"/>
      </w:pPr>
      <w:r>
        <w:rPr>
          <w:rFonts w:ascii="Georgia" w:hAnsi="Georgia" w:cs="Georgia"/>
          <w:b w:val="0"/>
          <w:i/>
          <w:color w:val="3A2F26"/>
          <w:sz w:val="22"/>
        </w:rPr>
        <w:t>Three prose artifacts make up the descriptive and decisive layers. Read them in the order below; each later document assumes the earlier one.</w:t>
      </w:r>
    </w:p>
    <w:p>
      <w:pPr>
        <w:pStyle w:val="Heading2"/>
        <w:spacing w:before="280" w:after="120"/>
      </w:pPr>
      <w:r>
        <w:rPr>
          <w:rFonts w:ascii="Georgia" w:hAnsi="Georgia" w:cs="Georgia"/>
          <w:b/>
          <w:i w:val="0"/>
          <w:color w:val="171210"/>
          <w:sz w:val="30"/>
        </w:rPr>
        <w:t>AI_AGENTS_REPORT.docx — Foundation Reference (~10,000 words)</w:t>
      </w:r>
    </w:p>
    <w:p>
      <w:pPr>
        <w:spacing w:after="120"/>
      </w:pPr>
      <w:r>
        <w:rPr>
          <w:rFonts w:ascii="Georgia" w:hAnsi="Georgia" w:cs="Georgia"/>
          <w:b w:val="0"/>
          <w:i w:val="0"/>
          <w:sz w:val="22"/>
        </w:rPr>
        <w:t>The descriptive volume. Walks every stratum top-to-bottom in prose. Read with Plates I–VI open beside you — the plates are the same content drawn for memory; the report is the same content drawn for argument.</w:t>
      </w:r>
    </w:p>
    <w:p>
      <w:pPr>
        <w:spacing w:after="120"/>
      </w:pPr>
      <w:r>
        <w:rPr>
          <w:rFonts w:ascii="Georgia" w:hAnsi="Georgia" w:cs="Georgia"/>
          <w:b w:val="0"/>
          <w:i/>
          <w:color w:val="3A2F26"/>
          <w:sz w:val="21"/>
        </w:rPr>
        <w:t>Contents in reading order:</w:t>
      </w:r>
    </w:p>
    <w:p>
      <w:pPr>
        <w:pStyle w:val="ListBullet"/>
        <w:spacing w:after="60"/>
        <w:ind w:left="360"/>
      </w:pPr>
      <w:r>
        <w:rPr>
          <w:rFonts w:ascii="Calibri" w:hAnsi="Calibri" w:cs="Calibri"/>
          <w:b/>
          <w:i w:val="0"/>
          <w:color w:val="171210"/>
          <w:sz w:val="22"/>
        </w:rPr>
        <w:t>Preamble + Executive Summary</w:t>
      </w:r>
    </w:p>
    <w:p>
      <w:pPr>
        <w:spacing w:after="80"/>
        <w:ind w:left="792"/>
      </w:pPr>
      <w:r>
        <w:rPr>
          <w:rFonts w:ascii="Georgia" w:hAnsi="Georgia" w:cs="Georgia"/>
          <w:b w:val="0"/>
          <w:i/>
          <w:color w:val="3A2F26"/>
          <w:sz w:val="21"/>
        </w:rPr>
        <w:t>The five forces structuring the agent layer in one breath. Read first, then again last.</w:t>
      </w:r>
    </w:p>
    <w:p>
      <w:pPr>
        <w:pStyle w:val="ListBullet"/>
        <w:spacing w:after="60"/>
        <w:ind w:left="360"/>
      </w:pPr>
      <w:r>
        <w:rPr>
          <w:rFonts w:ascii="Calibri" w:hAnsi="Calibri" w:cs="Calibri"/>
          <w:b/>
          <w:i w:val="0"/>
          <w:color w:val="171210"/>
          <w:sz w:val="22"/>
        </w:rPr>
        <w:t>Part I · The Capability Substrate</w:t>
      </w:r>
    </w:p>
    <w:p>
      <w:pPr>
        <w:spacing w:after="80"/>
        <w:ind w:left="792"/>
      </w:pPr>
      <w:r>
        <w:rPr>
          <w:rFonts w:ascii="Georgia" w:hAnsi="Georgia" w:cs="Georgia"/>
          <w:b w:val="0"/>
          <w:i/>
          <w:color w:val="3A2F26"/>
          <w:sz w:val="21"/>
        </w:rPr>
        <w:t>Foundation models with agentic capability · runtimes and harnesses · the MCP tool-use protocol. Plates I–II.</w:t>
      </w:r>
    </w:p>
    <w:p>
      <w:pPr>
        <w:pStyle w:val="ListBullet"/>
        <w:spacing w:after="60"/>
        <w:ind w:left="360"/>
      </w:pPr>
      <w:r>
        <w:rPr>
          <w:rFonts w:ascii="Calibri" w:hAnsi="Calibri" w:cs="Calibri"/>
          <w:b/>
          <w:i w:val="0"/>
          <w:color w:val="171210"/>
          <w:sz w:val="22"/>
        </w:rPr>
        <w:t>Part II · The Loops of Cognition</w:t>
      </w:r>
    </w:p>
    <w:p>
      <w:pPr>
        <w:spacing w:after="80"/>
        <w:ind w:left="792"/>
      </w:pPr>
      <w:r>
        <w:rPr>
          <w:rFonts w:ascii="Georgia" w:hAnsi="Georgia" w:cs="Georgia"/>
          <w:b w:val="0"/>
          <w:i/>
          <w:color w:val="3A2F26"/>
          <w:sz w:val="21"/>
        </w:rPr>
        <w:t>Memory and state · planning and reasoning · capability and safety. Plates III + parts of VI.</w:t>
      </w:r>
    </w:p>
    <w:p>
      <w:pPr>
        <w:pStyle w:val="ListBullet"/>
        <w:spacing w:after="60"/>
        <w:ind w:left="360"/>
      </w:pPr>
      <w:r>
        <w:rPr>
          <w:rFonts w:ascii="Calibri" w:hAnsi="Calibri" w:cs="Calibri"/>
          <w:b/>
          <w:i w:val="0"/>
          <w:color w:val="171210"/>
          <w:sz w:val="22"/>
        </w:rPr>
        <w:t>Part III · Action and Defense Surfaces</w:t>
      </w:r>
    </w:p>
    <w:p>
      <w:pPr>
        <w:spacing w:after="80"/>
        <w:ind w:left="792"/>
      </w:pPr>
      <w:r>
        <w:rPr>
          <w:rFonts w:ascii="Georgia" w:hAnsi="Georgia" w:cs="Georgia"/>
          <w:b w:val="0"/>
          <w:i/>
          <w:color w:val="3A2F26"/>
          <w:sz w:val="21"/>
        </w:rPr>
        <w:t>Action surfaces · evaluation, observability, safety · regulation. Plates IV + VI.</w:t>
      </w:r>
    </w:p>
    <w:p>
      <w:pPr>
        <w:pStyle w:val="ListBullet"/>
        <w:spacing w:after="60"/>
        <w:ind w:left="360"/>
      </w:pPr>
      <w:r>
        <w:rPr>
          <w:rFonts w:ascii="Calibri" w:hAnsi="Calibri" w:cs="Calibri"/>
          <w:b/>
          <w:i w:val="0"/>
          <w:color w:val="171210"/>
          <w:sz w:val="22"/>
        </w:rPr>
        <w:t>Part IV · The Productized Layer</w:t>
      </w:r>
    </w:p>
    <w:p>
      <w:pPr>
        <w:spacing w:after="80"/>
        <w:ind w:left="792"/>
      </w:pPr>
      <w:r>
        <w:rPr>
          <w:rFonts w:ascii="Georgia" w:hAnsi="Georgia" w:cs="Georgia"/>
          <w:b w:val="0"/>
          <w:i/>
          <w:color w:val="3A2F26"/>
          <w:sz w:val="21"/>
        </w:rPr>
        <w:t>Vertical products · end-user surfaces. Plate V. The bridge from the descriptive layer into Bet #2's hunting ground.</w:t>
      </w:r>
    </w:p>
    <w:p>
      <w:pPr>
        <w:pStyle w:val="Heading2"/>
        <w:spacing w:before="280" w:after="120"/>
      </w:pPr>
      <w:r>
        <w:rPr>
          <w:rFonts w:ascii="Georgia" w:hAnsi="Georgia" w:cs="Georgia"/>
          <w:b/>
          <w:i w:val="0"/>
          <w:color w:val="171210"/>
          <w:sz w:val="30"/>
        </w:rPr>
        <w:t>AI_AGENTS_ADDENDUM.docx — Decisions Playbook (~17,000 words)</w:t>
      </w:r>
    </w:p>
    <w:p>
      <w:pPr>
        <w:spacing w:after="120"/>
      </w:pPr>
      <w:r>
        <w:rPr>
          <w:rFonts w:ascii="Georgia" w:hAnsi="Georgia" w:cs="Georgia"/>
          <w:b w:val="0"/>
          <w:i w:val="0"/>
          <w:sz w:val="22"/>
        </w:rPr>
        <w:t>The decisive volume. Five frameworks applied at agent-layer resolution, then collapsed into the seven Bets, five Risks, five Cruxes, and the six-month action map. Read with Plates VII–XI open beside you.</w:t>
      </w:r>
    </w:p>
    <w:p>
      <w:pPr>
        <w:spacing w:after="120"/>
      </w:pPr>
      <w:r>
        <w:rPr>
          <w:rFonts w:ascii="Georgia" w:hAnsi="Georgia" w:cs="Georgia"/>
          <w:b w:val="0"/>
          <w:i/>
          <w:color w:val="3A2F26"/>
          <w:sz w:val="21"/>
        </w:rPr>
        <w:t>Contents in reading order:</w:t>
      </w:r>
    </w:p>
    <w:p>
      <w:pPr>
        <w:pStyle w:val="ListBullet"/>
        <w:spacing w:after="60"/>
        <w:ind w:left="360"/>
      </w:pPr>
      <w:r>
        <w:rPr>
          <w:rFonts w:ascii="Calibri" w:hAnsi="Calibri" w:cs="Calibri"/>
          <w:b/>
          <w:i w:val="0"/>
          <w:color w:val="171210"/>
          <w:sz w:val="22"/>
        </w:rPr>
        <w:t>Part VI · Methodology</w:t>
      </w:r>
    </w:p>
    <w:p>
      <w:pPr>
        <w:spacing w:after="80"/>
        <w:ind w:left="792"/>
      </w:pPr>
      <w:r>
        <w:rPr>
          <w:rFonts w:ascii="Georgia" w:hAnsi="Georgia" w:cs="Georgia"/>
          <w:b w:val="0"/>
          <w:i/>
          <w:color w:val="3A2F26"/>
          <w:sz w:val="21"/>
        </w:rPr>
        <w:t>How the five lenses inherit from and depart from the parent OCQ tracker.</w:t>
      </w:r>
    </w:p>
    <w:p>
      <w:pPr>
        <w:pStyle w:val="ListBullet"/>
        <w:spacing w:after="60"/>
        <w:ind w:left="360"/>
      </w:pPr>
      <w:r>
        <w:rPr>
          <w:rFonts w:ascii="Calibri" w:hAnsi="Calibri" w:cs="Calibri"/>
          <w:b/>
          <w:i w:val="0"/>
          <w:color w:val="171210"/>
          <w:sz w:val="22"/>
        </w:rPr>
        <w:t>Part VII · The OCQ × Agent Sub-Stratum Matrix</w:t>
      </w:r>
    </w:p>
    <w:p>
      <w:pPr>
        <w:spacing w:after="80"/>
        <w:ind w:left="792"/>
      </w:pPr>
      <w:r>
        <w:rPr>
          <w:rFonts w:ascii="Georgia" w:hAnsi="Georgia" w:cs="Georgia"/>
          <w:b w:val="0"/>
          <w:i/>
          <w:color w:val="3A2F26"/>
          <w:sz w:val="21"/>
        </w:rPr>
        <w:t>Opportunities, challenges, open questions per stratum. Plate VII.</w:t>
      </w:r>
    </w:p>
    <w:p>
      <w:pPr>
        <w:pStyle w:val="ListBullet"/>
        <w:spacing w:after="60"/>
        <w:ind w:left="360"/>
      </w:pPr>
      <w:r>
        <w:rPr>
          <w:rFonts w:ascii="Calibri" w:hAnsi="Calibri" w:cs="Calibri"/>
          <w:b/>
          <w:i w:val="0"/>
          <w:color w:val="171210"/>
          <w:sz w:val="22"/>
        </w:rPr>
        <w:t>Part VIII · Wardley Mapping the Agent Stack</w:t>
      </w:r>
    </w:p>
    <w:p>
      <w:pPr>
        <w:spacing w:after="80"/>
        <w:ind w:left="792"/>
      </w:pPr>
      <w:r>
        <w:rPr>
          <w:rFonts w:ascii="Georgia" w:hAnsi="Georgia" w:cs="Georgia"/>
          <w:b w:val="0"/>
          <w:i/>
          <w:color w:val="3A2F26"/>
          <w:sz w:val="21"/>
        </w:rPr>
        <w:t>Component evolution map and the claimable flags. Plate VIII.</w:t>
      </w:r>
    </w:p>
    <w:p>
      <w:pPr>
        <w:pStyle w:val="ListBullet"/>
        <w:spacing w:after="60"/>
        <w:ind w:left="360"/>
      </w:pPr>
      <w:r>
        <w:rPr>
          <w:rFonts w:ascii="Calibri" w:hAnsi="Calibri" w:cs="Calibri"/>
          <w:b/>
          <w:i w:val="0"/>
          <w:color w:val="171210"/>
          <w:sz w:val="22"/>
        </w:rPr>
        <w:t>Part IX · Helmer's 7 Powers and Agent-Layer Durability</w:t>
      </w:r>
    </w:p>
    <w:p>
      <w:pPr>
        <w:spacing w:after="80"/>
        <w:ind w:left="792"/>
      </w:pPr>
      <w:r>
        <w:rPr>
          <w:rFonts w:ascii="Georgia" w:hAnsi="Georgia" w:cs="Georgia"/>
          <w:b w:val="0"/>
          <w:i/>
          <w:color w:val="3A2F26"/>
          <w:sz w:val="21"/>
        </w:rPr>
        <w:t>Which of the seven powers actually hold at this layer. Plate IX.</w:t>
      </w:r>
    </w:p>
    <w:p>
      <w:pPr>
        <w:pStyle w:val="ListBullet"/>
        <w:spacing w:after="60"/>
        <w:ind w:left="360"/>
      </w:pPr>
      <w:r>
        <w:rPr>
          <w:rFonts w:ascii="Calibri" w:hAnsi="Calibri" w:cs="Calibri"/>
          <w:b/>
          <w:i w:val="0"/>
          <w:color w:val="171210"/>
          <w:sz w:val="22"/>
        </w:rPr>
        <w:t>Part X · Ecosystem-Level Jobs to be Done</w:t>
      </w:r>
    </w:p>
    <w:p>
      <w:pPr>
        <w:spacing w:after="80"/>
        <w:ind w:left="792"/>
      </w:pPr>
      <w:r>
        <w:rPr>
          <w:rFonts w:ascii="Georgia" w:hAnsi="Georgia" w:cs="Georgia"/>
          <w:b w:val="0"/>
          <w:i/>
          <w:color w:val="3A2F26"/>
          <w:sz w:val="21"/>
        </w:rPr>
        <w:t>The six jobs the agent layer performs for buyers. Plate X.</w:t>
      </w:r>
    </w:p>
    <w:p>
      <w:pPr>
        <w:pStyle w:val="ListBullet"/>
        <w:spacing w:after="60"/>
        <w:ind w:left="360"/>
      </w:pPr>
      <w:r>
        <w:rPr>
          <w:rFonts w:ascii="Calibri" w:hAnsi="Calibri" w:cs="Calibri"/>
          <w:b/>
          <w:i w:val="0"/>
          <w:color w:val="171210"/>
          <w:sz w:val="22"/>
        </w:rPr>
        <w:t>Part XI · Synthesis — Seven Bets Refreshed, Five Risks, Five Cruxes</w:t>
      </w:r>
    </w:p>
    <w:p>
      <w:pPr>
        <w:spacing w:after="80"/>
        <w:ind w:left="792"/>
      </w:pPr>
      <w:r>
        <w:rPr>
          <w:rFonts w:ascii="Georgia" w:hAnsi="Georgia" w:cs="Georgia"/>
          <w:b w:val="0"/>
          <w:i/>
          <w:color w:val="3A2F26"/>
          <w:sz w:val="21"/>
        </w:rPr>
        <w:t>The synthesis document. Plate XI. The single chapter to read if you only have twenty minutes.</w:t>
      </w:r>
    </w:p>
    <w:p>
      <w:pPr>
        <w:pStyle w:val="ListBullet"/>
        <w:spacing w:after="60"/>
        <w:ind w:left="360"/>
      </w:pPr>
      <w:r>
        <w:rPr>
          <w:rFonts w:ascii="Calibri" w:hAnsi="Calibri" w:cs="Calibri"/>
          <w:b/>
          <w:i w:val="0"/>
          <w:color w:val="171210"/>
          <w:sz w:val="22"/>
        </w:rPr>
        <w:t>Part XII · 6 / 12 / 18-Month Action Map</w:t>
      </w:r>
    </w:p>
    <w:p>
      <w:pPr>
        <w:spacing w:after="80"/>
        <w:ind w:left="792"/>
      </w:pPr>
      <w:r>
        <w:rPr>
          <w:rFonts w:ascii="Georgia" w:hAnsi="Georgia" w:cs="Georgia"/>
          <w:b w:val="0"/>
          <w:i/>
          <w:color w:val="3A2F26"/>
          <w:sz w:val="21"/>
        </w:rPr>
        <w:t>The operating playbook. The Projects section of this volume is the rendered form of this part.</w:t>
      </w:r>
    </w:p>
    <w:p>
      <w:pPr>
        <w:pStyle w:val="ListBullet"/>
        <w:spacing w:after="60"/>
        <w:ind w:left="360"/>
      </w:pPr>
      <w:r>
        <w:rPr>
          <w:rFonts w:ascii="Calibri" w:hAnsi="Calibri" w:cs="Calibri"/>
          <w:b/>
          <w:i w:val="0"/>
          <w:color w:val="171210"/>
          <w:sz w:val="22"/>
        </w:rPr>
        <w:t>Part XIII · The Agent-Specific Procurement Rubric</w:t>
      </w:r>
    </w:p>
    <w:p>
      <w:pPr>
        <w:spacing w:after="80"/>
        <w:ind w:left="792"/>
      </w:pPr>
      <w:r>
        <w:rPr>
          <w:rFonts w:ascii="Georgia" w:hAnsi="Georgia" w:cs="Georgia"/>
          <w:b w:val="0"/>
          <w:i/>
          <w:color w:val="3A2F26"/>
          <w:sz w:val="21"/>
        </w:rPr>
        <w:t>The Appendix to Bet #1. The eight-section rubric that is the Procurement Playbook's nucleus.</w:t>
      </w:r>
    </w:p>
    <w:p>
      <w:pPr>
        <w:pStyle w:val="Heading2"/>
        <w:spacing w:before="280" w:after="120"/>
      </w:pPr>
      <w:r>
        <w:rPr>
          <w:rFonts w:ascii="Georgia" w:hAnsi="Georgia" w:cs="Georgia"/>
          <w:b/>
          <w:i w:val="0"/>
          <w:color w:val="171210"/>
          <w:sz w:val="30"/>
        </w:rPr>
        <w:t>AI_AGENTS_TRACKER.md — Living Tracker</w:t>
      </w:r>
    </w:p>
    <w:p>
      <w:pPr>
        <w:spacing w:after="120"/>
      </w:pPr>
      <w:r>
        <w:rPr>
          <w:rFonts w:ascii="Georgia" w:hAnsi="Georgia" w:cs="Georgia"/>
          <w:b w:val="0"/>
          <w:i w:val="0"/>
          <w:sz w:val="22"/>
        </w:rPr>
        <w:t>The working surface. Not a document to be read once and shelved — the live instrument of attention. Three sections at three cadences. Update on schedule; the tracker becomes useless the moment it goes stale.</w:t>
      </w:r>
    </w:p>
    <w:p>
      <w:pPr>
        <w:pStyle w:val="ListBullet"/>
        <w:spacing w:after="60"/>
        <w:ind w:left="360"/>
      </w:pPr>
      <w:r>
        <w:rPr>
          <w:rFonts w:ascii="Calibri" w:hAnsi="Calibri" w:cs="Calibri"/>
          <w:b/>
          <w:i w:val="0"/>
          <w:color w:val="171210"/>
          <w:sz w:val="22"/>
        </w:rPr>
        <w:t>§A · The seven Bets (agent-layer refresh)</w:t>
      </w:r>
    </w:p>
    <w:p>
      <w:pPr>
        <w:spacing w:after="80"/>
        <w:ind w:left="792"/>
      </w:pPr>
      <w:r>
        <w:rPr>
          <w:rFonts w:ascii="Georgia" w:hAnsi="Georgia" w:cs="Georgia"/>
          <w:b w:val="0"/>
          <w:i/>
          <w:color w:val="3A2F26"/>
          <w:sz w:val="21"/>
        </w:rPr>
        <w:t>Update monthly: conviction, leading indicators, dead modules.</w:t>
      </w:r>
    </w:p>
    <w:p>
      <w:pPr>
        <w:pStyle w:val="ListBullet"/>
        <w:spacing w:after="60"/>
        <w:ind w:left="360"/>
      </w:pPr>
      <w:r>
        <w:rPr>
          <w:rFonts w:ascii="Calibri" w:hAnsi="Calibri" w:cs="Calibri"/>
          <w:b/>
          <w:i w:val="0"/>
          <w:color w:val="171210"/>
          <w:sz w:val="22"/>
        </w:rPr>
        <w:t>§B · Agent-specific talent + capital flow</w:t>
      </w:r>
    </w:p>
    <w:p>
      <w:pPr>
        <w:spacing w:after="80"/>
        <w:ind w:left="792"/>
      </w:pPr>
      <w:r>
        <w:rPr>
          <w:rFonts w:ascii="Georgia" w:hAnsi="Georgia" w:cs="Georgia"/>
          <w:b w:val="0"/>
          <w:i/>
          <w:color w:val="3A2F26"/>
          <w:sz w:val="21"/>
        </w:rPr>
        <w:t>Update bi-weekly: senior moves, $50M+ rounds, ARR watchlist, NYC peak hiring snapshot.</w:t>
      </w:r>
    </w:p>
    <w:p>
      <w:pPr>
        <w:pStyle w:val="ListBullet"/>
        <w:spacing w:after="60"/>
        <w:ind w:left="360"/>
      </w:pPr>
      <w:r>
        <w:rPr>
          <w:rFonts w:ascii="Calibri" w:hAnsi="Calibri" w:cs="Calibri"/>
          <w:b/>
          <w:i w:val="0"/>
          <w:color w:val="171210"/>
          <w:sz w:val="22"/>
        </w:rPr>
        <w:t>§C · Agent-layer cruxes and decision triggers</w:t>
      </w:r>
    </w:p>
    <w:p>
      <w:pPr>
        <w:spacing w:after="80"/>
        <w:ind w:left="792"/>
      </w:pPr>
      <w:r>
        <w:rPr>
          <w:rFonts w:ascii="Georgia" w:hAnsi="Georgia" w:cs="Georgia"/>
          <w:b w:val="0"/>
          <w:i/>
          <w:color w:val="3A2F26"/>
          <w:sz w:val="21"/>
        </w:rPr>
        <w:t>Update when triggered: each crux has a measurable answer-event.</w:t>
      </w:r>
    </w:p>
    <w:p>
      <w:pPr>
        <w:pStyle w:val="ListBullet"/>
        <w:spacing w:after="60"/>
        <w:ind w:left="360"/>
      </w:pPr>
      <w:r>
        <w:rPr>
          <w:rFonts w:ascii="Calibri" w:hAnsi="Calibri" w:cs="Calibri"/>
          <w:b/>
          <w:i w:val="0"/>
          <w:color w:val="171210"/>
          <w:sz w:val="22"/>
        </w:rPr>
        <w:t>§D · Agent-layer structural risks</w:t>
      </w:r>
    </w:p>
    <w:p>
      <w:pPr>
        <w:spacing w:after="80"/>
        <w:ind w:left="792"/>
      </w:pPr>
      <w:r>
        <w:rPr>
          <w:rFonts w:ascii="Georgia" w:hAnsi="Georgia" w:cs="Georgia"/>
          <w:b w:val="0"/>
          <w:i/>
          <w:color w:val="3A2F26"/>
          <w:sz w:val="21"/>
        </w:rPr>
        <w:t>Update when triggered: each risk has a watch-signal.</w:t>
      </w:r>
    </w:p>
    <w:p>
      <w:pPr>
        <w:pStyle w:val="ListBullet"/>
        <w:spacing w:after="60"/>
        <w:ind w:left="360"/>
      </w:pPr>
      <w:r>
        <w:rPr>
          <w:rFonts w:ascii="Calibri" w:hAnsi="Calibri" w:cs="Calibri"/>
          <w:b/>
          <w:i w:val="0"/>
          <w:color w:val="171210"/>
          <w:sz w:val="22"/>
        </w:rPr>
        <w:t>§E · Update log</w:t>
      </w:r>
    </w:p>
    <w:p>
      <w:pPr>
        <w:spacing w:after="80"/>
        <w:ind w:left="792"/>
      </w:pPr>
      <w:r>
        <w:rPr>
          <w:rFonts w:ascii="Georgia" w:hAnsi="Georgia" w:cs="Georgia"/>
          <w:b w:val="0"/>
          <w:i/>
          <w:color w:val="3A2F26"/>
          <w:sz w:val="21"/>
        </w:rPr>
        <w:t>Append-only. Every change to §A–§D logged with date and one-line why.</w:t>
      </w:r>
    </w:p>
    <w:p>
      <w:r>
        <w:br w:type="page"/>
      </w:r>
    </w:p>
    <w:p>
      <w:pPr>
        <w:pStyle w:val="Heading1"/>
        <w:spacing w:before="360" w:after="200"/>
      </w:pPr>
      <w:r>
        <w:rPr>
          <w:rFonts w:ascii="Georgia" w:hAnsi="Georgia" w:cs="Georgia"/>
          <w:b/>
          <w:i w:val="0"/>
          <w:color w:val="171210"/>
          <w:sz w:val="44"/>
        </w:rPr>
        <w:t>Projects and to-dos</w:t>
      </w:r>
    </w:p>
    <w:p>
      <w:pPr>
        <w:spacing w:after="120"/>
      </w:pPr>
      <w:r>
        <w:rPr>
          <w:rFonts w:ascii="Georgia" w:hAnsi="Georgia" w:cs="Georgia"/>
          <w:b w:val="0"/>
          <w:i/>
          <w:color w:val="3A2F26"/>
          <w:sz w:val="22"/>
        </w:rPr>
        <w:t>What drops out of the volume. Drawn from Addendum Part XII (the action map), Part XIII (the procurement rubric), and Tracker §A's per-Bet next-actions. Sequenced over an eighteen-month horizon.</w:t>
      </w:r>
    </w:p>
    <w:p>
      <w:pPr>
        <w:pStyle w:val="Heading2"/>
        <w:spacing w:before="280" w:after="120"/>
      </w:pPr>
      <w:r>
        <w:rPr>
          <w:rFonts w:ascii="Georgia" w:hAnsi="Georgia" w:cs="Georgia"/>
          <w:b/>
          <w:i w:val="0"/>
          <w:color w:val="171210"/>
          <w:sz w:val="30"/>
        </w:rPr>
        <w:t>Months 0–6 · Plant the procurement flag, run the role search in parallel</w:t>
      </w:r>
    </w:p>
    <w:p>
      <w:pPr>
        <w:spacing w:after="40"/>
      </w:pPr>
      <w:r>
        <w:rPr>
          <w:rFonts w:ascii="Consolas" w:hAnsi="Consolas" w:cs="Consolas"/>
          <w:b/>
          <w:i w:val="0"/>
          <w:color w:val="A6371F"/>
          <w:sz w:val="16"/>
        </w:rPr>
        <w:t>OPERATING POSTURE</w:t>
      </w:r>
    </w:p>
    <w:p>
      <w:pPr>
        <w:spacing w:after="200"/>
      </w:pPr>
      <w:r>
        <w:rPr>
          <w:rFonts w:ascii="Georgia" w:hAnsi="Georgia" w:cs="Georgia"/>
          <w:b w:val="0"/>
          <w:i/>
          <w:color w:val="3A2F26"/>
          <w:sz w:val="22"/>
        </w:rPr>
        <w:t>Bet #1 in build mode, Bet #2 in scan mode, Bet #6 in publish mode, Bet #4 as a single audit pilot folded into Bet #1.</w:t>
      </w:r>
    </w:p>
    <w:p>
      <w:pPr>
        <w:pStyle w:val="ListBullet"/>
        <w:spacing w:after="60"/>
        <w:ind w:left="360"/>
      </w:pPr>
      <w:r>
        <w:rPr>
          <w:rFonts w:ascii="Calibri" w:hAnsi="Calibri" w:cs="Calibri"/>
          <w:b/>
          <w:i w:val="0"/>
          <w:color w:val="171210"/>
          <w:sz w:val="22"/>
        </w:rPr>
        <w:t>Bet #1 · Procurement Playbook outline (Week 1)</w:t>
      </w:r>
    </w:p>
    <w:p>
      <w:pPr>
        <w:spacing w:after="100"/>
        <w:ind w:left="792"/>
      </w:pPr>
      <w:r>
        <w:rPr>
          <w:rFonts w:ascii="Georgia" w:hAnsi="Georgia" w:cs="Georgia"/>
          <w:b w:val="0"/>
          <w:i/>
          <w:color w:val="3A2F26"/>
          <w:sz w:val="21"/>
        </w:rPr>
        <w:t>Use the Job 6 phase map and the A6 five-questions structure as the table of contents and chapter prompts.</w:t>
      </w:r>
    </w:p>
    <w:p>
      <w:pPr>
        <w:pStyle w:val="ListBullet"/>
        <w:spacing w:after="60"/>
        <w:ind w:left="360"/>
      </w:pPr>
      <w:r>
        <w:rPr>
          <w:rFonts w:ascii="Calibri" w:hAnsi="Calibri" w:cs="Calibri"/>
          <w:b/>
          <w:i w:val="0"/>
          <w:color w:val="171210"/>
          <w:sz w:val="22"/>
        </w:rPr>
        <w:t>Bet #1 · 30 expert interviews (Weeks 2–6)</w:t>
      </w:r>
    </w:p>
    <w:p>
      <w:pPr>
        <w:spacing w:after="100"/>
        <w:ind w:left="792"/>
      </w:pPr>
      <w:r>
        <w:rPr>
          <w:rFonts w:ascii="Georgia" w:hAnsi="Georgia" w:cs="Georgia"/>
          <w:b w:val="0"/>
          <w:i/>
          <w:color w:val="3A2F26"/>
          <w:sz w:val="21"/>
        </w:rPr>
        <w:t>CISOs · procurement leads · GRC heads at AI-adopting enterprises. Confirm the eight-section rubric stress-tests against real buying behavior.</w:t>
      </w:r>
    </w:p>
    <w:p>
      <w:pPr>
        <w:pStyle w:val="ListBullet"/>
        <w:spacing w:after="60"/>
        <w:ind w:left="360"/>
      </w:pPr>
      <w:r>
        <w:rPr>
          <w:rFonts w:ascii="Calibri" w:hAnsi="Calibri" w:cs="Calibri"/>
          <w:b/>
          <w:i w:val="0"/>
          <w:color w:val="171210"/>
          <w:sz w:val="22"/>
        </w:rPr>
        <w:t>Bet #1 · Playbook publish (Week 12)</w:t>
      </w:r>
    </w:p>
    <w:p>
      <w:pPr>
        <w:spacing w:after="100"/>
        <w:ind w:left="792"/>
      </w:pPr>
      <w:r>
        <w:rPr>
          <w:rFonts w:ascii="Georgia" w:hAnsi="Georgia" w:cs="Georgia"/>
          <w:b w:val="0"/>
          <w:i/>
          <w:color w:val="3A2F26"/>
          <w:sz w:val="21"/>
        </w:rPr>
        <w:t>Open download of the Agent Procurement Rubric attached. Falsifiability test = 500 downloads / 50 inbound by Month 6.</w:t>
      </w:r>
    </w:p>
    <w:p>
      <w:pPr>
        <w:pStyle w:val="ListBullet"/>
        <w:spacing w:after="60"/>
        <w:ind w:left="360"/>
      </w:pPr>
      <w:r>
        <w:rPr>
          <w:rFonts w:ascii="Calibri" w:hAnsi="Calibri" w:cs="Calibri"/>
          <w:b/>
          <w:i w:val="0"/>
          <w:color w:val="171210"/>
          <w:sz w:val="22"/>
        </w:rPr>
        <w:t>Bet #2 · NYC role search open (Week 1)</w:t>
      </w:r>
    </w:p>
    <w:p>
      <w:pPr>
        <w:spacing w:after="100"/>
        <w:ind w:left="792"/>
      </w:pPr>
      <w:r>
        <w:rPr>
          <w:rFonts w:ascii="Georgia" w:hAnsi="Georgia" w:cs="Georgia"/>
          <w:b w:val="0"/>
          <w:i/>
          <w:color w:val="3A2F26"/>
          <w:sz w:val="21"/>
        </w:rPr>
        <w:t>Target list of ten: Sierra (highest-aligned) · Decagon · Glean · Harvey · Hippocratic · Hebbia · Rogo · Clay · Runway · Ramp AI org. Comp band $250–400K base + 0.05–0.40% equity.</w:t>
      </w:r>
    </w:p>
    <w:p>
      <w:pPr>
        <w:pStyle w:val="ListBullet"/>
        <w:spacing w:after="60"/>
        <w:ind w:left="360"/>
      </w:pPr>
      <w:r>
        <w:rPr>
          <w:rFonts w:ascii="Calibri" w:hAnsi="Calibri" w:cs="Calibri"/>
          <w:b/>
          <w:i w:val="0"/>
          <w:color w:val="171210"/>
          <w:sz w:val="22"/>
        </w:rPr>
        <w:t>Bet #6 · Newsletter Kit v1 publish (Week 4)</w:t>
      </w:r>
    </w:p>
    <w:p>
      <w:pPr>
        <w:spacing w:after="100"/>
        <w:ind w:left="792"/>
      </w:pPr>
      <w:r>
        <w:rPr>
          <w:rFonts w:ascii="Georgia" w:hAnsi="Georgia" w:cs="Georgia"/>
          <w:b w:val="0"/>
          <w:i/>
          <w:color w:val="3A2F26"/>
          <w:sz w:val="21"/>
        </w:rPr>
        <w:t>Decide weekly vs. biweekly cadence by Week 8. Cross-pollinate Bet #1 Playbook downloads with subscribers — correlation = right-audience proof.</w:t>
      </w:r>
    </w:p>
    <w:p>
      <w:pPr>
        <w:pStyle w:val="ListBullet"/>
        <w:spacing w:after="60"/>
        <w:ind w:left="360"/>
      </w:pPr>
      <w:r>
        <w:rPr>
          <w:rFonts w:ascii="Calibri" w:hAnsi="Calibri" w:cs="Calibri"/>
          <w:b/>
          <w:i w:val="0"/>
          <w:color w:val="171210"/>
          <w:sz w:val="22"/>
        </w:rPr>
        <w:t>Bet #4 · Trajectory cost-and-latency audit pilot</w:t>
      </w:r>
    </w:p>
    <w:p>
      <w:pPr>
        <w:spacing w:after="100"/>
        <w:ind w:left="792"/>
      </w:pPr>
      <w:r>
        <w:rPr>
          <w:rFonts w:ascii="Georgia" w:hAnsi="Georgia" w:cs="Georgia"/>
          <w:b w:val="0"/>
          <w:i/>
          <w:color w:val="3A2F26"/>
          <w:sz w:val="21"/>
        </w:rPr>
        <w:t>Free first audit for one mid-market AI-spending company. Case study by Month 6. Fold into Bet #1 as a module.</w:t>
      </w:r>
    </w:p>
    <w:p>
      <w:pPr>
        <w:pStyle w:val="ListBullet"/>
        <w:spacing w:after="60"/>
        <w:ind w:left="360"/>
      </w:pPr>
      <w:r>
        <w:rPr>
          <w:rFonts w:ascii="Calibri" w:hAnsi="Calibri" w:cs="Calibri"/>
          <w:b/>
          <w:i w:val="0"/>
          <w:color w:val="171210"/>
          <w:sz w:val="22"/>
        </w:rPr>
        <w:t>Crux watch · Anthropic ARR resolution Q3 2026</w:t>
      </w:r>
    </w:p>
    <w:p>
      <w:pPr>
        <w:spacing w:after="100"/>
        <w:ind w:left="792"/>
      </w:pPr>
      <w:r>
        <w:rPr>
          <w:rFonts w:ascii="Georgia" w:hAnsi="Georgia" w:cs="Georgia"/>
          <w:b w:val="0"/>
          <w:i/>
          <w:color w:val="3A2F26"/>
          <w:sz w:val="21"/>
        </w:rPr>
        <w:t>Single load-bearing Bet #2 timing variable. Sign before resolution if conviction high; after if wobbly.</w:t>
      </w:r>
    </w:p>
    <w:p>
      <w:pPr>
        <w:pStyle w:val="Heading2"/>
        <w:spacing w:before="280" w:after="120"/>
      </w:pPr>
      <w:r>
        <w:rPr>
          <w:rFonts w:ascii="Georgia" w:hAnsi="Georgia" w:cs="Georgia"/>
          <w:b/>
          <w:i w:val="0"/>
          <w:color w:val="171210"/>
          <w:sz w:val="30"/>
        </w:rPr>
        <w:t>Months 6–12 · Commit to whichever survived</w:t>
      </w:r>
    </w:p>
    <w:p>
      <w:pPr>
        <w:spacing w:after="40"/>
      </w:pPr>
      <w:r>
        <w:rPr>
          <w:rFonts w:ascii="Consolas" w:hAnsi="Consolas" w:cs="Consolas"/>
          <w:b/>
          <w:i w:val="0"/>
          <w:color w:val="A6371F"/>
          <w:sz w:val="16"/>
        </w:rPr>
        <w:t>OPERATING POSTURE</w:t>
      </w:r>
    </w:p>
    <w:p>
      <w:pPr>
        <w:spacing w:after="200"/>
      </w:pPr>
      <w:r>
        <w:rPr>
          <w:rFonts w:ascii="Georgia" w:hAnsi="Georgia" w:cs="Georgia"/>
          <w:b w:val="0"/>
          <w:i/>
          <w:color w:val="3A2F26"/>
          <w:sz w:val="22"/>
        </w:rPr>
        <w:t>Falsifiability tests resolve. Survivors commit, casualties killed. Bet #3 audit phase begins.</w:t>
      </w:r>
    </w:p>
    <w:p>
      <w:pPr>
        <w:pStyle w:val="ListBullet"/>
        <w:spacing w:after="60"/>
        <w:ind w:left="360"/>
      </w:pPr>
      <w:r>
        <w:rPr>
          <w:rFonts w:ascii="Calibri" w:hAnsi="Calibri" w:cs="Calibri"/>
          <w:b/>
          <w:i w:val="0"/>
          <w:color w:val="171210"/>
          <w:sz w:val="22"/>
        </w:rPr>
        <w:t>Bet #1 · Advisory phase commit (if Playbook clears the bar)</w:t>
      </w:r>
    </w:p>
    <w:p>
      <w:pPr>
        <w:spacing w:after="100"/>
        <w:ind w:left="792"/>
      </w:pPr>
      <w:r>
        <w:rPr>
          <w:rFonts w:ascii="Georgia" w:hAnsi="Georgia" w:cs="Georgia"/>
          <w:b w:val="0"/>
          <w:i/>
          <w:color w:val="3A2F26"/>
          <w:sz w:val="21"/>
        </w:rPr>
        <w:t>3–5 paid engagements at $25–100K each. At least two Procurement Audit reports and one architecture review.</w:t>
      </w:r>
    </w:p>
    <w:p>
      <w:pPr>
        <w:pStyle w:val="ListBullet"/>
        <w:spacing w:after="60"/>
        <w:ind w:left="360"/>
      </w:pPr>
      <w:r>
        <w:rPr>
          <w:rFonts w:ascii="Calibri" w:hAnsi="Calibri" w:cs="Calibri"/>
          <w:b/>
          <w:i w:val="0"/>
          <w:color w:val="171210"/>
          <w:sz w:val="22"/>
        </w:rPr>
        <w:t>Bet #2 · Tier-2 expansion or kill (if no offer by Month 6)</w:t>
      </w:r>
    </w:p>
    <w:p>
      <w:pPr>
        <w:spacing w:after="100"/>
        <w:ind w:left="792"/>
      </w:pPr>
      <w:r>
        <w:rPr>
          <w:rFonts w:ascii="Georgia" w:hAnsi="Georgia" w:cs="Georgia"/>
          <w:b w:val="0"/>
          <w:i/>
          <w:color w:val="3A2F26"/>
          <w:sz w:val="21"/>
        </w:rPr>
        <w:t>Expand to Decagon NYC, Regal, smaller bands. No offer by Month 9 = bet on Alex's profile is wrong OR market is contracting; recheck Bet #7.</w:t>
      </w:r>
    </w:p>
    <w:p>
      <w:pPr>
        <w:pStyle w:val="ListBullet"/>
        <w:spacing w:after="60"/>
        <w:ind w:left="360"/>
      </w:pPr>
      <w:r>
        <w:rPr>
          <w:rFonts w:ascii="Calibri" w:hAnsi="Calibri" w:cs="Calibri"/>
          <w:b/>
          <w:i w:val="0"/>
          <w:color w:val="171210"/>
          <w:sz w:val="22"/>
        </w:rPr>
        <w:t>Bet #6 · Cadence commit or kill (5,000 subs and 3+ inbound)</w:t>
      </w:r>
    </w:p>
    <w:p>
      <w:pPr>
        <w:spacing w:after="100"/>
        <w:ind w:left="792"/>
      </w:pPr>
      <w:r>
        <w:rPr>
          <w:rFonts w:ascii="Georgia" w:hAnsi="Georgia" w:cs="Georgia"/>
          <w:b w:val="0"/>
          <w:i/>
          <w:color w:val="3A2F26"/>
          <w:sz w:val="21"/>
        </w:rPr>
        <w:t>Weekly cadence + paid tier if cleared. Kill at Month 6 per falsifiability if not.</w:t>
      </w:r>
    </w:p>
    <w:p>
      <w:pPr>
        <w:pStyle w:val="ListBullet"/>
        <w:spacing w:after="60"/>
        <w:ind w:left="360"/>
      </w:pPr>
      <w:r>
        <w:rPr>
          <w:rFonts w:ascii="Calibri" w:hAnsi="Calibri" w:cs="Calibri"/>
          <w:b/>
          <w:i w:val="0"/>
          <w:color w:val="171210"/>
          <w:sz w:val="22"/>
        </w:rPr>
        <w:t>Bet #3 · MCP audit of ten SaaS systems (Q3 2026)</w:t>
      </w:r>
    </w:p>
    <w:p>
      <w:pPr>
        <w:spacing w:after="100"/>
        <w:ind w:left="792"/>
      </w:pPr>
      <w:r>
        <w:rPr>
          <w:rFonts w:ascii="Georgia" w:hAnsi="Georgia" w:cs="Georgia"/>
          <w:b w:val="0"/>
          <w:i/>
          <w:color w:val="3A2F26"/>
          <w:sz w:val="21"/>
        </w:rPr>
        <w:t>The ten enterprise GTM systems most lacking MCP servers, filtered by Job 4 / Job 1 outcomes. Pair-with-Cloudflare / Kong / Pomerium positioning. Decide on productization at Month 12.</w:t>
      </w:r>
    </w:p>
    <w:p>
      <w:pPr>
        <w:pStyle w:val="ListBullet"/>
        <w:spacing w:after="60"/>
        <w:ind w:left="360"/>
      </w:pPr>
      <w:r>
        <w:rPr>
          <w:rFonts w:ascii="Calibri" w:hAnsi="Calibri" w:cs="Calibri"/>
          <w:b/>
          <w:i w:val="0"/>
          <w:color w:val="171210"/>
          <w:sz w:val="22"/>
        </w:rPr>
        <w:t>Crux watch · MCP commons or fork (EOY 2026)</w:t>
      </w:r>
    </w:p>
    <w:p>
      <w:pPr>
        <w:spacing w:after="100"/>
        <w:ind w:left="792"/>
      </w:pPr>
      <w:r>
        <w:rPr>
          <w:rFonts w:ascii="Georgia" w:hAnsi="Georgia" w:cs="Georgia"/>
          <w:b w:val="0"/>
          <w:i/>
          <w:color w:val="3A2F26"/>
          <w:sz w:val="21"/>
        </w:rPr>
        <w:t>Major-vendor proprietary schema announcements. A2A adoption outside Google. Fork = Bet #3 productized form dies; commons = advisory practice accelerates.</w:t>
      </w:r>
    </w:p>
    <w:p>
      <w:pPr>
        <w:pStyle w:val="ListBullet"/>
        <w:spacing w:after="60"/>
        <w:ind w:left="360"/>
      </w:pPr>
      <w:r>
        <w:rPr>
          <w:rFonts w:ascii="Calibri" w:hAnsi="Calibri" w:cs="Calibri"/>
          <w:b/>
          <w:i w:val="0"/>
          <w:color w:val="171210"/>
          <w:sz w:val="22"/>
        </w:rPr>
        <w:t>Crux watch · OSWorld 65% on a frontier system (Q3 2026)</w:t>
      </w:r>
    </w:p>
    <w:p>
      <w:pPr>
        <w:spacing w:after="100"/>
        <w:ind w:left="792"/>
      </w:pPr>
      <w:r>
        <w:rPr>
          <w:rFonts w:ascii="Georgia" w:hAnsi="Georgia" w:cs="Georgia"/>
          <w:b w:val="0"/>
          <w:i/>
          <w:color w:val="3A2F26"/>
          <w:sz w:val="21"/>
        </w:rPr>
        <w:t>Crossed = computer use moves from supervised to deployable for narrow back-office a quarter earlier than this volume assumes.</w:t>
      </w:r>
    </w:p>
    <w:p>
      <w:pPr>
        <w:pStyle w:val="ListBullet"/>
        <w:spacing w:after="60"/>
        <w:ind w:left="360"/>
      </w:pPr>
      <w:r>
        <w:rPr>
          <w:rFonts w:ascii="Calibri" w:hAnsi="Calibri" w:cs="Calibri"/>
          <w:b/>
          <w:i w:val="0"/>
          <w:color w:val="171210"/>
          <w:sz w:val="22"/>
        </w:rPr>
        <w:t>Crux watch · EU AI Act Article 14 enforcement teeth (Late 2026)</w:t>
      </w:r>
    </w:p>
    <w:p>
      <w:pPr>
        <w:spacing w:after="100"/>
        <w:ind w:left="792"/>
      </w:pPr>
      <w:r>
        <w:rPr>
          <w:rFonts w:ascii="Georgia" w:hAnsi="Georgia" w:cs="Georgia"/>
          <w:b w:val="0"/>
          <w:i/>
          <w:color w:val="3A2F26"/>
          <w:sz w:val="21"/>
        </w:rPr>
        <w:t>First GPAI fine. Teeth = Bet #1 becomes $10B+ category; paper = niche but defensible.</w:t>
      </w:r>
    </w:p>
    <w:p>
      <w:pPr>
        <w:pStyle w:val="Heading2"/>
        <w:spacing w:before="280" w:after="120"/>
      </w:pPr>
      <w:r>
        <w:rPr>
          <w:rFonts w:ascii="Georgia" w:hAnsi="Georgia" w:cs="Georgia"/>
          <w:b/>
          <w:i w:val="0"/>
          <w:color w:val="171210"/>
          <w:sz w:val="30"/>
        </w:rPr>
        <w:t>Months 12–18 · Compound around the survivors</w:t>
      </w:r>
    </w:p>
    <w:p>
      <w:pPr>
        <w:spacing w:after="40"/>
      </w:pPr>
      <w:r>
        <w:rPr>
          <w:rFonts w:ascii="Consolas" w:hAnsi="Consolas" w:cs="Consolas"/>
          <w:b/>
          <w:i w:val="0"/>
          <w:color w:val="A6371F"/>
          <w:sz w:val="16"/>
        </w:rPr>
        <w:t>OPERATING POSTURE</w:t>
      </w:r>
    </w:p>
    <w:p>
      <w:pPr>
        <w:spacing w:after="200"/>
      </w:pPr>
      <w:r>
        <w:rPr>
          <w:rFonts w:ascii="Georgia" w:hAnsi="Georgia" w:cs="Georgia"/>
          <w:b w:val="0"/>
          <w:i/>
          <w:color w:val="3A2F26"/>
          <w:sz w:val="22"/>
        </w:rPr>
        <w:t>Bets that cleared their falsifiability tests now compound. Optional SaaS productization decision on Bet #1. Bet #7 only as fallback.</w:t>
      </w:r>
    </w:p>
    <w:p>
      <w:pPr>
        <w:pStyle w:val="ListBullet"/>
        <w:spacing w:after="60"/>
        <w:ind w:left="360"/>
      </w:pPr>
      <w:r>
        <w:rPr>
          <w:rFonts w:ascii="Calibri" w:hAnsi="Calibri" w:cs="Calibri"/>
          <w:b/>
          <w:i w:val="0"/>
          <w:color w:val="171210"/>
          <w:sz w:val="22"/>
        </w:rPr>
        <w:t>Bet #1 · SaaS productization decision (GO / NO)</w:t>
      </w:r>
    </w:p>
    <w:p>
      <w:pPr>
        <w:spacing w:after="100"/>
        <w:ind w:left="792"/>
      </w:pPr>
      <w:r>
        <w:rPr>
          <w:rFonts w:ascii="Georgia" w:hAnsi="Georgia" w:cs="Georgia"/>
          <w:b w:val="0"/>
          <w:i/>
          <w:color w:val="3A2F26"/>
          <w:sz w:val="21"/>
        </w:rPr>
        <w:t>GO = capitalize. NO = sustain the advisory practice at $250–500K annual revenue with three-product bundling (Playbook + Architecture Audit + FinOps for Trajectories).</w:t>
      </w:r>
    </w:p>
    <w:p>
      <w:pPr>
        <w:pStyle w:val="ListBullet"/>
        <w:spacing w:after="60"/>
        <w:ind w:left="360"/>
      </w:pPr>
      <w:r>
        <w:rPr>
          <w:rFonts w:ascii="Calibri" w:hAnsi="Calibri" w:cs="Calibri"/>
          <w:b/>
          <w:i w:val="0"/>
          <w:color w:val="171210"/>
          <w:sz w:val="22"/>
        </w:rPr>
        <w:t>Bet #2 · Deliver-on-Confirm + Modify + Conclude</w:t>
      </w:r>
    </w:p>
    <w:p>
      <w:pPr>
        <w:spacing w:after="100"/>
        <w:ind w:left="792"/>
      </w:pPr>
      <w:r>
        <w:rPr>
          <w:rFonts w:ascii="Georgia" w:hAnsi="Georgia" w:cs="Georgia"/>
          <w:b w:val="0"/>
          <w:i/>
          <w:color w:val="3A2F26"/>
          <w:sz w:val="21"/>
        </w:rPr>
        <w:t>If a vertical-agent role landed, the first twelve months are about shipping for that vertical's primary job. The advisory practice continues at a controlled pace.</w:t>
      </w:r>
    </w:p>
    <w:p>
      <w:pPr>
        <w:pStyle w:val="ListBullet"/>
        <w:spacing w:after="60"/>
        <w:ind w:left="360"/>
      </w:pPr>
      <w:r>
        <w:rPr>
          <w:rFonts w:ascii="Calibri" w:hAnsi="Calibri" w:cs="Calibri"/>
          <w:b/>
          <w:i w:val="0"/>
          <w:color w:val="171210"/>
          <w:sz w:val="22"/>
        </w:rPr>
        <w:t>Bet #3 · Productize at 12 or 18 if scar tissue justifies</w:t>
      </w:r>
    </w:p>
    <w:p>
      <w:pPr>
        <w:spacing w:after="100"/>
        <w:ind w:left="792"/>
      </w:pPr>
      <w:r>
        <w:rPr>
          <w:rFonts w:ascii="Georgia" w:hAnsi="Georgia" w:cs="Georgia"/>
          <w:b w:val="0"/>
          <w:i/>
          <w:color w:val="3A2F26"/>
          <w:sz w:val="21"/>
        </w:rPr>
        <w:t>Otherwise sustain as advisory.</w:t>
      </w:r>
    </w:p>
    <w:p>
      <w:pPr>
        <w:pStyle w:val="ListBullet"/>
        <w:spacing w:after="60"/>
        <w:ind w:left="360"/>
      </w:pPr>
      <w:r>
        <w:rPr>
          <w:rFonts w:ascii="Calibri" w:hAnsi="Calibri" w:cs="Calibri"/>
          <w:b/>
          <w:i w:val="0"/>
          <w:color w:val="171210"/>
          <w:sz w:val="22"/>
        </w:rPr>
        <w:t>Bet #7 · Activate only if 1, 2, 3 stall</w:t>
      </w:r>
    </w:p>
    <w:p>
      <w:pPr>
        <w:spacing w:after="100"/>
        <w:ind w:left="792"/>
      </w:pPr>
      <w:r>
        <w:rPr>
          <w:rFonts w:ascii="Georgia" w:hAnsi="Georgia" w:cs="Georgia"/>
          <w:b w:val="0"/>
          <w:i/>
          <w:color w:val="3A2F26"/>
          <w:sz w:val="21"/>
        </w:rPr>
        <w:t>Build relationships at three NYC funds via RAAIS, Betaworks, FirstMark MAD. Active applications Q4 2026.</w:t>
      </w:r>
    </w:p>
    <w:p>
      <w:pPr>
        <w:pStyle w:val="ListBullet"/>
        <w:spacing w:after="60"/>
        <w:ind w:left="360"/>
      </w:pPr>
      <w:r>
        <w:rPr>
          <w:rFonts w:ascii="Calibri" w:hAnsi="Calibri" w:cs="Calibri"/>
          <w:b/>
          <w:i w:val="0"/>
          <w:color w:val="171210"/>
          <w:sz w:val="22"/>
        </w:rPr>
        <w:t>Cadence · Per-quarter check-in</w:t>
      </w:r>
    </w:p>
    <w:p>
      <w:pPr>
        <w:spacing w:after="100"/>
        <w:ind w:left="792"/>
      </w:pPr>
      <w:r>
        <w:rPr>
          <w:rFonts w:ascii="Georgia" w:hAnsi="Georgia" w:cs="Georgia"/>
          <w:b w:val="0"/>
          <w:i/>
          <w:color w:val="3A2F26"/>
          <w:sz w:val="21"/>
        </w:rPr>
        <w:t>Hypothesis still holding? Leading indicators moving the right way? Conviction up, down, or flat? Which bets re-rank from resolved cruxes? Which bets re-price from materialized risks?</w:t>
      </w:r>
    </w:p>
    <w:p>
      <w:pPr>
        <w:pStyle w:val="Heading2"/>
        <w:spacing w:before="280" w:after="120"/>
      </w:pPr>
      <w:r>
        <w:rPr>
          <w:rFonts w:ascii="Georgia" w:hAnsi="Georgia" w:cs="Georgia"/>
          <w:b/>
          <w:i w:val="0"/>
          <w:color w:val="171210"/>
          <w:sz w:val="30"/>
        </w:rPr>
        <w:t>The Procurement Rubric — Bet #1's nucleus</w:t>
      </w:r>
    </w:p>
    <w:p>
      <w:pPr>
        <w:spacing w:after="120"/>
      </w:pPr>
      <w:r>
        <w:rPr>
          <w:rFonts w:ascii="Georgia" w:hAnsi="Georgia" w:cs="Georgia"/>
          <w:b w:val="0"/>
          <w:i w:val="0"/>
          <w:sz w:val="22"/>
        </w:rPr>
        <w:t>Addendum Part XIII is both a section of the Playbook and a standalone downloadable. Eight sections, scored 1–5; below-3 average fails procurement. The to-do is to harden it against the 30 expert interviews, then publish it as the open lead-magnet.</w:t>
      </w:r>
    </w:p>
    <w:p>
      <w:pPr>
        <w:pStyle w:val="ListBullet"/>
        <w:spacing w:after="60"/>
        <w:ind w:left="360"/>
      </w:pPr>
      <w:r>
        <w:rPr>
          <w:rFonts w:ascii="Calibri" w:hAnsi="Calibri" w:cs="Calibri"/>
          <w:b/>
          <w:i w:val="0"/>
          <w:color w:val="171210"/>
          <w:sz w:val="22"/>
        </w:rPr>
        <w:t>1. Define · Map the agent's autonomy scope</w:t>
      </w:r>
    </w:p>
    <w:p>
      <w:pPr>
        <w:spacing w:after="80"/>
        <w:ind w:left="792"/>
      </w:pPr>
      <w:r>
        <w:rPr>
          <w:rFonts w:ascii="Georgia" w:hAnsi="Georgia" w:cs="Georgia"/>
          <w:b w:val="0"/>
          <w:i/>
          <w:color w:val="3A2F26"/>
          <w:sz w:val="21"/>
        </w:rPr>
        <w:t>What the agent does unattended · what requires human approval · where decision authority stops.</w:t>
      </w:r>
    </w:p>
    <w:p>
      <w:pPr>
        <w:pStyle w:val="ListBullet"/>
        <w:spacing w:after="60"/>
        <w:ind w:left="360"/>
      </w:pPr>
      <w:r>
        <w:rPr>
          <w:rFonts w:ascii="Calibri" w:hAnsi="Calibri" w:cs="Calibri"/>
          <w:b/>
          <w:i w:val="0"/>
          <w:color w:val="171210"/>
          <w:sz w:val="22"/>
        </w:rPr>
        <w:t>2. Locate · Inventory data and tool reach</w:t>
      </w:r>
    </w:p>
    <w:p>
      <w:pPr>
        <w:spacing w:after="80"/>
        <w:ind w:left="792"/>
      </w:pPr>
      <w:r>
        <w:rPr>
          <w:rFonts w:ascii="Georgia" w:hAnsi="Georgia" w:cs="Georgia"/>
          <w:b w:val="0"/>
          <w:i/>
          <w:color w:val="3A2F26"/>
          <w:sz w:val="21"/>
        </w:rPr>
        <w:t>OAuth blast radius · where memory lives physically · who can subpoena it.</w:t>
      </w:r>
    </w:p>
    <w:p>
      <w:pPr>
        <w:pStyle w:val="ListBullet"/>
        <w:spacing w:after="60"/>
        <w:ind w:left="360"/>
      </w:pPr>
      <w:r>
        <w:rPr>
          <w:rFonts w:ascii="Calibri" w:hAnsi="Calibri" w:cs="Calibri"/>
          <w:b/>
          <w:i w:val="0"/>
          <w:color w:val="171210"/>
          <w:sz w:val="22"/>
        </w:rPr>
        <w:t>3. Prepare · Tool-boundary policy and runtime safety stack</w:t>
      </w:r>
    </w:p>
    <w:p>
      <w:pPr>
        <w:spacing w:after="80"/>
        <w:ind w:left="792"/>
      </w:pPr>
      <w:r>
        <w:rPr>
          <w:rFonts w:ascii="Georgia" w:hAnsi="Georgia" w:cs="Georgia"/>
          <w:b w:val="0"/>
          <w:i/>
          <w:color w:val="3A2F26"/>
          <w:sz w:val="21"/>
        </w:rPr>
        <w:t>Which tools fire unsupervised · which require approval · which are blocked when context is tainted.</w:t>
      </w:r>
    </w:p>
    <w:p>
      <w:pPr>
        <w:pStyle w:val="ListBullet"/>
        <w:spacing w:after="60"/>
        <w:ind w:left="360"/>
      </w:pPr>
      <w:r>
        <w:rPr>
          <w:rFonts w:ascii="Calibri" w:hAnsi="Calibri" w:cs="Calibri"/>
          <w:b/>
          <w:i w:val="0"/>
          <w:color w:val="171210"/>
          <w:sz w:val="22"/>
        </w:rPr>
        <w:t>4. Confirm · Pre-flight evaluation evidence</w:t>
      </w:r>
    </w:p>
    <w:p>
      <w:pPr>
        <w:spacing w:after="80"/>
        <w:ind w:left="792"/>
      </w:pPr>
      <w:r>
        <w:rPr>
          <w:rFonts w:ascii="Georgia" w:hAnsi="Georgia" w:cs="Georgia"/>
          <w:b w:val="0"/>
          <w:i/>
          <w:color w:val="3A2F26"/>
          <w:sz w:val="21"/>
        </w:rPr>
        <w:t>Signed reproducible eval report with model pin, dataset hash, harness version. Trajectory regression set sized and curated.</w:t>
      </w:r>
    </w:p>
    <w:p>
      <w:pPr>
        <w:pStyle w:val="ListBullet"/>
        <w:spacing w:after="60"/>
        <w:ind w:left="360"/>
      </w:pPr>
      <w:r>
        <w:rPr>
          <w:rFonts w:ascii="Calibri" w:hAnsi="Calibri" w:cs="Calibri"/>
          <w:b/>
          <w:i w:val="0"/>
          <w:color w:val="171210"/>
          <w:sz w:val="22"/>
        </w:rPr>
        <w:t>5. Execute · Action-rollback story</w:t>
      </w:r>
    </w:p>
    <w:p>
      <w:pPr>
        <w:spacing w:after="80"/>
        <w:ind w:left="792"/>
      </w:pPr>
      <w:r>
        <w:rPr>
          <w:rFonts w:ascii="Georgia" w:hAnsi="Georgia" w:cs="Georgia"/>
          <w:b w:val="0"/>
          <w:i/>
          <w:color w:val="3A2F26"/>
          <w:sz w:val="21"/>
        </w:rPr>
        <w:t>Write tools wrapped in reversible-transaction abstraction. Documented recovery path for every write.</w:t>
      </w:r>
    </w:p>
    <w:p>
      <w:pPr>
        <w:pStyle w:val="ListBullet"/>
        <w:spacing w:after="60"/>
        <w:ind w:left="360"/>
      </w:pPr>
      <w:r>
        <w:rPr>
          <w:rFonts w:ascii="Calibri" w:hAnsi="Calibri" w:cs="Calibri"/>
          <w:b/>
          <w:i w:val="0"/>
          <w:color w:val="171210"/>
          <w:sz w:val="22"/>
        </w:rPr>
        <w:t>6. Monitor · Trajectory observability and silent-failure detection</w:t>
      </w:r>
    </w:p>
    <w:p>
      <w:pPr>
        <w:spacing w:after="80"/>
        <w:ind w:left="792"/>
      </w:pPr>
      <w:r>
        <w:rPr>
          <w:rFonts w:ascii="Georgia" w:hAnsi="Georgia" w:cs="Georgia"/>
          <w:b w:val="0"/>
          <w:i/>
          <w:color w:val="3A2F26"/>
          <w:sz w:val="21"/>
        </w:rPr>
        <w:t>Detect a trajectory that completes-as-judged but writes the wrong value. Silent-failure rate disclosed.</w:t>
      </w:r>
    </w:p>
    <w:p>
      <w:pPr>
        <w:pStyle w:val="ListBullet"/>
        <w:spacing w:after="60"/>
        <w:ind w:left="360"/>
      </w:pPr>
      <w:r>
        <w:rPr>
          <w:rFonts w:ascii="Calibri" w:hAnsi="Calibri" w:cs="Calibri"/>
          <w:b/>
          <w:i w:val="0"/>
          <w:color w:val="171210"/>
          <w:sz w:val="22"/>
        </w:rPr>
        <w:t>7. Modify · Non-engineer intervention capability</w:t>
      </w:r>
    </w:p>
    <w:p>
      <w:pPr>
        <w:spacing w:after="80"/>
        <w:ind w:left="792"/>
      </w:pPr>
      <w:r>
        <w:rPr>
          <w:rFonts w:ascii="Georgia" w:hAnsi="Georgia" w:cs="Georgia"/>
          <w:b w:val="0"/>
          <w:i/>
          <w:color w:val="3A2F26"/>
          <w:sz w:val="21"/>
        </w:rPr>
        <w:t>Cockpit UI for line manager redirection. Policy correction shipped without an engineering ticket.</w:t>
      </w:r>
    </w:p>
    <w:p>
      <w:pPr>
        <w:pStyle w:val="ListBullet"/>
        <w:spacing w:after="60"/>
        <w:ind w:left="360"/>
      </w:pPr>
      <w:r>
        <w:rPr>
          <w:rFonts w:ascii="Calibri" w:hAnsi="Calibri" w:cs="Calibri"/>
          <w:b/>
          <w:i w:val="0"/>
          <w:color w:val="171210"/>
          <w:sz w:val="22"/>
        </w:rPr>
        <w:t>8. Conclude · Counterparty evidence and audit pack</w:t>
      </w:r>
    </w:p>
    <w:p>
      <w:pPr>
        <w:spacing w:after="80"/>
        <w:ind w:left="792"/>
      </w:pPr>
      <w:r>
        <w:rPr>
          <w:rFonts w:ascii="Georgia" w:hAnsi="Georgia" w:cs="Georgia"/>
          <w:b w:val="0"/>
          <w:i/>
          <w:color w:val="3A2F26"/>
          <w:sz w:val="21"/>
        </w:rPr>
        <w:t>EU AI Act / NIST AI RMF / ISO 42001 tie-out · evidence kept fresh through annual review.</w:t>
      </w:r>
    </w:p>
    <w:p>
      <w:pPr>
        <w:spacing w:after="40"/>
      </w:pPr>
      <w:r>
        <w:rPr>
          <w:rFonts w:ascii="Consolas" w:hAnsi="Consolas" w:cs="Consolas"/>
          <w:b/>
          <w:i w:val="0"/>
          <w:color w:val="A6371F"/>
          <w:sz w:val="16"/>
        </w:rPr>
        <w:t>THE CLOSING BRIEF</w:t>
      </w:r>
    </w:p>
    <w:p>
      <w:pPr>
        <w:spacing w:after="200"/>
      </w:pPr>
      <w:r>
        <w:rPr>
          <w:rFonts w:ascii="Georgia" w:hAnsi="Georgia" w:cs="Georgia"/>
          <w:b w:val="0"/>
          <w:i/>
          <w:color w:val="3A2F26"/>
          <w:sz w:val="22"/>
        </w:rPr>
        <w:t>The procurement-readiness gap is not that buyers don't know what to ask; it is that they have no signed, falsifiable rubric to ask it with. Bet #1 is the rubric.</w:t>
      </w:r>
    </w:p>
    <w:p>
      <w:r>
        <w:br w:type="page"/>
      </w:r>
    </w:p>
    <w:p>
      <w:pPr>
        <w:pStyle w:val="Heading1"/>
        <w:spacing w:before="360" w:after="200"/>
      </w:pPr>
      <w:r>
        <w:rPr>
          <w:rFonts w:ascii="Georgia" w:hAnsi="Georgia" w:cs="Georgia"/>
          <w:b/>
          <w:i w:val="0"/>
          <w:color w:val="171210"/>
          <w:sz w:val="44"/>
        </w:rPr>
        <w:t>Closing — the volume in one breath</w:t>
      </w:r>
    </w:p>
    <w:p>
      <w:pPr>
        <w:spacing w:after="120"/>
      </w:pPr>
      <w:r>
        <w:rPr>
          <w:rFonts w:ascii="Georgia" w:hAnsi="Georgia" w:cs="Georgia"/>
          <w:b w:val="0"/>
          <w:i w:val="0"/>
          <w:sz w:val="22"/>
        </w:rPr>
        <w:t>Twelve plates, three readings, one tracker. Sequenced so synthesis comes first, descriptive layer second, decisive layer third, and the working surface remains open through the next eighteen months.</w:t>
      </w:r>
    </w:p>
    <w:p>
      <w:pPr>
        <w:spacing w:after="120"/>
      </w:pPr>
      <w:r>
        <w:rPr>
          <w:rFonts w:ascii="Georgia" w:hAnsi="Georgia" w:cs="Georgia"/>
          <w:b w:val="0"/>
          <w:i w:val="0"/>
          <w:sz w:val="22"/>
        </w:rPr>
        <w:t>The Vol III thesis is that the agent layer's durable claimable position for an operator without a research lab is procurement Process Power at the meta-layer — and that the window to claim it closes within twelve months. Everything else in the volume is in service of testing that thesis, sequencing the bets around it, or instrumenting the fallbacks.</w:t>
      </w:r>
    </w:p>
    <w:p>
      <w:pPr>
        <w:spacing w:after="120"/>
      </w:pPr>
      <w:r>
        <w:rPr>
          <w:rFonts w:ascii="Georgia" w:hAnsi="Georgia" w:cs="Georgia"/>
          <w:b w:val="0"/>
          <w:i/>
          <w:color w:val="3A2F26"/>
          <w:sz w:val="22"/>
        </w:rPr>
        <w:t>Read it once. Then update the tracker.</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