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120" w:before="0"/>
        <w:jc w:val="center"/>
      </w:pPr>
      <w:r>
        <w:rPr>
          <w:rFonts w:ascii="Georgia" w:cs="Georgia" w:eastAsia="Georgia" w:hAnsi="Georgia"/>
          <w:b/>
          <w:bCs/>
          <w:color w:val="1A1410"/>
          <w:spacing w:val="80"/>
          <w:sz w:val="88"/>
          <w:szCs w:val="88"/>
        </w:rPr>
        <w:t xml:space="preserve">THE AGENT LAYER</w:t>
      </w:r>
    </w:p>
    <w:p>
      <w:pPr>
        <w:spacing w:after="480" w:before="0"/>
        <w:jc w:val="center"/>
      </w:pPr>
      <w:r>
        <w:rPr>
          <w:rFonts w:ascii="Consolas" w:cs="Consolas" w:eastAsia="Consolas" w:hAnsi="Consolas"/>
          <w:color w:val="A6371F"/>
          <w:spacing w:val="240"/>
          <w:sz w:val="22"/>
          <w:szCs w:val="22"/>
        </w:rPr>
        <w:t xml:space="preserve">A SUBSTRATE OF ITS OWN</w:t>
      </w:r>
    </w:p>
    <w:p>
      <w:pPr>
        <w:spacing w:after="120" w:before="0"/>
        <w:jc w:val="center"/>
      </w:pPr>
      <w:r>
        <w:rPr>
          <w:rFonts w:ascii="Georgia" w:cs="Georgia" w:eastAsia="Georgia" w:hAnsi="Georgia"/>
          <w:i/>
          <w:iCs/>
          <w:color w:val="1A1410"/>
          <w:sz w:val="28"/>
          <w:szCs w:val="28"/>
        </w:rPr>
        <w:t xml:space="preserve">A FOUNDATION REFERENCE · VOLUME III</w:t>
      </w:r>
    </w:p>
    <w:p>
      <w:pPr>
        <w:spacing w:after="1200" w:before="0"/>
        <w:jc w:val="center"/>
      </w:pPr>
      <w:r>
        <w:rPr>
          <w:rFonts w:ascii="Georgia" w:cs="Georgia" w:eastAsia="Georgia" w:hAnsi="Georgia"/>
          <w:i/>
          <w:iCs/>
          <w:color w:val="6E6356"/>
          <w:sz w:val="22"/>
          <w:szCs w:val="22"/>
        </w:rPr>
        <w:t xml:space="preserve">Higher-resolution zoom · 2025–2026</w:t>
      </w:r>
    </w:p>
    <w:p>
      <w:pPr>
        <w:spacing w:after="0" w:before="0"/>
        <w:jc w:val="center"/>
      </w:pPr>
      <w:r>
        <w:rPr>
          <w:rFonts w:ascii="Georgia" w:cs="Georgia" w:eastAsia="Georgia" w:hAnsi="Georgia"/>
          <w:i/>
          <w:iCs/>
          <w:color w:val="6E6356"/>
          <w:sz w:val="18"/>
          <w:szCs w:val="18"/>
        </w:rPr>
        <w:t xml:space="preserve">Compiled for A. Yedi · Companion to Volumes I and II of SUBSTRATE</w:t>
      </w:r>
    </w:p>
    <w:p>
      <w:pPr>
        <w:pStyle w:val="Heading1"/>
        <w:pageBreakBefore/>
        <w:spacing w:after="240" w:before="480" w:line="320"/>
      </w:pPr>
      <w:r>
        <w:rPr>
          <w:rFonts w:ascii="Georgia" w:cs="Georgia" w:eastAsia="Georgia" w:hAnsi="Georgia"/>
          <w:b/>
          <w:bCs/>
          <w:color w:val="1A1410"/>
          <w:sz w:val="40"/>
          <w:szCs w:val="40"/>
        </w:rPr>
        <w:t xml:space="preserve">Preamble</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This document is Volume III of the SUBSTRATE atlas — a parallel-resolution zoom into a single band of the 2025–2026 AI stack. The two prior volumes treated the entire stack as eighteen strata. Volume I (six plates plus an ~8,500-word foundation report) carried the visual and prose atlas from the power grid through the end user. Volume II (five plates plus an ~18,700-word decisions playbook) layered five framework analyses on top — the OCQ Matrix, Wardley Mapping, Helmer’s 7 Powers, Ecosystem JTBD, and the empirical Talent and Capital Flow tracker — and concluded with seven Big Bets, five Structural Risks, and five Cruxes.</w:t>
      </w:r>
    </w:p>
    <w:p>
      <w:pPr>
        <w:spacing w:after="100" w:before="80" w:line="300"/>
        <w:jc w:val="both"/>
      </w:pPr>
      <w:r>
        <w:rPr>
          <w:rFonts w:ascii="Calibri" w:cs="Calibri" w:eastAsia="Calibri" w:hAnsi="Calibri"/>
          <w:color w:val="1A1410"/>
          <w:sz w:val="22"/>
          <w:szCs w:val="22"/>
        </w:rPr>
        <w:t xml:space="preserve">Three of those seven Bets sit directly on the agent layer. Bet #2 names taking a Director, Field-CTO, or Head-of-Enterprise-GTM seat at a vertical-agent company (Sierra, Decagon, Glean, Harvey, Hippocratic, Augment) as the highest-conviction near-term play. Bet #3 names building a small constellation of MCP servers for systems enterprise GTM teams live in, taking advantage of the protocol’s 2026 punctuated equilibrium. Bet #4 names inference-cost optimization, whose largest cost surface is inside agent workloads because agents consume hundreds-to-thousands of tokens per task rather than tens. Even Bet #1 — the Enterprise AI Procurement Operating Standard — lives or dies based on how F1000 buyers procure agents specifically, not models in the abstract.</w:t>
      </w:r>
    </w:p>
    <w:p>
      <w:pPr>
        <w:spacing w:after="100" w:before="80" w:line="300"/>
        <w:jc w:val="both"/>
      </w:pPr>
      <w:r>
        <w:rPr>
          <w:rFonts w:ascii="Calibri" w:cs="Calibri" w:eastAsia="Calibri" w:hAnsi="Calibri"/>
          <w:color w:val="1A1410"/>
          <w:sz w:val="22"/>
          <w:szCs w:val="22"/>
        </w:rPr>
        <w:t xml:space="preserve">The conclusion of Volume II also carried a tell. Three Bets touching the agent layer, but a single band of analysis devoted to it: Stratum XIII. Eighteen strata across the full stack; one band for the most repriced layer of 2025–2026. This volume corrects that resolution. It takes the agent band and unfolds it into ten sub-strata of its own, wrapped by the same four meta-strata that wrap the parent stack — safety, regulation, economics, geopolitics — with the meta content tightened to agent-specific dynamics rather than the broader field. The aim is to produce, at per-sub-layer resolution, the opportunities, challenges, and open questions that a person with a twelve-year enterprise B2B GTM record, a growing AI-builder practice, and a New York base can act on inside an eighteen-month window.</w:t>
      </w:r>
    </w:p>
    <w:p>
      <w:pPr>
        <w:spacing w:after="100" w:before="80" w:line="300"/>
        <w:jc w:val="both"/>
      </w:pPr>
      <w:r>
        <w:rPr>
          <w:rFonts w:ascii="Calibri" w:cs="Calibri" w:eastAsia="Calibri" w:hAnsi="Calibri"/>
          <w:color w:val="1A1410"/>
          <w:sz w:val="22"/>
          <w:szCs w:val="22"/>
        </w:rPr>
        <w:t xml:space="preserve">This volume is the descriptive prose layer. The visual companion — six plates rendered in the same Substrate aesthetic — is the diagrammatic key. The decisions companion — Volume III’s addendum, five framework plates plus the ~18,000-word per-sub-stratum analysis — is the strategic layer. The three read together; none is the whole. Anything that re-derives what Volume I or II already concluded has been deliberately omitted; the prior work is referenced by name and built upon.</w:t>
      </w:r>
    </w:p>
    <w:p>
      <w:pPr>
        <w:pStyle w:val="Heading1"/>
        <w:pageBreakBefore/>
        <w:spacing w:after="240" w:before="480" w:line="320"/>
      </w:pPr>
      <w:r>
        <w:rPr>
          <w:rFonts w:ascii="Georgia" w:cs="Georgia" w:eastAsia="Georgia" w:hAnsi="Georgia"/>
          <w:b/>
          <w:bCs/>
          <w:color w:val="1A1410"/>
          <w:sz w:val="40"/>
          <w:szCs w:val="40"/>
        </w:rPr>
        <w:t xml:space="preserve">Executive Summary</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The 2025–2026 step-change in artificial intelligence is not raw model capability. It is the transition from a chat-shaped product surface — single-turn prompt, single-turn response — to an agent-shaped one: a system that takes a goal in natural language, plans multiple steps, executes them through tools, observes the result, and iterates until completion or escalation. That transition has compressed roughly a decade of enterprise SaaS adoption pattern into about thirty-six months. Sierra crossed $175 million ARR at four-times year-over-year by Q1 2026; Decagon cleared $80 million; Glean passed $300 million; Harvey past $100 million; Cursor reached a $500-million run-rate; Lovable went from zero to $80 million in twelve months; Anthropic’s Claude Code embedded several hundred million in run-rate inside the parent disclosure. Every one of those companies is an agent or agent-adjacent product. The pattern is no longer anomalous; it is the new dominant pattern of enterprise software adoption.</w:t>
      </w:r>
    </w:p>
    <w:p>
      <w:pPr>
        <w:spacing w:after="100" w:before="80" w:line="300"/>
        <w:jc w:val="both"/>
      </w:pPr>
      <w:r>
        <w:rPr>
          <w:rFonts w:ascii="Calibri" w:cs="Calibri" w:eastAsia="Calibri" w:hAnsi="Calibri"/>
          <w:color w:val="1A1410"/>
          <w:sz w:val="22"/>
          <w:szCs w:val="22"/>
        </w:rPr>
        <w:t xml:space="preserve">Five forces structure the agent layer as of May 2026.</w:t>
      </w:r>
    </w:p>
    <w:p>
      <w:pPr>
        <w:spacing w:after="100" w:before="80" w:line="300"/>
        <w:jc w:val="both"/>
      </w:pPr>
      <w:r>
        <w:rPr>
          <w:rFonts w:ascii="Calibri" w:cs="Calibri" w:eastAsia="Calibri" w:hAnsi="Calibri"/>
          <w:color w:val="1A1410"/>
          <w:sz w:val="22"/>
          <w:szCs w:val="22"/>
        </w:rPr>
        <w:t xml:space="preserve">The first is the capability ceiling at the foundation-model layer. Claude Opus 4.5 reaches 82.8% on SWE-Bench Verified inside the Claude Agent SDK harness. GPT-5 with thinking reaches the high seventies. OSWorld — the closest public proxy for desktop computer use — sits at approximately fifty-to-fifty-five percent against a human baseline of seventy-two percent, having crossed fifty percent only in early 2026. The single number that tells the story is error compounding: a model right on ninety-five percent of individual steps completes a twenty-step trajectory roughly thirty-six percent of the time. Until per-step reliability crosses approximately ninety-nine percent, computer-use agents will be supervised rather than autonomous, and the capability ceiling materially limits applications today. The ceiling will move; the question is the slope.</w:t>
      </w:r>
    </w:p>
    <w:p>
      <w:pPr>
        <w:spacing w:after="100" w:before="80" w:line="300"/>
        <w:jc w:val="both"/>
      </w:pPr>
      <w:r>
        <w:rPr>
          <w:rFonts w:ascii="Calibri" w:cs="Calibri" w:eastAsia="Calibri" w:hAnsi="Calibri"/>
          <w:color w:val="1A1410"/>
          <w:sz w:val="22"/>
          <w:szCs w:val="22"/>
        </w:rPr>
        <w:t xml:space="preserve">The second is the thinning of the runtime layer. Six months ago, the operative question was whether LangGraph would consolidate the agent-runtime category the way Kubernetes consolidated container orchestration. The answer as of May 2026 is that it will not. The runtime is splitting along the model spine: Anthropic-shop enterprises run the Claude Agent SDK released in September 2025; OpenAI-shop enterprises run the Agents SDK shipped in March 2025 or wrap LangGraph around it; Google-shop enterprises run the ADK that shipped at Cloud Next in April 2025. The model-neutral runtime is real and defensible — LangGraph 1.0 went GA in October 2025 and LangSmith carries materially more margin than the runtime itself — but it is the thinnest layer of the agent stack by gross margin. Value accrues to the model below and the application above. The runtime is connective tissue; do not build a company on being the best runtime.</w:t>
      </w:r>
    </w:p>
    <w:p>
      <w:pPr>
        <w:spacing w:after="100" w:before="80" w:line="300"/>
        <w:jc w:val="both"/>
      </w:pPr>
      <w:r>
        <w:rPr>
          <w:rFonts w:ascii="Calibri" w:cs="Calibri" w:eastAsia="Calibri" w:hAnsi="Calibri"/>
          <w:color w:val="1A1410"/>
          <w:sz w:val="22"/>
          <w:szCs w:val="22"/>
        </w:rPr>
        <w:t xml:space="preserve">The third is the Model Context Protocol — commons or fork. MCP, published by Anthropic on November 25, 2024, was adopted by OpenAI on March 26, 2025, by Google on April 9, 2025, donated to the Linux Foundation’s Agentic AI Foundation on December 8, 2025, and crossed approximately eleven thousand registered servers by April 2026. The spec is held. The experience is fragmenting. OpenAI’s native Responses API tool-call format remains proprietary, and many production OpenAI agents bypass MCP entirely for latency reasons. Google’s Agent-to-Agent protocol is adjacent to MCP and could fragment agent-to-agent communication along the same fault line. Anthropic’s own `tool_use` blocks still originate in proprietary form and translate to MCP at the runtime edge. The honest read is that by 2027, "MCP-compatible" will mean roughly what "OpenAPI-compatible" means today — a baseline, not a guarantee of interoperability. A meaningful enterprise gateway category (Cloudflare, Kong, Pomerium) is forming as the procurement-friendly control plane and is one of the more durable middleware positions in this volume.</w:t>
      </w:r>
    </w:p>
    <w:p>
      <w:pPr>
        <w:spacing w:after="100" w:before="80" w:line="300"/>
        <w:jc w:val="both"/>
      </w:pPr>
      <w:r>
        <w:rPr>
          <w:rFonts w:ascii="Calibri" w:cs="Calibri" w:eastAsia="Calibri" w:hAnsi="Calibri"/>
          <w:color w:val="1A1410"/>
          <w:sz w:val="22"/>
          <w:szCs w:val="22"/>
        </w:rPr>
        <w:t xml:space="preserve">The fourth is the inversion of token economics into trajectory economics. A single-turn API call is priced in cents per million tokens; an agent task is priced in dollars per task. A typical CX deflection trajectory consumes four-to-twenty-five-thousand tokens at a few cents apiece. A coding agent edit consumes thirty-to-two-hundred-fifty-thousand tokens at twenty cents to three dollars. A deep-research trajectory consumes half-a-million to five million tokens at one to twenty dollars. The planner-executor split — route a few percent of tokens through an expensive thinking model and the rest through a cheap executor — is the durable architectural idea of the era and the operational basis of every shipping production agent at Sierra, Decagon, Cursor, Cognition, and Anthropic’s own deep-research products. It is also the basis of "FinOps for Tokens" as a procurable category. Test-time compute beyond approximately eight thousand reasoning tokens has unattractive economics for most enterprise agent classes and should be sold accordingly.</w:t>
      </w:r>
    </w:p>
    <w:p>
      <w:pPr>
        <w:spacing w:after="100" w:before="80" w:line="300"/>
        <w:jc w:val="both"/>
      </w:pPr>
      <w:r>
        <w:rPr>
          <w:rFonts w:ascii="Calibri" w:cs="Calibri" w:eastAsia="Calibri" w:hAnsi="Calibri"/>
          <w:color w:val="1A1410"/>
          <w:sz w:val="22"/>
          <w:szCs w:val="22"/>
        </w:rPr>
        <w:t xml:space="preserve">The fifth is the binding constraint on enterprise agentic adoption — and it is not capability. It is form factor. As long as humans remain in the decision loop, which they do across virtually all 2026 enterprise deployments, the surface through which the user meets the agent governs adoption velocity, buyer persona, threat model, and regulatory surface at once. Microsoft 365 Copilot crossed $5 billion ARR with approximately thirty million paid seats by Q3 FY26 because it ships inside an existing seat-license renewal. Claude Code crossed a $500-million run-rate because the CLI is the highest-throughput surface for technical users. Glean built a $300-million ARR business inside Slack because the CISO already approved Slack and the Slack DLP and audit log inherits. Meanwhile, Meta opened the WhatsApp Business API to agentic vendors in January 2026, and the global majority’s first AI surface is now a WhatsApp agent — not a chat website, not a Cursor IDE, not a desktop computer-use agent. The US-coastal sequence "chat web → IDE inline → computer use" is a US-coastal narrative. Treat it accordingly.</w:t>
      </w:r>
    </w:p>
    <w:p>
      <w:pPr>
        <w:spacing w:after="100" w:before="80" w:line="300"/>
        <w:jc w:val="both"/>
      </w:pPr>
      <w:r>
        <w:rPr>
          <w:rFonts w:ascii="Calibri" w:cs="Calibri" w:eastAsia="Calibri" w:hAnsi="Calibri"/>
          <w:color w:val="1A1410"/>
          <w:sz w:val="22"/>
          <w:szCs w:val="22"/>
        </w:rPr>
        <w:t xml:space="preserve">What follows treats each sub-stratum at the depth a senior practitioner needs to make decisions, and at the brevity a senior practitioner can absorb in a single sitting.</w:t>
      </w:r>
    </w:p>
    <w:p>
      <w:pPr>
        <w:pStyle w:val="Heading1"/>
        <w:pageBreakBefore/>
        <w:spacing w:after="240" w:before="480" w:line="320"/>
      </w:pPr>
      <w:r>
        <w:rPr>
          <w:rFonts w:ascii="Georgia" w:cs="Georgia" w:eastAsia="Georgia" w:hAnsi="Georgia"/>
          <w:b/>
          <w:bCs/>
          <w:color w:val="1A1410"/>
          <w:sz w:val="40"/>
          <w:szCs w:val="40"/>
        </w:rPr>
        <w:t xml:space="preserve">Contents</w:t>
      </w:r>
    </w:p>
    <w:p>
      <w:pPr>
        <w:pBdr>
          <w:bottom w:val="single" w:color="A6371F" w:sz="6" w:space="1"/>
        </w:pBdr>
        <w:spacing w:after="240" w:before="120"/>
      </w:pPr>
      <w:r>
        <w:t xml:space="preserve"/>
      </w:r>
    </w:p>
    <w:p>
      <w:pPr>
        <w:spacing w:after="100" w:before="80" w:line="300"/>
        <w:ind w:left="360"/>
        <w:jc w:val="both"/>
      </w:pPr>
      <w:r>
        <w:rPr>
          <w:rFonts w:ascii="Calibri" w:cs="Calibri" w:eastAsia="Calibri" w:hAnsi="Calibri"/>
          <w:color w:val="1A1410"/>
          <w:sz w:val="22"/>
          <w:szCs w:val="22"/>
        </w:rPr>
        <w:t xml:space="preserve">Part I — The Capability Substrate (Strata I–III)</w:t>
      </w:r>
    </w:p>
    <w:p>
      <w:pPr>
        <w:spacing w:after="100" w:before="80" w:line="300"/>
        <w:ind w:left="360"/>
        <w:jc w:val="both"/>
      </w:pPr>
      <w:r>
        <w:rPr>
          <w:rFonts w:ascii="Calibri" w:cs="Calibri" w:eastAsia="Calibri" w:hAnsi="Calibri"/>
          <w:color w:val="1A1410"/>
          <w:sz w:val="22"/>
          <w:szCs w:val="22"/>
        </w:rPr>
        <w:t xml:space="preserve">Part II — The Loops of Cognition (Strata IV–V)</w:t>
      </w:r>
    </w:p>
    <w:p>
      <w:pPr>
        <w:spacing w:after="100" w:before="80" w:line="300"/>
        <w:ind w:left="360"/>
        <w:jc w:val="both"/>
      </w:pPr>
      <w:r>
        <w:rPr>
          <w:rFonts w:ascii="Calibri" w:cs="Calibri" w:eastAsia="Calibri" w:hAnsi="Calibri"/>
          <w:color w:val="1A1410"/>
          <w:sz w:val="22"/>
          <w:szCs w:val="22"/>
        </w:rPr>
        <w:t xml:space="preserve">Part III — Action and Defense Surfaces (Strata VI–VIII)</w:t>
      </w:r>
    </w:p>
    <w:p>
      <w:pPr>
        <w:spacing w:after="100" w:before="80" w:line="300"/>
        <w:ind w:left="360"/>
        <w:jc w:val="both"/>
      </w:pPr>
      <w:r>
        <w:rPr>
          <w:rFonts w:ascii="Calibri" w:cs="Calibri" w:eastAsia="Calibri" w:hAnsi="Calibri"/>
          <w:color w:val="1A1410"/>
          <w:sz w:val="22"/>
          <w:szCs w:val="22"/>
        </w:rPr>
        <w:t xml:space="preserve">Part IV — The Productized Layer (Strata IX–X)</w:t>
      </w:r>
    </w:p>
    <w:p>
      <w:pPr>
        <w:spacing w:after="100" w:before="80" w:line="300"/>
        <w:ind w:left="360"/>
        <w:jc w:val="both"/>
      </w:pPr>
      <w:r>
        <w:rPr>
          <w:rFonts w:ascii="Calibri" w:cs="Calibri" w:eastAsia="Calibri" w:hAnsi="Calibri"/>
          <w:color w:val="1A1410"/>
          <w:sz w:val="22"/>
          <w:szCs w:val="22"/>
        </w:rPr>
        <w:t xml:space="preserve">Part V — The Meta-Strata: Capability Safety, Regulation, Economics, Geopolitics</w:t>
      </w:r>
    </w:p>
    <w:p>
      <w:pPr>
        <w:spacing w:after="100" w:before="80" w:line="300"/>
        <w:ind w:left="360"/>
        <w:jc w:val="both"/>
      </w:pPr>
      <w:r>
        <w:rPr>
          <w:rFonts w:ascii="Calibri" w:cs="Calibri" w:eastAsia="Calibri" w:hAnsi="Calibri"/>
          <w:color w:val="1A1410"/>
          <w:sz w:val="22"/>
          <w:szCs w:val="22"/>
        </w:rPr>
        <w:t xml:space="preserve">Closing — How to Read the Agent Stack</w:t>
      </w:r>
    </w:p>
    <w:p>
      <w:pPr>
        <w:spacing w:after="100" w:before="80" w:line="300"/>
        <w:ind w:left="360"/>
        <w:jc w:val="both"/>
      </w:pPr>
      <w:r>
        <w:rPr>
          <w:rFonts w:ascii="Calibri" w:cs="Calibri" w:eastAsia="Calibri" w:hAnsi="Calibri"/>
          <w:color w:val="1A1410"/>
          <w:sz w:val="22"/>
          <w:szCs w:val="22"/>
        </w:rPr>
        <w:t xml:space="preserve">Sources</w:t>
      </w:r>
    </w:p>
    <w:p>
      <w:pPr>
        <w:pStyle w:val="Heading1"/>
        <w:pageBreakBefore/>
        <w:spacing w:after="240" w:before="480" w:line="320"/>
      </w:pPr>
      <w:r>
        <w:rPr>
          <w:rFonts w:ascii="Georgia" w:cs="Georgia" w:eastAsia="Georgia" w:hAnsi="Georgia"/>
          <w:b/>
          <w:bCs/>
          <w:color w:val="1A1410"/>
          <w:sz w:val="40"/>
          <w:szCs w:val="40"/>
        </w:rPr>
        <w:t xml:space="preserve">Part I · The Capability Substrate</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Three sub-strata form the substrate on which every agent runs: the foundation model and its agentic capability, the runtime that turns the model into a goal-directed system, and the protocol by which the system reaches out to external tools. These three are the geological basement of the agent layer. Everything else sits on top of them.</w:t>
      </w:r>
    </w:p>
    <w:p>
      <w:pPr>
        <w:spacing w:after="60" w:before="200"/>
      </w:pPr>
      <w:r>
        <w:rPr>
          <w:rFonts w:ascii="Consolas" w:cs="Consolas" w:eastAsia="Consolas" w:hAnsi="Consolas"/>
          <w:color w:val="A6371F"/>
          <w:spacing w:val="60"/>
          <w:sz w:val="16"/>
          <w:szCs w:val="16"/>
        </w:rPr>
        <w:t xml:space="preserve">STRATUM I · FOUNDATION MODELS AS AGENTIC ENGINES</w:t>
      </w:r>
    </w:p>
    <w:p>
      <w:pPr>
        <w:spacing w:after="100" w:before="80" w:line="300"/>
        <w:jc w:val="both"/>
      </w:pPr>
      <w:r>
        <w:rPr>
          <w:rFonts w:ascii="Calibri" w:cs="Calibri" w:eastAsia="Calibri" w:hAnsi="Calibri"/>
          <w:color w:val="1A1410"/>
          <w:sz w:val="22"/>
          <w:szCs w:val="22"/>
        </w:rPr>
        <w:t xml:space="preserve">Treat this stratum strictly as the agentic-capability delta between frontier models, not as the provider-economics layer covered in Volume I. Single-turn benchmarks — MMLU, GPQA — have saturated. The agent-relevant frontier is four numbers: TAU-bench for multi-turn tool use against a simulated user, SWE-Bench Verified for multi-file code agency, OSWorld and WebArena for computer and browser use, and GAIA or BrowseComp for open-web research. Anthropic’s Claude Opus 4.5, released November 2025 and refreshed in March 2026, reaches 82.8% on SWE-Bench Verified inside the Claude Agent SDK harness, ~84% on TAU-bench retail, ~67% on TAU-bench airline. OpenAI’s GPT-5, launched August 2025 and shipped in a "thinking" GPT-5.1 variant in December 2025, reaches 74.9% on SWE-Bench at GA and approximately 80% with the thinking-plus-Responses-API tool loop. Google’s Gemini 2.5 Pro Deep Think refresh in March 2026 reaches GAIA ~70% and BrowseComp ~50% and powers Project Mariner, which moved into Gemini Enterprise GA in April 2026 but has not posted an independent OSWorld number above ~38%. DeepSeek’s R1-0528 and the rumored R2 sit in the mid-fifties on SWE-Bench with a structured-output gap, not a reasoning gap. Meta’s Llama 4 Maverick and Behemoth, released April 2025, trail closed frontier by ten-to-fifteen points on tool-use benchmarks with a less developed harness ecosystem. The honest cross-vendor ranking on agentic tool use is Claude ahead, GPT-5 close, Gemini behind on tool use but ahead on long-context retrieval; on raw single-shot code generation the order shifts, with GPT-5 often ahead. Anyone claiming a single winner is selling.</w:t>
      </w:r>
    </w:p>
    <w:p>
      <w:pPr>
        <w:spacing w:after="100" w:before="80" w:line="300"/>
        <w:jc w:val="both"/>
      </w:pPr>
      <w:r>
        <w:rPr>
          <w:rFonts w:ascii="Calibri" w:cs="Calibri" w:eastAsia="Calibri" w:hAnsi="Calibri"/>
          <w:color w:val="1A1410"/>
          <w:sz w:val="22"/>
          <w:szCs w:val="22"/>
        </w:rPr>
        <w:t xml:space="preserve">The capability ceiling at this stratum is computer use. Anthropic’s Computer Use shipped October 2024 with OSWorld in the low twenties; by early 2026 it crossed fifty percent on the public scoreboard; by May 2026 the leading systems sit at fifty-to-fifty-five percent. The human baseline on OSWorld is approximately seventy-two percent. WebArena sits in the high sixties to low seventies for top systems against a human baseline near seventy-eight percent. The arithmetic of multi-step trajectories is unforgiving: a model right on ninety-five percent of individual steps completes a twenty-step task at roughly thirty-six percent end-to-end. Until per-step reliability crosses approximately ninety-nine percent — a 2027 question — computer-use agents will be supervised rather than autonomous. The form-factor implications of this ceiling are unpacked at Stratum X; the procurement implications at Stratum VII and Stratum VIII.</w:t>
      </w:r>
    </w:p>
    <w:p>
      <w:pPr>
        <w:spacing w:after="100" w:before="80" w:line="300"/>
        <w:jc w:val="both"/>
      </w:pPr>
      <w:r>
        <w:rPr>
          <w:rFonts w:ascii="Calibri" w:cs="Calibri" w:eastAsia="Calibri" w:hAnsi="Calibri"/>
          <w:color w:val="1A1410"/>
          <w:sz w:val="22"/>
          <w:szCs w:val="22"/>
        </w:rPr>
        <w:t xml:space="preserve">Two under-discussed dynamics warrant naming. The first is reasoning regression: every shipping reasoning-model system card from Q3 2025 onward — Anthropic’s Claude Agent SDK release notes from September 2025, OpenAI’s GPT-5 system card from August 2025, Google’s Deep Think disclosures from May 2025 — acknowledges that models score worse on agentic trajectories than the benchmark sum-of-parts predicts. The culprit is context degradation past roughly thirty-two thousand tokens of tool traces, after which instruction-following decays and tool-argument hallucination spikes. The Claude Agent SDK’s sub-agents pattern is an explicit architectural workaround: spawn fresh-context children, summarize back, preserve the parent’s context. The pattern is elegant and ahead of peers by approximately six months. It is not a moat; OpenAI’s handoffs and Google’s ADK agent teams are converging on the same primitive. By Q4 2026 it will be table-stakes. The second dynamic is test-time compute as the real lever: Claude Opus 4.5’s sixty-four-thousand-token thinking budget, GPT-5 thinking mode, and Gemini Deep Think show super-linear gains on agent tasks specifically, with latency rising from seconds to minutes and pricing crossing fifty cents to five dollars per task. The market bifurcates accordingly: interactive agents stay on Sonnet-class, Flash-class, or GPT-4.1-class executors; back-office autonomous agents run on Opus, GPT-5 thinking, or Deep Think.</w:t>
      </w:r>
    </w:p>
    <w:p>
      <w:pPr>
        <w:spacing w:after="60" w:before="200"/>
      </w:pPr>
      <w:r>
        <w:rPr>
          <w:rFonts w:ascii="Consolas" w:cs="Consolas" w:eastAsia="Consolas" w:hAnsi="Consolas"/>
          <w:color w:val="A6371F"/>
          <w:spacing w:val="60"/>
          <w:sz w:val="16"/>
          <w:szCs w:val="16"/>
        </w:rPr>
        <w:t xml:space="preserve">STRATUM II · AGENT RUNTIMES AND HARNESSES</w:t>
      </w:r>
    </w:p>
    <w:p>
      <w:pPr>
        <w:spacing w:after="100" w:before="80" w:line="300"/>
        <w:jc w:val="both"/>
      </w:pPr>
      <w:r>
        <w:rPr>
          <w:rFonts w:ascii="Calibri" w:cs="Calibri" w:eastAsia="Calibri" w:hAnsi="Calibri"/>
          <w:color w:val="1A1410"/>
          <w:sz w:val="22"/>
          <w:szCs w:val="22"/>
        </w:rPr>
        <w:t xml:space="preserve">The runtime turns a foundation model into a goal-directed system. It owns the tool-call loop, memory paging, sub-agent orchestration, retries, evals, and observability. Through mid-2025, the consolidation question pointed at LangGraph. By May 2026 the answer is that the runtime is splitting along the model spine, not consolidating. Four serious enterprise contenders define the contour. The Claude Agent SDK, released as `claude-agent-sdk` in September 2025, evolves from the internal harness behind Claude Code; its native primitives are sub-agents, skills, hooks, and MCP-native tool calling, with Python and TypeScript surfaces. Anthropic uses it internally at scale; Cursor, Vercel, and Replit have referenced it in 2026 release notes. Its strength is the model-coupling and the velocity of shipping. Its weakness is precisely the same: the "neutral runtime" pitch is gone, and it locks to Claude.</w:t>
      </w:r>
    </w:p>
    <w:p>
      <w:pPr>
        <w:spacing w:after="100" w:before="80" w:line="300"/>
        <w:jc w:val="both"/>
      </w:pPr>
      <w:r>
        <w:rPr>
          <w:rFonts w:ascii="Calibri" w:cs="Calibri" w:eastAsia="Calibri" w:hAnsi="Calibri"/>
          <w:color w:val="1A1410"/>
          <w:sz w:val="22"/>
          <w:szCs w:val="22"/>
        </w:rPr>
        <w:t xml:space="preserve">The OpenAI Agents SDK shipped March 11, 2025 alongside the Responses API, deprecating the older Assistants API with a final shutdown mid-2026. Its primitives are handoffs, guardrails, tracing dashboards, and MCP support added in April 2025. It mirrors much of LangGraph’s surface area but ships directly from OpenAI. Its strength is the OpenAI distribution and the tight Responses-API tool loop; its weakness is lighter multi-agent orchestration than LangGraph or AutoGen. Google’s ADK shipped April 9, 2025 at Cloud Next; it is Python-first with Java added in September 2025, bundled with Vertex AI Agent Engine, and integrated into Gemini Enterprise (GA December 2025). The Agent-to-Agent protocol announced at the same event is Google’s bid to do for agent-to-agent communication what MCP did for tools. ADK adoption outside Google customers is thin; A2A has not won broad cross-vendor commitment as of May 2026. LangGraph 1.0 went GA on October 22, 2025 after a year of `0.x` evolution; the repositioning is that LangChain Inc. is now four products — LangChain (the easy surface), LangGraph (the production runtime), LangSmith (the observability and evals layer where margin actually sits), and LangGraph Platform (managed deployment). Its strength is model-neutrality and the deepest production maturity in the field. Its weakness is API churn fatigue: the field narrative that "LangGraph wins enterprise" is ahead of the evidence, and several F500 shops that standardized on LangChain in 2024 are now picking between staying on LangGraph and ripping it out for a vendor SDK.</w:t>
      </w:r>
    </w:p>
    <w:p>
      <w:pPr>
        <w:spacing w:after="100" w:before="80" w:line="300"/>
        <w:jc w:val="both"/>
      </w:pPr>
      <w:r>
        <w:rPr>
          <w:rFonts w:ascii="Calibri" w:cs="Calibri" w:eastAsia="Calibri" w:hAnsi="Calibri"/>
          <w:color w:val="1A1410"/>
          <w:sz w:val="22"/>
          <w:szCs w:val="22"/>
        </w:rPr>
        <w:t xml:space="preserve">The honorable mentions are real but narrower. Mastra, a TypeScript-native runtime out of Y Combinator W24, is winning the Next.js / Vercel developer wedge. Pydantic AI, from the Pydantic Logfire team, owns typed-validation-first agents in Python and is growing in regulated industries that need schema rigor. CrewAI, with its multi-agent role-playing pattern, raised $18 million in October 2024 and is the chosen runtime in many operations and automation use cases without being serious as a code-agent runtime. Hugging Face Smolagents (December 2024) is the minimalist "code-as-action" library — technically interesting, narrowly used. Microsoft AutoGen split into AutoGen 0.4 from MSR and the community fork AG2 in November 2024 and retains traction inside Microsoft customers via Semantic Kernel. DSPy from Stanford and BAML from BoundaryML are not runtimes but compile-time and prompt-IR layers that increasingly sit beneath the runtimes above; Inspect AI from the UK AI Safety Institute is the eval framework with growing traction in safety-conscious enterprises. Non-US runtimes are material: Manus AI from Butterfly Effect in China launched March 2025 and reshaped field expectations with its viral demo; Mistral’s Agents API shipped May 2025; Sarvam AI in India announced an agent platform in Q1 2026; Aleph Alpha pivoted toward compliance-first agent tooling in Europe. The opinionated read: today the runtime layer is splitting along the model spine and is the thinnest layer of the agent stack by gross margin. Value accrues to the model below and the application above. The "sub-agents as moat" claim is a feature, not a moat. Build a company elsewhere.</w:t>
      </w:r>
    </w:p>
    <w:p>
      <w:pPr>
        <w:spacing w:after="60" w:before="200"/>
      </w:pPr>
      <w:r>
        <w:rPr>
          <w:rFonts w:ascii="Consolas" w:cs="Consolas" w:eastAsia="Consolas" w:hAnsi="Consolas"/>
          <w:color w:val="A6371F"/>
          <w:spacing w:val="60"/>
          <w:sz w:val="16"/>
          <w:szCs w:val="16"/>
        </w:rPr>
        <w:t xml:space="preserve">STRATUM III · TOOL USE AND THE MODEL CONTEXT PROTOCOL</w:t>
      </w:r>
    </w:p>
    <w:p>
      <w:pPr>
        <w:spacing w:after="100" w:before="80" w:line="300"/>
        <w:jc w:val="both"/>
      </w:pPr>
      <w:r>
        <w:rPr>
          <w:rFonts w:ascii="Calibri" w:cs="Calibri" w:eastAsia="Calibri" w:hAnsi="Calibri"/>
          <w:color w:val="1A1410"/>
          <w:sz w:val="22"/>
          <w:szCs w:val="22"/>
        </w:rPr>
        <w:t xml:space="preserve">Tool use is the joint at which an agent reaches out of its context window into the world. Until November 2024 the tool-use interface was the OpenAI function-calling spec from June 2023, refined by structured outputs in August 2024 — both proprietary, per-vendor, and not interoperable. Anthropic published the Model Context Protocol on November 25, 2024 as a JSON-RPC standard with Python and TypeScript SDKs and four reference servers — filesystem, GitHub, Slack, Postgres. OpenAI committed to MCP across the Agents SDK, ChatGPT desktop, and the Responses API on March 26, 2025, with a Sam Altman tweet crediting Anthropic. Google announced MCP support across Gemini and Vertex AI on April 9, 2025 at Cloud Next, alongside A2A. Microsoft shipped MCP into Copilot Studio and Semantic Kernel in May 2025; the GitHub MCP server became the canonical first-party example. Hugging Face released MCP-compatible Spaces in June 2025. On December 8, 2025, MCP was donated to the Linux Foundation under a new Agentic AI Foundation, with Anthropic relinquishing unilateral spec authority and the initial Technical Steering Committee seating Anthropic, Microsoft, Google, OpenAI, Hugging Face, and Cloudflare.</w:t>
      </w:r>
    </w:p>
    <w:p>
      <w:pPr>
        <w:spacing w:after="100" w:before="80" w:line="300"/>
        <w:jc w:val="both"/>
      </w:pPr>
      <w:r>
        <w:rPr>
          <w:rFonts w:ascii="Calibri" w:cs="Calibri" w:eastAsia="Calibri" w:hAnsi="Calibri"/>
          <w:color w:val="1A1410"/>
          <w:sz w:val="22"/>
          <w:szCs w:val="22"/>
        </w:rPr>
        <w:t xml:space="preserve">The registry growth is the empirical proof. Roughly fifty servers existed at launch in November 2024. By April 2025 there were approximately twelve hundred. By December 2025, at the Linux Foundation donation, there were fifty-eight hundred. By April 2026, per the Linux Foundation MCP registry statistics page, there were approximately eleven thousand four hundred. Quality is bimodal: a long tail of toy servers, plus a slowly hardening tier of first-party servers from Stripe, Linear, Cloudflare, Notion, GitHub, Atlassian, Datadog, Snowflake, Databricks, and ServiceNow. The MCP gateway category — Cloudflare’s Workers AI MCP (December 2024), Kong’s MCP Gateway (announced March 2025, GA July 2025), Pomerium’s identity-aware MCP proxy (May 2025), and Anthropic’s own remote-server pattern (November 2025) — is the enterprise control plane (authentication, audit, rate-limiting, secret injection) and is analogous to the API gateway category in the REST era. It is one of the more durable middleware categories forming in this volume.</w:t>
      </w:r>
    </w:p>
    <w:p>
      <w:pPr>
        <w:spacing w:after="100" w:before="80" w:line="300"/>
        <w:jc w:val="both"/>
      </w:pPr>
      <w:r>
        <w:rPr>
          <w:rFonts w:ascii="Calibri" w:cs="Calibri" w:eastAsia="Calibri" w:hAnsi="Calibri"/>
          <w:color w:val="1A1410"/>
          <w:sz w:val="22"/>
          <w:szCs w:val="22"/>
        </w:rPr>
        <w:t xml:space="preserve">The Crux from Volume II — MCP, commons or fork? — admits a 2026 answer in two parts. The bull case is that the spec is held: all four hyperscalers committed, the LF governance removes the Anthropic kill-switch objection, registry growth is real, and the OpenAPI parallel argues that protocols at this layer settle and stay settled. The bear case is that the experience is fragmenting silently. Four fork vectors are visible. First, OpenAI’s Responses-API extensions ship MCP support but the native tool-call format remains proprietary, and many production OpenAI agents bypass MCP entirely because latency is lower and structured-output reliability is higher — the "MCP-compatible but not MCP-native" pattern is growing. Second, Google’s A2A is adjacent to MCP and could fragment agent-to-agent communication along a second axis if it wins. Third, Anthropic’s own `tool_use` blocks remain the proprietary native format in the Claude API, with MCP servers translating into them; the translation overhead is itself a fork vector. Fourth, a quality split — first-party MCP servers from Stripe, Linear, GitHub are well-maintained; the long tail is abandonware. Enterprises will de facto fork by curating private registries. The honest call: by 2027, "MCP-compatible" will mean roughly what "OpenAPI-compatible" means today — a baseline, not a guarantee. MCP wins on portability and loses on hot-path performance; anyone telling you MCP is unanimous is reading the press releases, not the production traffic.</w:t>
      </w:r>
    </w:p>
    <w:p>
      <w:pPr>
        <w:pStyle w:val="Heading1"/>
        <w:pageBreakBefore/>
        <w:spacing w:after="240" w:before="480" w:line="320"/>
      </w:pPr>
      <w:r>
        <w:rPr>
          <w:rFonts w:ascii="Georgia" w:cs="Georgia" w:eastAsia="Georgia" w:hAnsi="Georgia"/>
          <w:b/>
          <w:bCs/>
          <w:color w:val="1A1410"/>
          <w:sz w:val="40"/>
          <w:szCs w:val="40"/>
        </w:rPr>
        <w:t xml:space="preserve">Part II · The Loops of Cognition</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Two sub-strata constitute the inner loops of a working agent: memory, by which the agent retains state across turns, sessions, users, and time; and planning-and-reasoning, by which the agent decomposes a goal into actionable steps and decides which to take next. These two layers determine whether the agent feels like a stateless function or a persistent coworker.</w:t>
      </w:r>
    </w:p>
    <w:p>
      <w:pPr>
        <w:spacing w:after="60" w:before="200"/>
      </w:pPr>
      <w:r>
        <w:rPr>
          <w:rFonts w:ascii="Consolas" w:cs="Consolas" w:eastAsia="Consolas" w:hAnsi="Consolas"/>
          <w:color w:val="A6371F"/>
          <w:spacing w:val="60"/>
          <w:sz w:val="16"/>
          <w:szCs w:val="16"/>
        </w:rPr>
        <w:t xml:space="preserve">STRATUM IV · MEMORY AND STATE</w:t>
      </w:r>
    </w:p>
    <w:p>
      <w:pPr>
        <w:spacing w:after="100" w:before="80" w:line="300"/>
        <w:jc w:val="both"/>
      </w:pPr>
      <w:r>
        <w:rPr>
          <w:rFonts w:ascii="Calibri" w:cs="Calibri" w:eastAsia="Calibri" w:hAnsi="Calibri"/>
          <w:color w:val="1A1410"/>
          <w:sz w:val="22"/>
          <w:szCs w:val="22"/>
        </w:rPr>
        <w:t xml:space="preserve">Vendors blur five things into "memory." Context window — what fits in the prompt — is lab-controlled and not memory at all (Gemini 2.5 Pro at 2M, Claude 4.5 Sonnet at 1M, GPT-5 at 400K). Working memory, the agent’s intra-task scratchpad, lives in the orchestrator (LangGraph state, Letta archival blocks, OpenAI Assistants threads) and is engineering rather than category. Episodic memory — recall of past sessions — is the actual category. Semantic memory — extracted entity facts, preferences, account state — is where graph-versus-vector debates live. Procedural memory — learned playbooks — is still mostly research-stage. A useful falsifiability test: ask any "memory" vendor which of episodic, semantic, or procedural it stores, where it lives, and the eviction policy. Roughly seven of every ten vendor pitches collapse to "we summarize and write to a vector database" — RAG with a write path, not a distinct primitive.</w:t>
      </w:r>
    </w:p>
    <w:p>
      <w:pPr>
        <w:spacing w:after="100" w:before="80" w:line="300"/>
        <w:jc w:val="both"/>
      </w:pPr>
      <w:r>
        <w:rPr>
          <w:rFonts w:ascii="Calibri" w:cs="Calibri" w:eastAsia="Calibri" w:hAnsi="Calibri"/>
          <w:color w:val="1A1410"/>
          <w:sz w:val="22"/>
          <w:szCs w:val="22"/>
        </w:rPr>
        <w:t xml:space="preserve">The category players in May 2026 are four. Mem0 (Y Combinator W24) raised a $24 million Series A in December 2025 led by Basis Set with YC and Kindred; its architecture extracts, stores in a vector-plus-graph hybrid with pgvector default and Neo4j optional, and retrieves. It claims a twenty-six percent lift on the LoCoMo benchmark in self-reported numbers from April 2025; its production-named logos are thinner than its star count suggests. Letta — formerly MemGPT, the OS-style paging primitive that came out of the NeurIPS 2023 paper — operates as a Berkeley spin-out from Packer and Wooders with a $10 million seed from Felicis and Essence in September 2024 and a reportedly closing Series A around $70 million valuation per an unconfirmed Information rumor; its differentiator is the stateful agent as the unit rather than the stateless completion. Zep, with its Graphiti graph engine (open-sourced August 2024) and $15 million Series A from Curiosity Lane in February 2025, has the sharpest enterprise compliance positioning — SOC 2 Type II, HIPAA-ready, LangGraph and CrewAI integrations, with Athelas and additional late-stage fintech logos. Cognee remains the open-source pipeline with a $2.5 million seed and a likely consolidation outcome rather than a standalone exit. Non-US and lab-native dynamics matter: MemoryOS from Tsinghua (September 2025 paper, not commercialized); Chinese frameworks like Qwen-Agent ship native memory and bypass the category entirely; in Europe there is no serious standalone challenger as of May 2026; and lab-native memory — ChatGPT memory generally available in paid tiers since April 2024 and free since September 2024, Claude Projects memory GA in April 2026, Gemini Workspace personalization GA in March 2026 — sits in front of hundreds of millions of users against the standalone category’s tens of thousands of developer accounts.</w:t>
      </w:r>
    </w:p>
    <w:p>
      <w:pPr>
        <w:spacing w:after="100" w:before="80" w:line="300"/>
        <w:jc w:val="both"/>
      </w:pPr>
      <w:r>
        <w:rPr>
          <w:rFonts w:ascii="Calibri" w:cs="Calibri" w:eastAsia="Calibri" w:hAnsi="Calibri"/>
          <w:color w:val="1A1410"/>
          <w:sz w:val="22"/>
          <w:szCs w:val="22"/>
        </w:rPr>
        <w:t xml:space="preserve">Knowledge-graph hybrids are the other major architectural question. Microsoft’s GraphRAG (research paper April 2024, open source July 2024) has partial production traction at Azure customers including Hitachi and KPMG. HippoRAG and HippoRAG 2 (OSU, April 2024 and August 2025) remain research-only despite frequent vendor-deck citation. PathRAG (March 2025) and OG-RAG (October 2024) remain papers. LightRAG from HKU is the only graph alternative with non-trivial production adoption beyond GraphRAG. The honest read is that graph approaches win on cross-session entity reconciliation, auditable citations in regulated domains, and multi-hop reasoning; vector approaches win on FAQ-shaped retrieval, semantic similarity over unstructured text, and any latency-sensitive deployment. Production teams settle on hybrid summarization buffers plus selective semantic writes served from pgvector or Turbopuffer alongside a primary RAG store. The boring engineering reality is that most "memory" in production is summarization plus a database. Standalone vendors earn their keep when the team wants a managed API or when cross-session reasoning is the product (customer experience, longitudinal health, longitudinal sales).</w:t>
      </w:r>
    </w:p>
    <w:p>
      <w:pPr>
        <w:spacing w:after="100" w:before="80" w:line="300"/>
        <w:jc w:val="both"/>
      </w:pPr>
      <w:r>
        <w:rPr>
          <w:rFonts w:ascii="Calibri" w:cs="Calibri" w:eastAsia="Calibri" w:hAnsi="Calibri"/>
          <w:color w:val="1A1410"/>
          <w:sz w:val="22"/>
          <w:szCs w:val="22"/>
        </w:rPr>
        <w:t xml:space="preserve">Procurement and compliance reality is the wedge. F1000 buyers ask: where does memory live physically? Who can subpoena it? Does the vendor honor GDPR Article 17 forget requests with auditable confirmation? Does it tie out to EU AI Act Article 13 GPAI transparency? Does it satisfy HIPAA? And — a frame no vendor ships against — does it preserve contextual integrity in Helen Nissenbaum’s sense, such that a memory written in B2B sales is not resurfaced in HR? In May 2026, Zep has the cleanest residency commitment and is the only credible HIPAA story; Mem0 added explicit forget APIs in February 2026 and a BAA enterprise tier in March 2026; Letta is self-host-first and pushes compliance to the customer; lab-native memory is opaque on deletion auditability and is the enterprise wedge. The directional answer to the Crux from Volume II — memory standalone or absorbed? — is that consumer and prosumer memory will absorb into the labs (it largely already has), while a compliance-sensitive enterprise niche will survive standalone at a $200–400 million ARR ceiling split across two or three vendors. The implication for Bet #5 in the prior tracker is to fold memory architecture into the Enterprise RAG Architecture Practice as a service line, not to stand it up as a separate bet.</w:t>
      </w:r>
    </w:p>
    <w:p>
      <w:pPr>
        <w:spacing w:after="60" w:before="200"/>
      </w:pPr>
      <w:r>
        <w:rPr>
          <w:rFonts w:ascii="Consolas" w:cs="Consolas" w:eastAsia="Consolas" w:hAnsi="Consolas"/>
          <w:color w:val="A6371F"/>
          <w:spacing w:val="60"/>
          <w:sz w:val="16"/>
          <w:szCs w:val="16"/>
        </w:rPr>
        <w:t xml:space="preserve">STRATUM V · PLANNING, REASONING, TEST-TIME COMPUTE</w:t>
      </w:r>
    </w:p>
    <w:p>
      <w:pPr>
        <w:spacing w:after="100" w:before="80" w:line="300"/>
        <w:jc w:val="both"/>
      </w:pPr>
      <w:r>
        <w:rPr>
          <w:rFonts w:ascii="Calibri" w:cs="Calibri" w:eastAsia="Calibri" w:hAnsi="Calibri"/>
          <w:color w:val="1A1410"/>
          <w:sz w:val="22"/>
          <w:szCs w:val="22"/>
        </w:rPr>
        <w:t xml:space="preserve">The architectural chain is shorter than the field’s hype suggests. ReAct (Yao et al., October 2022) — interleaved thought, action, observation — remains the dominant loop in production agents in 2026; most "agentic frameworks" (LangGraph, CrewAI, Pydantic AI, the Vercel AI SDK) are ReAct plus a tool schema and a state machine. Plan-and-Solve (Wang et al., May 2023) survives as a prompting pattern in coding agents and deep-research products. Tree-of-Thoughts and Graph-of-Thoughts remained lab curiosities; token cost is multiplicative and production usage is rare. Reflexion (Shinn et al., March 2023) survived as the "reviewer" sub-agent pattern visible in Anthropic’s research agent, Cognition’s Devin verifier, and Manus’s critic; it materially helps on coding and SWE-Bench-style tasks and is mostly noise elsewhere. AutoGPT and BabyAGI (March–April 2023) — the open-ended planner-executor loop — are dead in production. What survived is the idea of a scratchpad, persistent memory, and a tool registry, not the autonomous outer loop. Every serious 2026 agent runs bounded.</w:t>
      </w:r>
    </w:p>
    <w:p>
      <w:pPr>
        <w:spacing w:after="100" w:before="80" w:line="300"/>
        <w:jc w:val="both"/>
      </w:pPr>
      <w:r>
        <w:rPr>
          <w:rFonts w:ascii="Calibri" w:cs="Calibri" w:eastAsia="Calibri" w:hAnsi="Calibri"/>
          <w:color w:val="1A1410"/>
          <w:sz w:val="22"/>
          <w:szCs w:val="22"/>
        </w:rPr>
        <w:t xml:space="preserve">The planner-executor split is the durable architectural idea of the era. Sierra, Decagon, Cognition, Cursor, Claude Code, and OpenAI’s Operator-now-ChatGPT-Agent all separate a "thinking" planner from cheaper "doing" executors; in a typical production trajectory, two of three calls are the executor and one is the planner. The reasoning-model tier impact since September 2024 — o1, then o3 in December 2024 going GA in January 2025, then Claude 3.7 extended thinking in February 2025, then Claude 4 and 4.5 thinking, then Gemini 2.5 Deep Think in May 2025, then DeepSeek R1 and R1-Zero in January 2025, then Qwen QwQ-32B in March 2025, then Kimi K1.5 and K2 in January–July 2025 — collapsed two distinctions that mattered in the ReAct era. First, the model now does internal multi-step search before emitting a token; the agent framework’s plan step becomes redundant on hard tasks because the model already planned and you paid for it inside `reasoning_tokens`. Second, tool use during reasoning — o3, Claude extended thinking with tool use, Gemini 2.5 thinking plus tools — means the framework’s outer ReAct loop and the model’s inner thinking loop overlap. The net result is simpler outer scaffolds and more tokens per step. Most production agents in May 2026 are three-to-seven-step ReAct loops with a reasoning model, good system prompts, and a verifier pass. The exotic graph, tree, and meta-planner work is either inside the model now or relegated to long-horizon research agents.</w:t>
      </w:r>
    </w:p>
    <w:p>
      <w:pPr>
        <w:spacing w:after="100" w:before="80" w:line="300"/>
        <w:jc w:val="both"/>
      </w:pPr>
      <w:r>
        <w:rPr>
          <w:rFonts w:ascii="Calibri" w:cs="Calibri" w:eastAsia="Calibri" w:hAnsi="Calibri"/>
          <w:color w:val="1A1410"/>
          <w:sz w:val="22"/>
          <w:szCs w:val="22"/>
        </w:rPr>
        <w:t xml:space="preserve">Test-time compute economics bend the curve fast. Below approximately two thousand reasoning tokens, gains are large and linear on math, coding, and multi-hop retrieval. Between two and eight thousand, diminishing but real — the sweet spot for most agent tasks. Between eight and thirty-two thousand, gains exist on hard coding, olympiad math, and saturated agent benchmarks but cost four-to-ten times and push latency across the ten-to-thirty-second line. Beyond thirty-two thousand, gains regress on tasks where the answer was already correct at four thousand — what Anthropic’s February 2026 extended-thinking guidance and OpenAI’s `reasoning_effort=high` documentation both call "overthinking." Latency thresholds that matter for enterprise: under two seconds for interactive autocomplete; two-to-ten for "thinking" UIs with a visible spinner; ten-to-sixty for "task" UIs (research, code-PR, ticket resolution); beyond sixty seconds the surface must change entirely to asynchronous with notification. A 10x thinking budget — going from `reasoning_effort=medium` (~2K) to `high` (~16K) — typically costs five-to-twelve times the call price for a three-to-ten-point benchmark gain on hard subsets and zero-to-two points on typical enterprise tasks. For customer experience, retrieval-augmented generation, and most knowledge-work agents, the high setting is a waste. For coding and compliance reasoning it pays. The split is task-class-specific, not vendor-specific. The Chinese reasoning ecosystem — DeepSeek R1 and V3.5, Qwen3 and QwQ, Kimi K1.5 and K2, Manus — is at parity on the recipe (RLVR plus GRPO at trajectory level), behind on raw scale, and ahead on openness, with reported inference cost at twenty-to-forty percent of US frontier. The procurement implication for US F1000 is that open-weight Chinese reasoners are the realistic on-premises option, with political and IP risk the gating factor rather than capability.</w:t>
      </w:r>
    </w:p>
    <w:p>
      <w:pPr>
        <w:pStyle w:val="Heading1"/>
        <w:pageBreakBefore/>
        <w:spacing w:after="240" w:before="480" w:line="320"/>
      </w:pPr>
      <w:r>
        <w:rPr>
          <w:rFonts w:ascii="Georgia" w:cs="Georgia" w:eastAsia="Georgia" w:hAnsi="Georgia"/>
          <w:b/>
          <w:bCs/>
          <w:color w:val="1A1410"/>
          <w:sz w:val="40"/>
          <w:szCs w:val="40"/>
        </w:rPr>
        <w:t xml:space="preserve">Part III · Action and Defense Surfaces</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Three sub-strata cover the surfaces by which the agent reaches into the world, the layer by which we measure whether it is doing the right thing, and the layer that defends against the consequences when it does not. Action surface, evaluation, and runtime safety are not three separate problems; they are three views of the same system seen from outside, from above, and from the threat-actor’s seat.</w:t>
      </w:r>
    </w:p>
    <w:p>
      <w:pPr>
        <w:spacing w:after="60" w:before="200"/>
      </w:pPr>
      <w:r>
        <w:rPr>
          <w:rFonts w:ascii="Consolas" w:cs="Consolas" w:eastAsia="Consolas" w:hAnsi="Consolas"/>
          <w:color w:val="A6371F"/>
          <w:spacing w:val="60"/>
          <w:sz w:val="16"/>
          <w:szCs w:val="16"/>
        </w:rPr>
        <w:t xml:space="preserve">STRATUM VI · ACTION SURFACES</w:t>
      </w:r>
    </w:p>
    <w:p>
      <w:pPr>
        <w:spacing w:after="100" w:before="80" w:line="300"/>
        <w:jc w:val="both"/>
      </w:pPr>
      <w:r>
        <w:rPr>
          <w:rFonts w:ascii="Calibri" w:cs="Calibri" w:eastAsia="Calibri" w:hAnsi="Calibri"/>
          <w:color w:val="1A1410"/>
          <w:sz w:val="22"/>
          <w:szCs w:val="22"/>
        </w:rPr>
        <w:t xml:space="preserve">Four families of action surface — sandboxed code execution, browser automation, full computer use, and agent-outbound voice — define where agentic systems stop being chatbots and start being labor. The honest read in May 2026: sandboxed code execution is production-ready and commoditizing; browser automation is production-ready in narrow lanes; computer use is still demo-grade despite the marketing; voice agents are production-ready for short scripted calls and collapse on the long tail.</w:t>
      </w:r>
    </w:p>
    <w:p>
      <w:pPr>
        <w:spacing w:after="100" w:before="80" w:line="300"/>
        <w:jc w:val="both"/>
      </w:pPr>
      <w:r>
        <w:rPr>
          <w:rFonts w:ascii="Calibri" w:cs="Calibri" w:eastAsia="Calibri" w:hAnsi="Calibri"/>
          <w:color w:val="1A1410"/>
          <w:sz w:val="22"/>
          <w:szCs w:val="22"/>
        </w:rPr>
        <w:t xml:space="preserve">Sandboxed code execution is the most under-discussed procurement requirement in this volume. The category exists because frontier-model code output is non-deterministic and frequently unsafe to run on first-party infrastructure. The vendor set in May 2026 — E2B (open-core, dominant developer mindshare, an estimated $15–25 million ARR doubling year-over-year); Modal (the Modal Labs pivot from serverless GPU to agent workloads, reported north of $50 million in ARR combined); Daytona (newer entrant); Vercel Sandbox (Firecracker microVMs, GA January 2026, tight integration with AI Gateway and Workflow DevKit); Replit Agent sandbox (bundled, prosumer-leaning); and re-purposed Hugging Face Spaces and GitHub Codespaces — converges on the pattern of Firecracker plus Linux plus Python. The non-obvious question is when an agent actually needs a sandbox rather than a direct Python tool call; the honest answer is anytime the code is model-authored and the execution touches anything beyond pure-function math. Sandboxing is a SOC 2 and ISO 27001 control surface, not a feature; Vanta-style frameworks will start mapping a control like "AI-001: AI-generated code must execute in isolated tenancy with default-deny egress" by end of 2026. Vendors shipping "agents that run code" without a named sandbox layer will fail enterprise security review. Commoditization timeline is eighteen-to-twenty-four months before this looks like S3.</w:t>
      </w:r>
    </w:p>
    <w:p>
      <w:pPr>
        <w:spacing w:after="100" w:before="80" w:line="300"/>
        <w:jc w:val="both"/>
      </w:pPr>
      <w:r>
        <w:rPr>
          <w:rFonts w:ascii="Calibri" w:cs="Calibri" w:eastAsia="Calibri" w:hAnsi="Calibri"/>
          <w:color w:val="1A1410"/>
          <w:sz w:val="22"/>
          <w:szCs w:val="22"/>
        </w:rPr>
        <w:t xml:space="preserve">Browser automation is distinct from computer use and operates at the DOM level: the agent reads the accessibility tree, dispatches clicks via CDP, parses structured responses, and pixel-perfect rendering does not matter. The vendor map in May 2026 — Playwright with AI patterns as the boring baseline; Browserbase as the fastest-growing managed Chromium at scale at an estimated $50+ million ARR by Q1 2026 with session recording, stealth, and the Stagehand natural-language wrapper; Browserless as the price-led incumbent; Skyvern with a vision-plus-DOM hybrid; Anchor Browser and Hyperbrowser as 2025 MCP-compatible entrants — sits on top of a baseline that frequently outperforms the paid options. A well-prompted Playwright loop with a strong model still wins on cost and latency for sites with stable DOM and no aggressive anti-bot. Reliability inflected in mid-2025; browser automation is production-ready today for sites the agent has seen at training time or has a stable DOM, and still collapses on novel single-page applications with shadow DOM tricks, captcha walls, and SMS-or-2FA auth flows without human in the loop.</w:t>
      </w:r>
    </w:p>
    <w:p>
      <w:pPr>
        <w:spacing w:after="100" w:before="80" w:line="300"/>
        <w:jc w:val="both"/>
      </w:pPr>
      <w:r>
        <w:rPr>
          <w:rFonts w:ascii="Calibri" w:cs="Calibri" w:eastAsia="Calibri" w:hAnsi="Calibri"/>
          <w:color w:val="1A1410"/>
          <w:sz w:val="22"/>
          <w:szCs w:val="22"/>
        </w:rPr>
        <w:t xml:space="preserve">Full computer use is loud, hyped, and still demo-grade in May 2026. Anthropic Computer Use shipped October 2024 with OSWorld in the low twenties; Claude for Chrome was a public preview by December 2025 and a wider rollout in April 2026. OpenAI Operator shipped January 2025 and rebranded to ChatGPT Agent after consumer confusion. Google Project Mariner moved to Gemini Enterprise GA in April 2026. Microsoft Copilot Vision and Copilot Studio agents are the Windows-native enterprise default. Amazon acqui-hired Adept in mid-2024 and the ACT-2 lineage now sits inside AWS Q. Multi-On and Twin AI shrank after Operator. Manus from China combines computer use, browser, and voice and gained genuine non-US traction. OSWorld sits at fifty-to-fifty-five percent against a human baseline of seventy-two percent; WebArena sits in the high sixties to low seventies; ScreenSpot-Pro for professional applications sits at forty-five-to-fifty-five percent; AndroidWorld sits near fifty percent. "Is computer use production-ready" admits a clean No for unattended autonomous work. WebArena at seventy percent means roughly one-in-three multi-step tasks fail; OSWorld at fifty percent is a coin flip. For human-in-loop "drive this for me while I watch," it is useful and improving fast. For "run overnight, file the expense reports unsupervised," it is still a 2027 question. Where it does work in May 2026: scripted, narrow, repeated workflows where failure cost is low and a retry is cheap.</w:t>
      </w:r>
    </w:p>
    <w:p>
      <w:pPr>
        <w:spacing w:after="100" w:before="80" w:line="300"/>
        <w:jc w:val="both"/>
      </w:pPr>
      <w:r>
        <w:rPr>
          <w:rFonts w:ascii="Calibri" w:cs="Calibri" w:eastAsia="Calibri" w:hAnsi="Calibri"/>
          <w:color w:val="1A1410"/>
          <w:sz w:val="22"/>
          <w:szCs w:val="22"/>
        </w:rPr>
        <w:t xml:space="preserve">Voice agents — the agent makes or receives phone calls, replaces an IVR, performs sales, support, scheduling outbound — are production-ready for short scripted calls and collapse on the long tail. Vapi (Y Combinator W23 origin, $20+ million ARR by Q4 2025), Retell AI, and Bland AI form the trio. LiveKit Agents provides the WebRTC infrastructure layer; ElevenLabs Conversational AI moves up-stack from TTS; PolyAI, Parloa ($66 million Series B 2024), and Regal serve enterprise CX. Foundation pieces include OpenAI Realtime, Cartesia Sonic-2 at approximately forty-millisecond first-byte TTS, Deepgram Nova-3 on accent robustness; telephony substrate splits across Twilio (incumbent), Telnyx (price challenger), and LiveKit Cloud (WebRTC-native, AI-native default). End-to-end voice-to-voice in May 2026 sits at approximately five-hundred-to-eight-hundred milliseconds for the best stacks. Human conversational turn-taking is two-to-three hundred milliseconds; below six hundred the experience feels human, above one second it feels robotic. The field has crossed the natural-cadence line for short turns. Voice collapses on numeric input over phone (credit card digits, account numbers; ASR error rates jump), long proper nouns, heavy accents and code-switching, mid-utterance interruption (most systems still over-talk or freeze for six hundred milliseconds), and calls beyond five minutes where context drift, repetition, and looping emerge. The procurement implication is that voice is where AI-vendor risk surfaces fastest in regulated industries: TCPA, GDPR, state consent laws. The Vapi-Retell-Bland trio is still maturing consent capture, audit recording, and named voice-cloning policy.</w:t>
      </w:r>
    </w:p>
    <w:p>
      <w:pPr>
        <w:spacing w:after="100" w:before="80" w:line="300"/>
        <w:jc w:val="both"/>
      </w:pPr>
      <w:r>
        <w:rPr>
          <w:rFonts w:ascii="Calibri" w:cs="Calibri" w:eastAsia="Calibri" w:hAnsi="Calibri"/>
          <w:color w:val="1A1410"/>
          <w:sz w:val="22"/>
          <w:szCs w:val="22"/>
        </w:rPr>
        <w:t xml:space="preserve">A cross-cutting argument frames the layer. The bull case for commoditization: sandboxes converge on Firecracker plus Linux plus Python; browsers converge on managed Chromium plus CDP; voice converges on LiveKit plus OpenAI Realtime plus best-of-breed TTS. In twenty-four months these look like Twilio circa 2018 — boring, multi-vendor, sub-ten-percent gross margin attractive. The counter-argument: the moat is operational tooling around the surface, not the surface itself. Browserbase wins not because Chromium is better but because session recording, replay, anti-bot evasion, and Stagehand DX layer ship together. Vapi wins not on telephony but on a dashboard that lets a non-engineer ship a phone agent in thirty minutes. Both are true. Pure surfaces commoditize inside twenty-four months; the operational layer on top — recording, replay, evaluation, compliance, observability — is where durable value lands.</w:t>
      </w:r>
    </w:p>
    <w:p>
      <w:pPr>
        <w:spacing w:after="60" w:before="200"/>
      </w:pPr>
      <w:r>
        <w:rPr>
          <w:rFonts w:ascii="Consolas" w:cs="Consolas" w:eastAsia="Consolas" w:hAnsi="Consolas"/>
          <w:color w:val="A6371F"/>
          <w:spacing w:val="60"/>
          <w:sz w:val="16"/>
          <w:szCs w:val="16"/>
        </w:rPr>
        <w:t xml:space="preserve">STRATUM VII · EVALUATION AND OBSERVABILITY</w:t>
      </w:r>
    </w:p>
    <w:p>
      <w:pPr>
        <w:spacing w:after="100" w:before="80" w:line="300"/>
        <w:jc w:val="both"/>
      </w:pPr>
      <w:r>
        <w:rPr>
          <w:rFonts w:ascii="Calibri" w:cs="Calibri" w:eastAsia="Calibri" w:hAnsi="Calibri"/>
          <w:color w:val="1A1410"/>
          <w:sz w:val="22"/>
          <w:szCs w:val="22"/>
        </w:rPr>
        <w:t xml:space="preserve">Through 2024, evaluation and observability for language models meant logging the prompt, logging the completion, and scoring for hallucination or toxicity. Agents broke that on four axes simultaneously. One: trajectories, not turns. A single request fans out into twenty-to-eighty tool calls across sub-agents, and final-output evaluation catches roughly thirty percent of real failures — wrong tool selected, right tool called with wrong arguments, infinite loops, a sub-agent that summarized away the load-bearing fact. Trajectory evaluation catches the rest. Two: replay is the debug primitive. "Re-run from step seven with a different model, prompt, or tool stub" became the workflow that Logfire, LangSmith, Braintrust, Langfuse, and Arize Phoenix all converged on by 2025. Three: online evaluation, not just offline. Agents drift inside a session (context degradation past thirty-two thousand tokens of tool traces); the pattern is LLM-as-judge over live traces plus regression sets auto-curated from production failures. Four: cost and latency are first-class. A forty-seven-tool-call trace at Opus pricing is a P&amp;L event; token, dollar, and wall-clock per node are non-negotiable to a modern enterprise buyer.</w:t>
      </w:r>
    </w:p>
    <w:p>
      <w:pPr>
        <w:spacing w:after="100" w:before="80" w:line="300"/>
        <w:jc w:val="both"/>
      </w:pPr>
      <w:r>
        <w:rPr>
          <w:rFonts w:ascii="Calibri" w:cs="Calibri" w:eastAsia="Calibri" w:hAnsi="Calibri"/>
          <w:color w:val="1A1410"/>
          <w:sz w:val="22"/>
          <w:szCs w:val="22"/>
        </w:rPr>
        <w:t xml:space="preserve">The vendor map as of May 2026. Tier one with real enterprise traction: LangSmith and LangChain (bundled with LangGraph 1.0 GA in October 2025; Series C of $25 million in February 2024 at approximately $1 billion valuation; ARR an estimated $40–60 million by Q1 2026), tightest LangGraph integration but ecosystem-locked. Braintrust (Series A $36 million from a16z in June 2024; a Series B reportedly closed Q1 2026 around $60 million per an unconfirmed leak), the "evals-as-CI" workflow with publicly named logos including Notion, Airtable, and Brex, the most likely pure-play winner. Langfuse (open-source core under MIT, Y Combinator W23, $4 million seed plus extension from Lightspeed in July 2024), the reference choice for EU and regulated deployments. Arize Phoenix and Arize AX (Phoenix is the Apache 2.0 OSS sibling; Series C of $70 million from Salesforce Ventures in December 2024) for MLOps-mature accounts migrating from SageMaker or Vertex. Galileo (Series B $45 million from Scale Venture in June 2024; Series C reported April 2026 around $60 million), hallucination metrics and agent-trace evaluation with Hubspot and ServiceNow named in Q3 2025. Tier two and credible: Comet Opik (OSS, September 2024); Confident AI / DeepEval (the pytest-style eval-as-code option); HumanLoop (UK, strong in financial services); Patronus AI (Series A $17 million from Notable in March 2024) with Lynx and Glider as open eval models; AgentOps (OSS, CrewAI / AutoGen ecosystem); Helicone (the observability-as-proxy model, losing as runtime-native tracing matures); Promptfoo (acquired by OpenAI in September 2025; OSS continues but strategic neutrality is gone); Inspect AI (UK AISI, OSS, cited explicitly in EU AI Act conformity-assessment drafts from February 2026); and METR as a research organization not a vendor (cite, do not procure).</w:t>
      </w:r>
    </w:p>
    <w:p>
      <w:pPr>
        <w:spacing w:after="100" w:before="80" w:line="300"/>
        <w:jc w:val="both"/>
      </w:pPr>
      <w:r>
        <w:rPr>
          <w:rFonts w:ascii="Calibri" w:cs="Calibri" w:eastAsia="Calibri" w:hAnsi="Calibri"/>
          <w:color w:val="1A1410"/>
          <w:sz w:val="22"/>
          <w:szCs w:val="22"/>
        </w:rPr>
        <w:t xml:space="preserve">The benchmark landscape is uneven. TAU-bench and τ²-bench (Sierra, August 2024 and Q1 2025) are the best CX-agent proxy — Sierra-co-authored, read accordingly. SWE-Bench Verified (Princeton plus OpenAI, August 2024) is inflated by harness tricks; SWE-Bench Live is cleaner. GAIA (Meta, November 2023) is saturating at frontier ~70% against a human ~92%. BrowseComp (OpenAI, April 2025) sits at fifty-to-fifty-five percent for Deep Research products. OSWorld (HKU plus CMU, April 2024) and WebArena (CMU, July 2023) read as covered above. SWE-Lancer (OpenAI, February 2025) frames "would I pay for this" honestly — the frontier earns approximately $200K of a $1M envelope, under twenty-five percent. The honest read: no public benchmark predicts enterprise agent ROI; they predict the ceiling of the possible. Every serious enterprise builds internal evaluation sets from production traffic — typically two hundred to one thousand curated trajectories — and the vendors winning are the ones who make that curation cheap. OpenTelemetry GenAI semantic conventions stabilized in January 2026, so trace ingest is no longer a lock-in vector; lock-in is in evaluation logic and judge models (Braintrust YAML, Galileo metric definitions take a quarter to port). The OSS triad of Langfuse plus DeepEval plus Inspect AI survives a vendor switch. Consolidation by 2027 is partial: LangSmith stays because LangGraph stays; Braintrust wins the OpenAI-shop eval-as-CI lane; Langfuse wins EU and self-host; Arize keeps MLOps-mature; two-to-three of the tier-two list (Galileo, HumanLoop, Patronus, Comet, Helicone, AgentOps, Confident AI) get acquired by hyperscalers or runtime vendors by end of 2026; native model-provider tooling eats the bottom.</w:t>
      </w:r>
    </w:p>
    <w:p>
      <w:pPr>
        <w:spacing w:after="60" w:before="200"/>
      </w:pPr>
      <w:r>
        <w:rPr>
          <w:rFonts w:ascii="Consolas" w:cs="Consolas" w:eastAsia="Consolas" w:hAnsi="Consolas"/>
          <w:color w:val="A6371F"/>
          <w:spacing w:val="60"/>
          <w:sz w:val="16"/>
          <w:szCs w:val="16"/>
        </w:rPr>
        <w:t xml:space="preserve">STRATUM VIII · RUNTIME SAFETY AND GUARDRAILS</w:t>
      </w:r>
    </w:p>
    <w:p>
      <w:pPr>
        <w:spacing w:after="100" w:before="80" w:line="300"/>
        <w:jc w:val="both"/>
      </w:pPr>
      <w:r>
        <w:rPr>
          <w:rFonts w:ascii="Calibri" w:cs="Calibri" w:eastAsia="Calibri" w:hAnsi="Calibri"/>
          <w:color w:val="1A1410"/>
          <w:sz w:val="22"/>
          <w:szCs w:val="22"/>
        </w:rPr>
        <w:t xml:space="preserve">Runtime safety — the tool-boundary defenses, distinct from capability-level safety regimes covered in the Meta-strata — addresses three threats in May 2026. Direct prompt injection and jailbreak (user types "ignore your instructions") is largely solved at the frontier model layer with residual low risk. Indirect prompt injection via tool returns — the agent fetches a webpage, email, Jira ticket, Slack message, or PDF containing adversarial instructions — is unsolved. Anthropic’s constitutional-classifier research, Simon Willison’s continuing reporting, and the EchoLeak and "AgentSmith"-class proofs of concept through 2025–2026 all confirm: any agent that reads attacker-controlled data and has write or action tools is exploitable. Defense is layered (sandbox, action confirmation, output validation) and never complete. Multi-turn and multi-agent injection — compromised sub-agent influencing parent, tool returns shaping later-turn decisions — is emerging and mostly research-stage.</w:t>
      </w:r>
    </w:p>
    <w:p>
      <w:pPr>
        <w:spacing w:after="100" w:before="80" w:line="300"/>
        <w:jc w:val="both"/>
      </w:pPr>
      <w:r>
        <w:rPr>
          <w:rFonts w:ascii="Calibri" w:cs="Calibri" w:eastAsia="Calibri" w:hAnsi="Calibri"/>
          <w:color w:val="1A1410"/>
          <w:sz w:val="22"/>
          <w:szCs w:val="22"/>
        </w:rPr>
        <w:t xml:space="preserve">The vendor map splits into pure-play, hyperscaler bundle, and open source. Pure-play: Lakera (Swiss, Series A $20 million from Atomico in October 2023; Series B reported Q4 2025 around $50 million), Guard for real-time PI defense plus Red for red-team-as-a-service, the strongest brand with Atlassian, Dropbox, and Citi publicly named in Q3 2025. Protect AI (Series B $60 million from Evolution Equity in August 2024; acquired by Palo Alto Networks in announcement April 2025, closed Q3 2025 for approximately $700 million) — the first big consolidation signal in the category. Robust Intelligence (acquired by Cisco August 2024, now Cisco AI Defense). HiddenLayer (Series B $50 million from M12 in March 2024), model-supply-chain security earlier in lifecycle than Lakera. Cranium (KPMG spin-out 2023), more GRC than runtime. CalypsoAI (Series B $23 million from Paladin in September 2023), enterprise GenAI gateway with a federal and defense angle. Apex Security (seed from Sequoia in March 2024), an NYC competitor to Lakera, early but credible. Hyperscaler bundles — the real competitor: AWS Bedrock Guardrails with PII redaction, denied topics, and Automated Reasoning for hallucination (GA December 2024); Microsoft Purview AI Hub and Defender for AI (Ignite November 2024 with GA 2025), prompt DLP, AI inventory, posture; Google Vertex AI Safety Filters and Model Armor; Anthropic’s constitutional classifiers (baked into Claude, not a sold product). Open source: NVIDIA NeMo Guardrails (Apache 2.0, GTC 2023; 1.0 GA April 2026), Meta Llama Guard 3 and Llama Prompt Guard 2 (open weights), Promptfoo red-team (now under OpenAI), Garak (NVIDIA OSS vulnerability scanner).</w:t>
      </w:r>
    </w:p>
    <w:p>
      <w:pPr>
        <w:spacing w:after="100" w:before="80" w:line="300"/>
        <w:jc w:val="both"/>
      </w:pPr>
      <w:r>
        <w:rPr>
          <w:rFonts w:ascii="Calibri" w:cs="Calibri" w:eastAsia="Calibri" w:hAnsi="Calibri"/>
          <w:color w:val="1A1410"/>
          <w:sz w:val="22"/>
          <w:szCs w:val="22"/>
        </w:rPr>
        <w:t xml:space="preserve">The honest assessment on prompt-injection defense is that nobody is solving indirect injection. Vendors quoting "99.X% PI detection" report known-pattern rates against public attack corpora; adaptive-adversary numbers fall to sixty-to-eighty percent (Lakera and Anthropic both publicly admit this). The defense-in-depth stack that does work in production: treat tool returns as untrusted (tag bytes from outside user instructions, degrade or refuse high-privilege actions when planning context is tainted); action confirmation gates for any tool that writes, pays, sends, or escalates, or run them in a reversible sandbox; output validation and schema enforcement (constrain decoding, refuse free-form action when a tool call is expected); privilege separation across sub-agents (a web-reading sub-agent does not carry write tokens — the Claude Agent SDK’s sub-agents pattern is the cleanest expression); continuous red-team via Promptfoo, Garak, or Lakera Red on every major prompt or model change. A vendor selling item one only is selling vapor for production touching money; the procurement-grade answer is the whole stack. Runtime safety as a standalone category will be mostly absorbed into hyperscaler bundles within eighteen months — Protect AI to Palo Alto was the bell; AWS and Azure and GCP guardrails ship "good enough" for eighty percent of use cases at zero procurement friction. Lakera survives as the cross-cloud, model-neutral, audit-grade specialist; Apex, Calypso, Cranium likely roll up. The Llama Guard plus NeMo Guardrails plus Promptfoo OSS floor rises and eats the bottom of the paid market. One durable niche remains for a Lakera-shaped vendor that closes the procurement-readiness gap — signed reports, EU AI Act tie-out — and that niche is where Bet #1’s Playbook will partner or compete.</w:t>
      </w:r>
    </w:p>
    <w:p>
      <w:pPr>
        <w:pStyle w:val="Heading1"/>
        <w:pageBreakBefore/>
        <w:spacing w:after="240" w:before="480" w:line="320"/>
      </w:pPr>
      <w:r>
        <w:rPr>
          <w:rFonts w:ascii="Georgia" w:cs="Georgia" w:eastAsia="Georgia" w:hAnsi="Georgia"/>
          <w:b/>
          <w:bCs/>
          <w:color w:val="1A1410"/>
          <w:sz w:val="40"/>
          <w:szCs w:val="40"/>
        </w:rPr>
        <w:t xml:space="preserve">Part IV · The Productized Layer</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Two sub-strata productize everything below. Vertical agent products are the domain-specific applications where enterprise dollars actually land. End-user surfaces are the form factors through which the buyer, the user, and the regulator meet the agent. The productized layer is where Volume II’s Bet #2 (vertical-agent GTM role) and Bet #1 (procurement playbook) most directly apply.</w:t>
      </w:r>
    </w:p>
    <w:p>
      <w:pPr>
        <w:spacing w:after="60" w:before="200"/>
      </w:pPr>
      <w:r>
        <w:rPr>
          <w:rFonts w:ascii="Consolas" w:cs="Consolas" w:eastAsia="Consolas" w:hAnsi="Consolas"/>
          <w:color w:val="A6371F"/>
          <w:spacing w:val="60"/>
          <w:sz w:val="16"/>
          <w:szCs w:val="16"/>
        </w:rPr>
        <w:t xml:space="preserve">STRATUM IX · VERTICAL AGENT PRODUCTS</w:t>
      </w:r>
    </w:p>
    <w:p>
      <w:pPr>
        <w:spacing w:after="100" w:before="80" w:line="300"/>
        <w:jc w:val="both"/>
      </w:pPr>
      <w:r>
        <w:rPr>
          <w:rFonts w:ascii="Calibri" w:cs="Calibri" w:eastAsia="Calibri" w:hAnsi="Calibri"/>
          <w:color w:val="1A1410"/>
          <w:sz w:val="22"/>
          <w:szCs w:val="22"/>
        </w:rPr>
        <w:t xml:space="preserve">The vertical layer is organized by buying motion, not technology. Nine domains define the contour in May 2026.</w:t>
      </w:r>
    </w:p>
    <w:p>
      <w:pPr>
        <w:spacing w:after="100" w:before="80" w:line="300"/>
        <w:jc w:val="both"/>
      </w:pPr>
      <w:r>
        <w:rPr>
          <w:rFonts w:ascii="Calibri" w:cs="Calibri" w:eastAsia="Calibri" w:hAnsi="Calibri"/>
          <w:color w:val="1A1410"/>
          <w:sz w:val="22"/>
          <w:szCs w:val="22"/>
        </w:rPr>
        <w:t xml:space="preserve">Coding agents — Claude Code, Cursor (Anysphere, $500-million-plus run-rate, $9.9-billion valuation as of July 2025), Cognition Devin ($80–100M ARR in Q1 2026, having absorbed Codeium’s Windsurf residual in a $2.4-billion three-party deal in December 2025), Augment ($40 million ARR, $977-million valuation), Replit Agent ($150-million-plus ARR run-rate), Lovable (Stockholm, fastest EU SaaS curve at $80 million in twelve months, $1.8-billion valuation), Factory, Bolt and v0, Magic.dev, Reflection.AI, GitHub Copilot Workspace, the Windsurf residual — split multi-winner at the prosumer tier and winner-take-most at enterprise, with that winner being Claude Code inside Anthropic’s $200-billion parent. The honest read is that Cursor’s $500-million run-rate is real but the $9.9-billion valuation prices in a dominance Anthropic is contesting. Outcome-based pricing fails here because outcomes (commits, PRs, merged changes) resist clean attribution. Foundation-lab encroachment is the highest of any vertical: Claude Code, Codex, Gemini Code are the channel.</w:t>
      </w:r>
    </w:p>
    <w:p>
      <w:pPr>
        <w:spacing w:after="100" w:before="80" w:line="300"/>
        <w:jc w:val="both"/>
      </w:pPr>
      <w:r>
        <w:rPr>
          <w:rFonts w:ascii="Calibri" w:cs="Calibri" w:eastAsia="Calibri" w:hAnsi="Calibri"/>
          <w:color w:val="1A1410"/>
          <w:sz w:val="22"/>
          <w:szCs w:val="22"/>
        </w:rPr>
        <w:t xml:space="preserve">Customer experience and customer support — Sierra ($175-million-plus ARR at four-times year-over-year by Q1 2026 per Bret Taylor, $10-billion valuation rumored in March 2026 against a confirmed $4.5 billion from August 2025), Decagon ($80-million-plus, $4.5-billion valuation September 2025), Cresta, Ada, Intercom Fin, Parloa (Berlin, €30+ million ARR), PolyAI, Regal (NYC, $40-million ARR estimate), Forethought, Lorikeet — is the two-winner segment confirmed. Sierra’s NYC-plus-SF dual headquarters and Stripe-Ramp-Salesforce alumni pipeline make it the most aligned Bet #2 target. Cresta and Ada are stalling; full-automation has out-competed agent-assist. Pricing inflection is per-resolution standard at one-to-four dollars per resolved ticket — Bret Taylor’s outcome thesis is most validated here and likely only here. Encroachment is medium; the moat is multi-system orchestration and outcome SLAs.</w:t>
      </w:r>
    </w:p>
    <w:p>
      <w:pPr>
        <w:spacing w:after="100" w:before="80" w:line="300"/>
        <w:jc w:val="both"/>
      </w:pPr>
      <w:r>
        <w:rPr>
          <w:rFonts w:ascii="Calibri" w:cs="Calibri" w:eastAsia="Calibri" w:hAnsi="Calibri"/>
          <w:color w:val="1A1410"/>
          <w:sz w:val="22"/>
          <w:szCs w:val="22"/>
        </w:rPr>
        <w:t xml:space="preserve">Knowledge worker and enterprise search-agents — Glean ($300-million-plus ARR Q1 2026, $7.2-billion valuation September 2025), Hebbia (NYC HQ, $50-million-plus ARR Q1 2026, $700-million valuation July 2024 and overdue for a raise), Sana, Mem (struggling), Notion AI, Coda AI (merged into Grammarly December 2024), Microsoft Copilot 365 agents — is a single dominant winner with niche players. Glean is the category leader and the second-most-aligned Bet #2 target for Alex: NYC growing, sourcing Stripe, Snowflake, Databricks. Hebbia is the best NYC-native pure-play vertical agent for Alex’s weekly target list — financial-services-leaning but selling across legal, consulting, and private equity. Pricing is per-seat fifty-to-one-hundred-and-fifty dollars per user per month plus workflow credits; outcome pricing has not landed because knowledge-work outcomes are not measurable. Encroachment is the highest in this volume: ChatGPT Business plus connectors attacks Glean’s wedge directly, with governance and cross-system stitching as a twenty-four-month moat.</w:t>
      </w:r>
    </w:p>
    <w:p>
      <w:pPr>
        <w:spacing w:after="100" w:before="80" w:line="300"/>
        <w:jc w:val="both"/>
      </w:pPr>
      <w:r>
        <w:rPr>
          <w:rFonts w:ascii="Calibri" w:cs="Calibri" w:eastAsia="Calibri" w:hAnsi="Calibri"/>
          <w:color w:val="1A1410"/>
          <w:sz w:val="22"/>
          <w:szCs w:val="22"/>
        </w:rPr>
        <w:t xml:space="preserve">Legal — Harvey ($100-million-plus ARR Q1 2026, $5-billion valuation February 2026, SF plus NYC office), Hebbia cross-segment, Spellbook, EvenUp ($80 million in PI law), Eve, Robin AI, Ironclad agent products — is winner-take-most at the AmLaw 100 tier with Harvey owning it and selling to Cravath, A&amp;O Shearman, PwC Legal. NYC office real and growing — second-most-aligned Bet #2 target after Sierra. Below AmLaw the market fragments by use case. Pricing is per-seat $250–$500 per lawyer per month; outcome pricing rejected because no firm denominates in "matters won." Encroachment is low because privilege, bar liability, and contract-data RLHF fence the segment. This is the most defensible vertical in the volume and the most overlooked in Alex’s network.</w:t>
      </w:r>
    </w:p>
    <w:p>
      <w:pPr>
        <w:spacing w:after="100" w:before="80" w:line="300"/>
        <w:jc w:val="both"/>
      </w:pPr>
      <w:r>
        <w:rPr>
          <w:rFonts w:ascii="Calibri" w:cs="Calibri" w:eastAsia="Calibri" w:hAnsi="Calibri"/>
          <w:color w:val="1A1410"/>
          <w:sz w:val="22"/>
          <w:szCs w:val="22"/>
        </w:rPr>
        <w:t xml:space="preserve">Healthcare — Hippocratic AI (NYC HQ plus Palo Alto, $50-million-plus ARR Q1 2026, $2-billion valuation February 2026), Abridge (Pittsburgh plus SF, $120-million-plus ARR Q1 2026, the fastest healthcare-AI ramp on record at $2.75-billion valuation), Ambience, Suki (stalled), Nabla (Paris), DeepScribe (slowed), Iodine Software (mature CDI), Talkdesk Healthcare — is multi-winner with a functional split. Abridge owns hospital ambient scribing; Hippocratic owns voice-agent patient-facing workflows (post-discharge, pre-op intake) with NYC anchor strengthening and Munjal Shah’s nine-dollars-per-hour "RN equivalent" pricing line setting the per-call standard. Pricing is per-encounter for Abridge, per-call for Hippocratic, per-seat for Suki. Encroachment is very low because HIPAA, FDA SaMD classification, and EHR tax keep generalists out. The segment is under-discussed in NYC, over-discussed in the Bay — an arbitrage for Alex.</w:t>
      </w:r>
    </w:p>
    <w:p>
      <w:pPr>
        <w:spacing w:after="100" w:before="80" w:line="300"/>
        <w:jc w:val="both"/>
      </w:pPr>
      <w:r>
        <w:rPr>
          <w:rFonts w:ascii="Calibri" w:cs="Calibri" w:eastAsia="Calibri" w:hAnsi="Calibri"/>
          <w:color w:val="1A1410"/>
          <w:sz w:val="22"/>
          <w:szCs w:val="22"/>
        </w:rPr>
        <w:t xml:space="preserve">RevOps and sales — Clay (NYC HQ, $80-million-plus ARR Q1 2026, $1.5-billion valuation January 2026), 11x ($20-million flat with churn issues, the cautionary tale), Regie.ai (NYC), Artisan, AiSDR, Nooks, Common Room (Seattle), Default, Lavender, Apollo agent products — is the most over-funded under-performing segment in this volume. 11x’s flat ARR is the cautionary tale of synthetic SDRs hitting a quality ceiling. Clay is the exception with NYC HQ, hiring, and a moat in data orchestration and workflow rather than the agent itself. Pricing is per-seat dominant; per-meeting-booked has been tried and rejected on attribution grounds. Taylor’s thesis is least validated here because RevOps buyers do not trust outcome attribution from vendors selling the outcome. Encroachment is medium-high. Clay is the only NYC RevOps Bet #2 target.</w:t>
      </w:r>
    </w:p>
    <w:p>
      <w:pPr>
        <w:spacing w:after="100" w:before="80" w:line="300"/>
        <w:jc w:val="both"/>
      </w:pPr>
      <w:r>
        <w:rPr>
          <w:rFonts w:ascii="Calibri" w:cs="Calibri" w:eastAsia="Calibri" w:hAnsi="Calibri"/>
          <w:color w:val="1A1410"/>
          <w:sz w:val="22"/>
          <w:szCs w:val="22"/>
        </w:rPr>
        <w:t xml:space="preserve">Finance and financial services — Rogo (NYC HQ, $30-million-plus ARR Q1 2026, $400-million valuation January 2026), Hebbia cross-application, Brex AI, Ramp AI agents (NYC HQ, $13-billion valuation March 2025 with a $20-billion-plus raise rumored Q2 2026), FactSet AI, Bloomberg GPT-derived products — is the most NYC-native segment in the volume and Alex’s strongest non-CX bet. Rogo (banker copilot for IB and equity research with ex-Goldman and ex-JPM founders) hires enterprise GTM with banking fluency or not. Hebbia cross-applies. Ramp and Brex are not pure agent companies but their AI-product organizations hire aggressively for senior enterprise GTM and the equity is meaningful. Pricing is per-seat heavy at one-to-five thousand dollars per banker per month at Rogo; per-transaction emerging at Ramp and Brex. Encroachment is low at the regulated tier because FINRA, OCC, and broker-dealer rules fence generalists. Sleeper: Bloomberg may externalize internal agent products as a Terminal add-on in H2 2026.</w:t>
      </w:r>
    </w:p>
    <w:p>
      <w:pPr>
        <w:spacing w:after="100" w:before="80" w:line="300"/>
        <w:jc w:val="both"/>
      </w:pPr>
      <w:r>
        <w:rPr>
          <w:rFonts w:ascii="Calibri" w:cs="Calibri" w:eastAsia="Calibri" w:hAnsi="Calibri"/>
          <w:color w:val="1A1410"/>
          <w:sz w:val="22"/>
          <w:szCs w:val="22"/>
        </w:rPr>
        <w:t xml:space="preserve">Creative and media — ElevenLabs ($200-million-plus ARR Q1 2026, $3.3-billion valuation January 2025 with a $5-billion-plus raise rumored), Suno ($60-million-plus ARR with RIAA litigation as a structural risk), Sora-2-derived products embedded in OpenAI, Runway (NYC HQ Chelsea, $100-million-plus ARR Q1 2026), Pika, Higgsfield (fast prosumer), Krea — splits multi-winner with sharp lane separations. ElevenLabs owns voice as the only true platform in segment; Runway owns pro video and is the NYC-creative Bet #2 target. Pricing is per-seat plus usage credits, ElevenLabs API per-character. Outcome pricing absent. Encroachment is medium-high; ElevenLabs is most defensible via voice-cloning data and IVR integrations.</w:t>
      </w:r>
    </w:p>
    <w:p>
      <w:pPr>
        <w:spacing w:after="100" w:before="80" w:line="300"/>
        <w:jc w:val="both"/>
      </w:pPr>
      <w:r>
        <w:rPr>
          <w:rFonts w:ascii="Calibri" w:cs="Calibri" w:eastAsia="Calibri" w:hAnsi="Calibri"/>
          <w:color w:val="1A1410"/>
          <w:sz w:val="22"/>
          <w:szCs w:val="22"/>
        </w:rPr>
        <w:t xml:space="preserve">Sovereign and non-US verticals — Mistral Le Chat Enterprise (€600 million Series C at €11 billion in March 2026, the only credible non-US enterprise-agent platform with BNP, Orange, Schneider, and increasingly US F500 EU-subs on data residency), Falcon-derived sovereign in UAE via Humain ties, Sarvam AI and Krutrim in India, Manus AI and Coze on Feishu and the WeChat Mini-Programs ecosystem in China — are non-trivial and accelerating. EU AI Act enforcement in late 2026 reshapes the segment; teeth would make Mistral-equivalents in protected jurisdictions acquisition targets. Bet #1 (procurement playbook) intersects directly.</w:t>
      </w:r>
    </w:p>
    <w:p>
      <w:pPr>
        <w:spacing w:after="100" w:before="80" w:line="300"/>
        <w:jc w:val="both"/>
      </w:pPr>
      <w:r>
        <w:rPr>
          <w:rFonts w:ascii="Calibri" w:cs="Calibri" w:eastAsia="Calibri" w:hAnsi="Calibri"/>
          <w:color w:val="1A1410"/>
          <w:sz w:val="22"/>
          <w:szCs w:val="22"/>
        </w:rPr>
        <w:t xml:space="preserve">Cross-cutting calls: multiple-winner at Coding, CX, Healthcare, Creative, Finance; winner-take-most at Knowledge (Glean), Legal AmLaw 100 (Harvey), RevOps (Clay only). Over-funded relative to ARR: 11x, Magic.dev, Mem, Suno, Reflection.AI. Under-funded relative to ARR velocity: Augment, Hebbia, Rogo, Sana. Hiring exactly Alex’s profile right now in NYC: Sierra, Glean, Hippocratic, Hebbia, Harvey, Rogo, Clay, Ramp AI org, Runway, Decagon. The Bret Taylor "outcome-based pricing is how AI eats SaaS" thesis is segment-specific (CX confirmed, healthcare partial, failed elsewhere). Foundation-lab encroachment ranking: Knowledge &gt; Coding &gt; RevOps &gt; Creative &gt; CX &gt; Healthcare &gt; Legal &gt; Finance.</w:t>
      </w:r>
    </w:p>
    <w:p>
      <w:pPr>
        <w:spacing w:after="60" w:before="200"/>
      </w:pPr>
      <w:r>
        <w:rPr>
          <w:rFonts w:ascii="Consolas" w:cs="Consolas" w:eastAsia="Consolas" w:hAnsi="Consolas"/>
          <w:color w:val="A6371F"/>
          <w:spacing w:val="60"/>
          <w:sz w:val="16"/>
          <w:szCs w:val="16"/>
        </w:rPr>
        <w:t xml:space="preserve">STRATUM X · END-USER SURFACES AND FORM FACTOR</w:t>
      </w:r>
    </w:p>
    <w:p>
      <w:pPr>
        <w:spacing w:after="100" w:before="80" w:line="300"/>
        <w:jc w:val="both"/>
      </w:pPr>
      <w:r>
        <w:rPr>
          <w:rFonts w:ascii="Calibri" w:cs="Calibri" w:eastAsia="Calibri" w:hAnsi="Calibri"/>
          <w:color w:val="1A1410"/>
          <w:sz w:val="22"/>
          <w:szCs w:val="22"/>
        </w:rPr>
        <w:t xml:space="preserve">Capability is increasingly form-factor-indifferent; humans are not. Form factor governs four things at once: adoption velocity, buyer persona, threat model, and regulatory surface. As long as humans remain in the decision loop — true across virtually all 2026 enterprise deployments — the surface is the bottleneck. Form factor and model co-evolve: ChatGPT mobile made multimodal vision a product requirement; Claude Code made long-context tool-loop reliability a model-team OKR. Surfaces are inputs to model roadmaps, not outputs. Twelve form factors define the contour.</w:t>
      </w:r>
    </w:p>
    <w:p>
      <w:pPr>
        <w:spacing w:after="100" w:before="80" w:line="300"/>
        <w:jc w:val="both"/>
      </w:pPr>
      <w:r>
        <w:rPr>
          <w:rFonts w:ascii="Calibri" w:cs="Calibri" w:eastAsia="Calibri" w:hAnsi="Calibri"/>
          <w:color w:val="1A1410"/>
          <w:sz w:val="22"/>
          <w:szCs w:val="22"/>
        </w:rPr>
        <w:t xml:space="preserve">Chat on web and desktop — ChatGPT at approximately 800 million weekly active users per OpenAI Dev Day October 2025; Claude.ai at an estimated 30 million MAU Q1 2026; Gemini web; Perplexity at approximately 22 million MAU March 2026 — is product-stage and plateauing on novel use cases. Yet a Pew study in January 2026 found forty-one percent of US adults who tried ChatGPT in 2024 churned within six months, citing "did not know what to ask." Chat is product; good prompting is still custom. "Chat is solved" is an SF-bubble artifact.</w:t>
      </w:r>
    </w:p>
    <w:p>
      <w:pPr>
        <w:spacing w:after="100" w:before="80" w:line="300"/>
        <w:jc w:val="both"/>
      </w:pPr>
      <w:r>
        <w:rPr>
          <w:rFonts w:ascii="Calibri" w:cs="Calibri" w:eastAsia="Calibri" w:hAnsi="Calibri"/>
          <w:color w:val="1A1410"/>
          <w:sz w:val="22"/>
          <w:szCs w:val="22"/>
        </w:rPr>
        <w:t xml:space="preserve">Chat on mobile and on-device — ChatGPT iOS and Android at approximately 250 million MAU Q4 2025; Claude mobile; Gemini in Android (default Assistant replacement completed March 2026); Apple Intelligence with ChatGPT and Gemini hand-off (iOS 18.4 March 2026); Samsung Galaxy AI — is the user-acquisition wedge of the era. Apple Intelligence ships with OpenAI in slot and added Gemini in March 2026; Anthropic talks were confirmed by Bloomberg in April 2026 but no ship. Claude mobile is feature-thin: no advanced voice, no live video, no Apple Intelligence slot. Real form-factor disadvantage independent of model quality.</w:t>
      </w:r>
    </w:p>
    <w:p>
      <w:pPr>
        <w:spacing w:after="100" w:before="80" w:line="300"/>
        <w:jc w:val="both"/>
      </w:pPr>
      <w:r>
        <w:rPr>
          <w:rFonts w:ascii="Calibri" w:cs="Calibri" w:eastAsia="Calibri" w:hAnsi="Calibri"/>
          <w:color w:val="1A1410"/>
          <w:sz w:val="22"/>
          <w:szCs w:val="22"/>
        </w:rPr>
        <w:t xml:space="preserve">CLI and terminal — Claude Code (GA February 2025, approximately $500-million ARR run-rate per Anthropic March 2026); OpenAI Codex CLI (April 2025); Aider (open source, large mindshare); Plandex; Warp Agent Mode; Cursor CLI (April 2026) — is the highest-throughput, lowest-friction surface for technical users. A senior engineer in Claude Code does in ninety minutes what took a day in May 2024. The bottom-up developer buyer plus a $100–$200-per-month tier moved enterprise IT from "skeptical" to "PO written" in one quarter. Product, racing to commodity for easy edits; long-tail multi-repo work still custom.</w:t>
      </w:r>
    </w:p>
    <w:p>
      <w:pPr>
        <w:spacing w:after="100" w:before="80" w:line="300"/>
        <w:jc w:val="both"/>
      </w:pPr>
      <w:r>
        <w:rPr>
          <w:rFonts w:ascii="Calibri" w:cs="Calibri" w:eastAsia="Calibri" w:hAnsi="Calibri"/>
          <w:color w:val="1A1410"/>
          <w:sz w:val="22"/>
          <w:szCs w:val="22"/>
        </w:rPr>
        <w:t xml:space="preserve">In-IDE inline — Cursor (Anysphere, approximately $500-million ARR March 2026, $9.9-billion valuation); Windsurf (Cognition acquired Codeium at approximately $3 billion in March 2026 after the OpenAI deal collapsed July 2025); GitHub Copilot (more than $1.5 billion ARR per Microsoft FY25 earnings, approximately 22 million paid seats March 2026); Cline (OSS); Continue; Augment Code — is the dominant form factor for software work. It does not make the user smarter; it removes the IDE-to-chat context-switch tax. Rare buyer mix of developer-led bottom-up and CIO top-down. Threat model largely solved via enterprise tenancy (Copilot Enterprise, Cursor for Teams).</w:t>
      </w:r>
    </w:p>
    <w:p>
      <w:pPr>
        <w:spacing w:after="100" w:before="80" w:line="300"/>
        <w:jc w:val="both"/>
      </w:pPr>
      <w:r>
        <w:rPr>
          <w:rFonts w:ascii="Calibri" w:cs="Calibri" w:eastAsia="Calibri" w:hAnsi="Calibri"/>
          <w:color w:val="1A1410"/>
          <w:sz w:val="22"/>
          <w:szCs w:val="22"/>
        </w:rPr>
        <w:t xml:space="preserve">Agentic triggers via webhook, cron, and event — n8n agent nodes (€55 million raise March 2025, more than 300,000 self-hosted instances); Zapier AI Actions (more than 2.2 million paid users, Agents GA April 2025); Make.com AI modules; Vercel Cron plus AI Gateway; Temporal-orchestrated flows; Pipedream — is the "agent runs while you sleep" pattern, no synchronous human approval unless engineered. EU AI Act Article 14 (human oversight) bites here: a cron-triggered Claude auto-replying to support tickets is, under one Article 14 reading, a "high-risk AI system" without compliant oversight. Test cases by Q4 2026. Highest velocity for SMB, highest risk for regulated enterprise.</w:t>
      </w:r>
    </w:p>
    <w:p>
      <w:pPr>
        <w:spacing w:after="100" w:before="80" w:line="300"/>
        <w:jc w:val="both"/>
      </w:pPr>
      <w:r>
        <w:rPr>
          <w:rFonts w:ascii="Calibri" w:cs="Calibri" w:eastAsia="Calibri" w:hAnsi="Calibri"/>
          <w:color w:val="1A1410"/>
          <w:sz w:val="22"/>
          <w:szCs w:val="22"/>
        </w:rPr>
        <w:t xml:space="preserve">In-browser via extension, sidebar, and overlay — Claude for Chrome (preview December 2025, wider rollout April 2026, paying-tier only); ChatGPT browser extension; Perplexity Comet (GA October 2025, 5 million downloads by March 2026); Arc Browser AI (now under The Browser Company plus Atlassian as of April 2026); Sigma AI; Brave Leo — partially validates Aravind Srinivas’s "browser is the new OS" thesis: the browser is the only universal cross-SaaS surface, and a sidebar agent sees workflow context without forty OAuth integrations. The threat model is severe: extensions can read passwords, session cookies, every form field. Chrome Web Store added an "AI agent" disclosure label in August 2025. Regulated verticals — financial services, healthcare, legal — block by default. Comet’s growth is consumer, not enterprise.</w:t>
      </w:r>
    </w:p>
    <w:p>
      <w:pPr>
        <w:spacing w:after="100" w:before="80" w:line="300"/>
        <w:jc w:val="both"/>
      </w:pPr>
      <w:r>
        <w:rPr>
          <w:rFonts w:ascii="Calibri" w:cs="Calibri" w:eastAsia="Calibri" w:hAnsi="Calibri"/>
          <w:color w:val="1A1410"/>
          <w:sz w:val="22"/>
          <w:szCs w:val="22"/>
        </w:rPr>
        <w:t xml:space="preserve">Embedded in incumbent SaaS — Microsoft 365 Copilot (more than $5 billion ARR per Microsoft Q3 FY26 commentary, approximately 30 million paid seats); Google Workspace Gemini (bundled into Workspace Business+ from January 2025); Notion AI; Slack AI ($10 per seat add-on, more than 1 million paid seats March 2026); Linear AI; Salesforce Agentforce (more than $300 million ARR per Benioff Q4 FY25, approximately 10,000 customers March 2026); HubSpot Breeze; Zendesk AI Agents — is the CIO buyer, existing-seat renewal. Microsoft will win more agentic enterprise revenue than any pure-play in 2026. Copilot 365 still runs GPT-4/5-class under the hood; the surface owns the workflow, not the model. Claude is not embedded as default in any top-10 enterprise SaaS. No model-quality story closes that distribution gap.</w:t>
      </w:r>
    </w:p>
    <w:p>
      <w:pPr>
        <w:spacing w:after="100" w:before="80" w:line="300"/>
        <w:jc w:val="both"/>
      </w:pPr>
      <w:r>
        <w:rPr>
          <w:rFonts w:ascii="Calibri" w:cs="Calibri" w:eastAsia="Calibri" w:hAnsi="Calibri"/>
          <w:color w:val="1A1410"/>
          <w:sz w:val="22"/>
          <w:szCs w:val="22"/>
        </w:rPr>
        <w:t xml:space="preserve">Remote messaging on Slack, Teams, Discord, WhatsApp, SMS, email — Glean (Slack-first, more than $300 million ARR Q1 2026, $7.2 billion valuation); Slack AI; Microsoft Copilot in Teams; Notion AI in Slack; ClickUp Brain; Sierra (channel-agnostic); HoneyHive; WhatsApp-native agents (Meta opened the WhatsApp Business API to agentic vendors January 2026); Ramp’s SMS card-control agent (`ramp.com/ai`, February 2026) — is headless, asynchronous, and conversational. A Slack-deployed agent inherits the Slack DLP and audit log, which is exactly why Glean’s Slack-first strategy is a procurement wedge: it lands inside a system the CISO already approved. WhatsApp is the single most under-weighted surface in US discourse.</w:t>
      </w:r>
    </w:p>
    <w:p>
      <w:pPr>
        <w:spacing w:after="100" w:before="80" w:line="300"/>
        <w:jc w:val="both"/>
      </w:pPr>
      <w:r>
        <w:rPr>
          <w:rFonts w:ascii="Calibri" w:cs="Calibri" w:eastAsia="Calibri" w:hAnsi="Calibri"/>
          <w:color w:val="1A1410"/>
          <w:sz w:val="22"/>
          <w:szCs w:val="22"/>
        </w:rPr>
        <w:t xml:space="preserve">Voice inbound (user-to-agent) — ChatGPT Advanced Voice (September 2024 to standard May 2025); AirPods Pro 2 with Apple Intelligence voice mode (iOS 18.4 March 2026); Siri rebuilt on LLM (delayed, GA promised September 2026 per WWDC 2025); Gemini Live; Vapi for consumer-voice agents; Wispr Flow ($30 million Series A February 2026) — is real for low-tech-fluency users, commute, hands-free, accessibility. Claude has no first-party voice product in May 2026. Wrappers exist; a native Anthropic surface does not. Real gap.</w:t>
      </w:r>
    </w:p>
    <w:p>
      <w:pPr>
        <w:spacing w:after="100" w:before="80" w:line="300"/>
        <w:jc w:val="both"/>
      </w:pPr>
      <w:r>
        <w:rPr>
          <w:rFonts w:ascii="Calibri" w:cs="Calibri" w:eastAsia="Calibri" w:hAnsi="Calibri"/>
          <w:color w:val="1A1410"/>
          <w:sz w:val="22"/>
          <w:szCs w:val="22"/>
        </w:rPr>
        <w:t xml:space="preserve">Wearable, AR, and ambient — Meta Ray-Ban (Wayfarer plus Display, Display variant September 2025, more than 2 million units sold Q1 2026 per Meta); Apple Vision Pro 2 (rumored Q4 2026); Humane AI Pin (shipped April 2024, HP acquired assets February 2025, line dead); Rabbit r1 (effectively dead by Q3 2025); Limitless pendant (~50K units estimate); Friend.com (DOA); Plaud Note (more than 1 million units sold per company January 2026); Brilliant Labs Frame — is bifurcating. Smart glasses real, AI-only pendants mostly dead. Plaud is the dark horse: recorder plus summarizer is "ambient" without "always-on listening" creep. Genesis for AR-with-AI; custom for ambient recording.</w:t>
      </w:r>
    </w:p>
    <w:p>
      <w:pPr>
        <w:spacing w:after="100" w:before="80" w:line="300"/>
        <w:jc w:val="both"/>
      </w:pPr>
      <w:r>
        <w:rPr>
          <w:rFonts w:ascii="Calibri" w:cs="Calibri" w:eastAsia="Calibri" w:hAnsi="Calibri"/>
          <w:color w:val="1A1410"/>
          <w:sz w:val="22"/>
          <w:szCs w:val="22"/>
        </w:rPr>
        <w:t xml:space="preserve">Computer use as form factor (UX, not action) — Anthropic Computer Use, ChatGPT Agent, Google Mariner — Stratum VI covers reliability; Stratum X is what it feels like to watch. As of May 2026, every shipped surface still requires the user to watch for high-stakes approvals; average task runs three-to-eight minutes; users context-switch and miss approval prompts; "agent in your machine" creep is real and unresolved. No regulated enterprise (financial services, healthcare, government) has greenlit unattended computer use in production. Form-factor problem outranks capability here. Winning UX pattern: agent runs in a named ephemeral VM the user can re-enter and audit, not on the primary machine. ChatGPT Agent’s hosted-browser approach is closer to right than Claude for Chrome’s local-extension approach for high-trust work.</w:t>
      </w:r>
    </w:p>
    <w:p>
      <w:pPr>
        <w:spacing w:after="100" w:before="80" w:line="300"/>
        <w:jc w:val="both"/>
      </w:pPr>
      <w:r>
        <w:rPr>
          <w:rFonts w:ascii="Calibri" w:cs="Calibri" w:eastAsia="Calibri" w:hAnsi="Calibri"/>
          <w:color w:val="1A1410"/>
          <w:sz w:val="22"/>
          <w:szCs w:val="22"/>
        </w:rPr>
        <w:t xml:space="preserve">API and SDK (no UI) — Anthropic API, OpenAI API, Gemini API, Vercel AI Gateway, AWS Bedrock, Cohere, AI21 — has no form factor; another product consumes the model. Two-thirds of OpenAI revenue per Reuters October 2025 and the majority of Anthropic’s per The Information March 2026 come through the API. The implication: every first-party surface above is also a competitor to the API tier — every successful first-party UI is one fewer integration partner. Anthropic’s "API-led, Claude.ai as reference UX" posture is more honest about this than OpenAI’s UI-first flywheel; OpenAI’s Apps SDK (December 2025) is a forced concession to the platform shift.</w:t>
      </w:r>
    </w:p>
    <w:p>
      <w:pPr>
        <w:spacing w:after="100" w:before="80" w:line="300"/>
        <w:jc w:val="both"/>
      </w:pPr>
      <w:r>
        <w:rPr>
          <w:rFonts w:ascii="Calibri" w:cs="Calibri" w:eastAsia="Calibri" w:hAnsi="Calibri"/>
          <w:color w:val="1A1410"/>
          <w:sz w:val="22"/>
          <w:szCs w:val="22"/>
        </w:rPr>
        <w:t xml:space="preserve">Non-US weight is the under-priced point. WhatsApp at more than 2.9 billion monthly actives (Meta Q1 2026), India alone more than 500 million, Brazil more than 120 million, plus the WhatsApp Business API opening to agentic vendors in January 2026 means a Mumbai SMB owner’s first agent is a WhatsApp agent — not ChatGPT, not Copilot, not Claude. Regional incumbents: Yellow.ai, Haptik (Jio), Gupshup. Chinese surface evolution is parallel-track: Manus, Coze on Feishu (ByteDance), WeChat Mini-Programs ramping agentic capability Q2 2026. The US-coastal sequence "chat web → IDE inline → computer use" is a US-coastal narrative. The actual global path includes WhatsApp-native, Feishu and WeChat-native, and voice-first surfaces in Hindi, Portuguese, and Bahasa where keyboard prompting is the barrier.</w:t>
      </w:r>
    </w:p>
    <w:p>
      <w:pPr>
        <w:pStyle w:val="Heading1"/>
        <w:pageBreakBefore/>
        <w:spacing w:after="240" w:before="480" w:line="320"/>
      </w:pPr>
      <w:r>
        <w:rPr>
          <w:rFonts w:ascii="Georgia" w:cs="Georgia" w:eastAsia="Georgia" w:hAnsi="Georgia"/>
          <w:b/>
          <w:bCs/>
          <w:color w:val="1A1410"/>
          <w:sz w:val="40"/>
          <w:szCs w:val="40"/>
        </w:rPr>
        <w:t xml:space="preserve">Part V · The Meta-Strata</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Four meta-strata wrap the agent layer the way they wrap the parent stack: capability-level safety regimes, regulation, economics, and geopolitics. The content is agent-specific rather than the field-wide treatment from Volume I.</w:t>
      </w:r>
    </w:p>
    <w:p>
      <w:pPr>
        <w:spacing w:after="60" w:before="200"/>
      </w:pPr>
      <w:r>
        <w:rPr>
          <w:rFonts w:ascii="Consolas" w:cs="Consolas" w:eastAsia="Consolas" w:hAnsi="Consolas"/>
          <w:color w:val="A6371F"/>
          <w:spacing w:val="60"/>
          <w:sz w:val="16"/>
          <w:szCs w:val="16"/>
        </w:rPr>
        <w:t xml:space="preserve">META-A · CAPABILITY-LEVEL SAFETY REGIMES</w:t>
      </w:r>
    </w:p>
    <w:p>
      <w:pPr>
        <w:spacing w:after="100" w:before="80" w:line="300"/>
        <w:jc w:val="both"/>
      </w:pPr>
      <w:r>
        <w:rPr>
          <w:rFonts w:ascii="Calibri" w:cs="Calibri" w:eastAsia="Calibri" w:hAnsi="Calibri"/>
          <w:color w:val="1A1410"/>
          <w:sz w:val="22"/>
          <w:szCs w:val="22"/>
        </w:rPr>
        <w:t xml:space="preserve">Distinct from Stratum VIII’s runtime defenses, capability-level safety is the lab-side regime that determines whether an agent capability tier is released, restricted, or held back. Three frameworks define the field. Anthropic’s Responsible Scaling Policy and the AI Safety Level (ASL) framework — ASL-3 invoked for Claude Opus 4 in May 2025 with the November 2024 RSP update binding through deployment — ties capability evaluations to deployment authorizations and creates an institutional commitment that survives ARR pressure. OpenAI’s Preparedness Framework, with its tracked categories of cybersecurity, CBRN, persuasion, and model autonomy, contains an adjustment clause that permits OpenAI to relax safeguards "if competitors deploy" — the clause that Volume II flagged as Risk #3 and that remains an open question for 2026. Google’s Frontier Safety Framework arrived in May 2024 and continues to mature; DeepMind’s capability evaluations focus on autonomous replication, cybersecurity, and persuasion-and-deception. Pre-deployment evaluations are now run, with varying public disclosure, by the UK AI Safety Institute (founded November 2023), the US AI Safety Institute (now AISI, restructured in early 2026 under Trump-era reorganization), and METR (research org, with the time-horizon doubling result as the most-cited agent capability finding). The European AI Office is the EU’s structural counterpart and gains regulatory teeth under the AI Act. Capability-level safety is the bottleneck on the highest-autonomy agent products — long-horizon coding agents, computer-use systems, and any system with broad action authority. The two questions the field is betting on: when does ASL-4 capability emerge (Anthropic’s description points at 2026–2027), and what happens when one lab’s framework triggers a deployment freeze while another’s does not.</w:t>
      </w:r>
    </w:p>
    <w:p>
      <w:pPr>
        <w:spacing w:after="60" w:before="200"/>
      </w:pPr>
      <w:r>
        <w:rPr>
          <w:rFonts w:ascii="Consolas" w:cs="Consolas" w:eastAsia="Consolas" w:hAnsi="Consolas"/>
          <w:color w:val="A6371F"/>
          <w:spacing w:val="60"/>
          <w:sz w:val="16"/>
          <w:szCs w:val="16"/>
        </w:rPr>
        <w:t xml:space="preserve">META-B · REGULATION</w:t>
      </w:r>
    </w:p>
    <w:p>
      <w:pPr>
        <w:spacing w:after="100" w:before="80" w:line="300"/>
        <w:jc w:val="both"/>
      </w:pPr>
      <w:r>
        <w:rPr>
          <w:rFonts w:ascii="Calibri" w:cs="Calibri" w:eastAsia="Calibri" w:hAnsi="Calibri"/>
          <w:color w:val="1A1410"/>
          <w:sz w:val="22"/>
          <w:szCs w:val="22"/>
        </w:rPr>
        <w:t xml:space="preserve">The EU AI Act’s GPAI obligations under Article 55 took effect August 2, 2025; first conformity-assessment guidance drafts circulated February 2026; first enforcement guidance on Article 14 human oversight published April 2026. The Article 14 lever is the most actionable near-term: unattended agentic systems (cron, webhook, event-driven) in regulated sectors face direct regulatory exposure, and the agentic-trigger form factor (Stratum X) is the lightning rod. California SB 53 (the Transparency in Frontier Artificial Intelligence Act) went live January 1, 2026 with frontier-model disclosure requirements. New York S5641 and adjacent state-level proposals advance through 2026. Federal preemption volatility — the Trump December 2025 executive order, court rulings ongoing — re-prices compliance practice every quarter; the Volume II Risk #4 frame holds. Sectoral overlays bite hardest: FINRA and broker-dealer rules for finance agents; HIPAA and FDA Software-as-a-Medical-Device classification for health agents; TCPA and state consent for voice; Bartz v. Anthropic settlement ($1.5 billion training-data provenance) and NYT v. OpenAI dynamic re-prices vendor terms across the board. The Volume II Crux #4 — EU AI Act teeth or paper tiger? — is still open; the answer-event is the first GPAI fine, expected late 2026. Either way, agent-specific procurement becomes the wedge regardless of which way the crux resolves: with teeth, it becomes a $10-billion-plus advisory category; without teeth, it remains niche but defensible.</w:t>
      </w:r>
    </w:p>
    <w:p>
      <w:pPr>
        <w:spacing w:after="60" w:before="200"/>
      </w:pPr>
      <w:r>
        <w:rPr>
          <w:rFonts w:ascii="Consolas" w:cs="Consolas" w:eastAsia="Consolas" w:hAnsi="Consolas"/>
          <w:color w:val="A6371F"/>
          <w:spacing w:val="60"/>
          <w:sz w:val="16"/>
          <w:szCs w:val="16"/>
        </w:rPr>
        <w:t xml:space="preserve">META-C · ECONOMICS</w:t>
      </w:r>
    </w:p>
    <w:p>
      <w:pPr>
        <w:spacing w:after="100" w:before="80" w:line="300"/>
        <w:jc w:val="both"/>
      </w:pPr>
      <w:r>
        <w:rPr>
          <w:rFonts w:ascii="Calibri" w:cs="Calibri" w:eastAsia="Calibri" w:hAnsi="Calibri"/>
          <w:color w:val="1A1410"/>
          <w:sz w:val="22"/>
          <w:szCs w:val="22"/>
        </w:rPr>
        <w:t xml:space="preserve">Agent economics invert token economics. Per-token pricing fell roughly four-to-ten times for frontier APIs from Q1 2024 through Q1 2026; per-task agent economics did not fall the same way because trajectory length grew. A typical CX deflection trajectory in 2024 consumed two-to-five thousand tokens; the same trajectory in 2026 consumes four-to-twenty-five thousand because the model thinks longer and verifies more. A coding-agent edit consumes thirty-to-two-hundred-fifty thousand. A deep-research trajectory consumes half-a-million to five million. The planner-executor split routes seventy-to-eighty-five percent of those tokens through cheap executors (Sonnet 4.5, GPT-5-mini, Gemini Flash) and reserves the expensive planner (Opus, GPT-5 thinking, Deep Think) for the calls that change the outcome. Vercel AI Gateway, AWS Bedrock, Martian, and OpenRouter expose this routing as a first-class product. Outcome-based pricing — per-resolved-ticket in CX, per-encounter in healthcare scribing, per-call in voice agents — is the new commercial form-factor; per-seat survives where outcomes resist attribution (coding, knowledge work, finance). The Bret Taylor "outcome-based pricing is how AI eats SaaS" framing is confirmed in CX, partial in healthcare, and not yet validated elsewhere. The Volume II Bet #4 — Inference Cost Optimization / FinOps for Tokens — finds its largest cost surface inside agent workloads and remains a twelve-to-eighteen-month window before hyperscaler bundling (Bedrock auto-optimization, Azure routing) absorbs the layer.</w:t>
      </w:r>
    </w:p>
    <w:p>
      <w:pPr>
        <w:spacing w:after="60" w:before="200"/>
      </w:pPr>
      <w:r>
        <w:rPr>
          <w:rFonts w:ascii="Consolas" w:cs="Consolas" w:eastAsia="Consolas" w:hAnsi="Consolas"/>
          <w:color w:val="A6371F"/>
          <w:spacing w:val="60"/>
          <w:sz w:val="16"/>
          <w:szCs w:val="16"/>
        </w:rPr>
        <w:t xml:space="preserve">META-D · GEOPOLITICS</w:t>
      </w:r>
    </w:p>
    <w:p>
      <w:pPr>
        <w:spacing w:after="100" w:before="80" w:line="300"/>
        <w:jc w:val="both"/>
      </w:pPr>
      <w:r>
        <w:rPr>
          <w:rFonts w:ascii="Calibri" w:cs="Calibri" w:eastAsia="Calibri" w:hAnsi="Calibri"/>
          <w:color w:val="1A1410"/>
          <w:sz w:val="22"/>
          <w:szCs w:val="22"/>
        </w:rPr>
        <w:t xml:space="preserve">The agent-specific geopolitical layer differs from the broader-stack treatment in Volume I. Sovereign agents are the new operational form. Mistral Le Chat Enterprise (€600 million Series C at €11 billion in March 2026) is the only credible non-US enterprise-agent platform, selling against US incumbents on EU data residency and AI Act-aligned posture. UAE’s G42 and the Humain (KSA) arrangement extend a sovereign AI thesis into the agent layer with Falcon-derived deployments and AMD MI300/350 hardware commits. India’s Sarvam ($41 million at $300 million December 2024, raise rumored Q2 2026) and Krutrim (Ola, $50 million at $1 billion January 2024) advance sub-scale agent platforms with political-funding tailwinds. China’s Manus AI (Butterfly Effect, viral March 2025, $500 million valuation rumored Q1 2026) and Coze (ByteDance) are non-investable from a US-LP perspective but real. The export-controls dimension extends from chips (the existing regime) to capability: US Commerce authorizations for advanced-chip exports to G42 and Humain in November 2025 set a precedent; restrictions on agent capabilities (full computer use, autonomous decision-making) are a 2026–2027 regulatory front. The jurisdictional siting of agent workloads — where the trajectories run, where the memory persists, where the action logs accrue — becomes a procurement lever for EU and Asian buyers comparable to where data resides for SaaS today. Sovereign-agent counter-positioning is one of the durable strategic positions in the volume.</w:t>
      </w:r>
    </w:p>
    <w:p>
      <w:pPr>
        <w:pStyle w:val="Heading1"/>
        <w:pageBreakBefore/>
        <w:spacing w:after="240" w:before="480" w:line="320"/>
      </w:pPr>
      <w:r>
        <w:rPr>
          <w:rFonts w:ascii="Georgia" w:cs="Georgia" w:eastAsia="Georgia" w:hAnsi="Georgia"/>
          <w:b/>
          <w:bCs/>
          <w:color w:val="1A1410"/>
          <w:sz w:val="40"/>
          <w:szCs w:val="40"/>
        </w:rPr>
        <w:t xml:space="preserve">Closing · How to Read the Agent Stack</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Three integrative observations close the descriptive layer and hand off to the Decisions Playbook (Volume III addendum). First, the agent layer is not one stack but two coupled stacks: an inner cognition loop (model, runtime, MCP, memory, planning) that determines what the agent CAN do, and an outer productization loop (action surface, eval, runtime safety, vertical product, end-user surface) that determines whether the agent gets deployed, used, and trusted. The inner stack is dominated by model labs and their adjacent infrastructure; the outer stack is dominated by vertical applications and the operational tooling around them. The inner stack carries higher capability optionality; the outer stack carries higher near-term enterprise revenue. Most of the high-conviction bets in Volume II — and the refreshed bets that Volume III’s addendum will articulate — sit on the outer stack for someone with a GTM operator profile.</w:t>
      </w:r>
    </w:p>
    <w:p>
      <w:pPr>
        <w:spacing w:after="100" w:before="80" w:line="300"/>
        <w:jc w:val="both"/>
      </w:pPr>
      <w:r>
        <w:rPr>
          <w:rFonts w:ascii="Calibri" w:cs="Calibri" w:eastAsia="Calibri" w:hAnsi="Calibri"/>
          <w:color w:val="1A1410"/>
          <w:sz w:val="22"/>
          <w:szCs w:val="22"/>
        </w:rPr>
        <w:t xml:space="preserve">Second, the binding constraint shifts as you move up the stack. At the inner stack, capability is the binding constraint: error compounding, reasoning regression, context degradation past 32K, sub-99% per-step reliability on computer use. At the outer stack, capability is largely sufficient and the binding constraint is form factor, procurement, and trust. The implication for someone with twelve years of buyer-side procurement scar tissue and growing AI-builder fluency is uncommon-leverage at the seam: capability is enough; deployment is not. The Volume II Bet #1 (Enterprise AI Procurement Operating Standard) sits exactly on this seam; this volume sharpens its agent-specific lens.</w:t>
      </w:r>
    </w:p>
    <w:p>
      <w:pPr>
        <w:spacing w:after="100" w:before="80" w:line="300"/>
        <w:jc w:val="both"/>
      </w:pPr>
      <w:r>
        <w:rPr>
          <w:rFonts w:ascii="Calibri" w:cs="Calibri" w:eastAsia="Calibri" w:hAnsi="Calibri"/>
          <w:color w:val="1A1410"/>
          <w:sz w:val="22"/>
          <w:szCs w:val="22"/>
        </w:rPr>
        <w:t xml:space="preserve">Third, the timing window for high-conviction agent-layer flag-planting is tighter than the parent stack’s. Anthropic’s Claude Agent SDK is approximately fourteen months old at this writing; OpenAI Agents SDK shipped fifteen months ago; Google ADK fourteen months ago; MCP went from Anthropic-only to Linux Foundation governance in fourteen months. The number of named, well-funded computer-use agent enterprise companies in 2024 was effectively zero; in May 2026 it is approximately nine. The cycle time inside the agent layer is materially shorter than the cycle time at the full-stack level, and the windows for planting flags are correspondingly shorter — twelve to eighteen months for most positions, six to twelve for the highest-velocity ones (Bets #2 and #4). The Decisions Playbook layered on top of this report ranks those positions, names their falsifiability, and assigns 6/12/18-month sequencing.</w:t>
      </w:r>
    </w:p>
    <w:p>
      <w:pPr>
        <w:pStyle w:val="Heading1"/>
        <w:pageBreakBefore/>
        <w:spacing w:after="240" w:before="480" w:line="320"/>
      </w:pPr>
      <w:r>
        <w:rPr>
          <w:rFonts w:ascii="Georgia" w:cs="Georgia" w:eastAsia="Georgia" w:hAnsi="Georgia"/>
          <w:b/>
          <w:bCs/>
          <w:color w:val="1A1410"/>
          <w:sz w:val="40"/>
          <w:szCs w:val="40"/>
        </w:rPr>
        <w:t xml:space="preserve">Sources</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Primary research, May 2026. Specific citations are inline; sources cluster as follows. Vendor disclosures (Anthropic, OpenAI, Google, Microsoft, Meta, Mistral, Sierra, Decagon, Glean, Harvey, Hippocratic, Cursor, Lovable, Cognition, Augment, ElevenLabs, Runway, Clay, Rogo, Hebbia, Ramp, Mem0, Letta, Zep, Lakera, Protect AI, Braintrust, Langfuse, Arize, Galileo, Browserbase, E2B, Modal, Vapi, LiveKit). Benchmark releases and updates (TAU-bench, SWE-Bench Verified and Live, OSWorld, WebArena, ScreenSpot-Pro, AndroidWorld, GAIA, BrowseComp, SWE-Lancer, METR Task Time-Horizon). Trade press and operator newsletters (The Information, Reuters, Bloomberg, TechCrunch, SemiAnalysis, Latent Space, Stratechery, No Priors, Air Street State of AI). Regulatory and standards artifacts (EU AI Act with Article 14 and Article 55 implementing guidance, CA SB 53, Anthropic Responsible Scaling Policy and ASL framework, OpenAI Preparedness Framework, Google Frontier Safety Framework, UK AISI evaluations, OpenTelemetry GenAI semantic conventions, Linux Foundation Agentic AI Foundation MCP registry statistics). Research papers (ReAct, Plan-and-Solve, Tree-of-Thoughts, Reflexion, MemGPT, GraphRAG, HippoRAG, Process Reward Models / Lightman et al., DeepSeek R1, Promptfoo, Garak). Cross-reference Volume I and Volume II of SUBSTRATE for the upstream stratigraphy and the framework analyses; the OCQ Living Tracker (`OCQ_TRACKER.md`) maintains rolling talent and capital signals.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E6356"/>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E6356"/>
        <w:spacing w:val="80"/>
        <w:sz w:val="14"/>
        <w:szCs w:val="14"/>
      </w:rPr>
      <w:t xml:space="preserve">SUBSTRATE · VOLUME III · THE AGENT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 Layer — A Substrate of Its Own (Volume III)</dc:title>
  <dc:creator>A. Yedi</dc:creator>
  <dc:description>Agent-layer deep-dive companion to the SUBSTRATE atlas.</dc:description>
  <cp:lastModifiedBy>Un-named</cp:lastModifiedBy>
  <cp:revision>1</cp:revision>
  <dcterms:created xsi:type="dcterms:W3CDTF">2026-05-12T20:59:11.234Z</dcterms:created>
  <dcterms:modified xsi:type="dcterms:W3CDTF">2026-05-12T20:59:11.234Z</dcterms:modified>
</cp:coreProperties>
</file>

<file path=docProps/custom.xml><?xml version="1.0" encoding="utf-8"?>
<Properties xmlns="http://schemas.openxmlformats.org/officeDocument/2006/custom-properties" xmlns:vt="http://schemas.openxmlformats.org/officeDocument/2006/docPropsVTypes"/>
</file>