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93" w:name="agents-gtm-master-read-through"/>
    <w:p>
      <w:pPr>
        <w:pStyle w:val="Heading1"/>
      </w:pPr>
      <w:r>
        <w:t xml:space="preserve">AGENTS × GTM · Master Read-Through</w:t>
      </w:r>
    </w:p>
    <w:bookmarkStart w:id="9" w:name="X20964961cc316d2dfbfdd490a9a52a3d9c889b5"/>
    <w:p>
      <w:pPr>
        <w:pStyle w:val="Heading2"/>
      </w:pPr>
      <w:r>
        <w:t xml:space="preserve">Volume IV · The Intersection at Cell Resolution</w:t>
      </w:r>
    </w:p>
    <w:p>
      <w:pPr>
        <w:pStyle w:val="FirstParagraph"/>
      </w:pPr>
      <w:r>
        <w:rPr>
          <w:b/>
          <w:bCs/>
        </w:rPr>
        <w:t xml:space="preserve">Author:</w:t>
      </w:r>
      <w:r>
        <w:t xml:space="preserve"> </w:t>
      </w:r>
      <w:r>
        <w:t xml:space="preserve">Alex Yedi</w:t>
      </w:r>
      <w:r>
        <w:t xml:space="preserve"> </w:t>
      </w:r>
      <w:r>
        <w:rPr>
          <w:b/>
          <w:bCs/>
        </w:rPr>
        <w:t xml:space="preserve">Date:</w:t>
      </w:r>
      <w:r>
        <w:t xml:space="preserve"> </w:t>
      </w:r>
      <w:r>
        <w:t xml:space="preserve">May 2026</w:t>
      </w:r>
      <w:r>
        <w:t xml:space="preserve"> </w:t>
      </w:r>
      <w:r>
        <w:rPr>
          <w:b/>
          <w:bCs/>
        </w:rPr>
        <w:t xml:space="preserve">Edition:</w:t>
      </w:r>
      <w:r>
        <w:t xml:space="preserve"> </w:t>
      </w:r>
      <w:r>
        <w:t xml:space="preserve">v1.0</w:t>
      </w:r>
      <w:r>
        <w:t xml:space="preserve"> </w:t>
      </w:r>
      <w:r>
        <w:rPr>
          <w:b/>
          <w:bCs/>
        </w:rPr>
        <w:t xml:space="preserve">Read time:</w:t>
      </w:r>
      <w:r>
        <w:t xml:space="preserve"> </w:t>
      </w:r>
      <w:r>
        <w:t xml:space="preserve">~4 hours end-to-end. Core synthesis chapters (1–5 + 7) run ~90 min. Chapter 6 — the Procurement Playbook in full — runs another ~90 min.</w:t>
      </w:r>
    </w:p>
    <w:p>
      <w:r>
        <w:pict>
          <v:rect style="width:0;height:1.5pt" o:hralign="center" o:hrstd="t" o:hr="t"/>
        </w:pict>
      </w:r>
    </w:p>
    <w:bookmarkEnd w:id="9"/>
    <w:bookmarkStart w:id="10" w:name="chapter-0-how-to-read-this-document"/>
    <w:p>
      <w:pPr>
        <w:pStyle w:val="Heading2"/>
      </w:pPr>
      <w:r>
        <w:t xml:space="preserve">Chapter 0 · How to Read This Document</w:t>
      </w:r>
    </w:p>
    <w:p>
      <w:pPr>
        <w:pStyle w:val="FirstParagraph"/>
      </w:pPr>
      <w:r>
        <w:t xml:space="preserve">This is the Volume IV body of work assembled into one linear read. Four source documents — the BETS_DELTA_NOTE that records what shifted from Volume III, the AGENTS_GTM_TRACKER that becomes the live operating surface, the AGENTS_GTM_ADDENDUM that holds the cell matrix and the five frameworks, and the AI_VENDOR_PROCUREMENT_PLAYBOOK that is Bet #1 made tangible — composed as one document so the through-line reads cleanly without window-switching. Nothing here is new analysis. The connective tissue between chapters is the only original writing; the rest is curated lift from material already produced in Phase 5.</w:t>
      </w:r>
    </w:p>
    <w:p>
      <w:pPr>
        <w:pStyle w:val="BodyText"/>
      </w:pPr>
      <w:r>
        <w:t xml:space="preserve">The chapter sequence is synthesis-first then breadth-then-depth. Chapter 1 gives you the headline thesis in one page. Chapter 2 walks the 12 × 13 cell matrix function-by-function so you see the field. Chapter 3 walks the three load-bearing frameworks (Wardley, 7 Powers, JTBD; OCQ and Talent + Capital Flow are operationalized through the others). Chapter 4 records the Updated Seven Bets with the per-bet deltas from Volume III. Chapter 5 is the 6 / 12 / 18-month action map. Chapter 6 is the Playbook in full — the headline deliverable, ~28,000 words, structurally the half of this document that does the actual work for an outside reader. Chapter 7 is the living tracker. Chapter 8 is the framework reflections. Chapter 9 is the Visual Atlas reference. Chapter 10 is the source-material index.</w:t>
      </w:r>
    </w:p>
    <w:p>
      <w:pPr>
        <w:pStyle w:val="BodyText"/>
      </w:pPr>
      <w:r>
        <w:t xml:space="preserve">Four reading shapes work. The full read takes about four hours and is the right approach when you re-enter the work cold or are preparing to share it externally. The core-only read — Chapters 1 through 5 plus 7 — runs about 90 minutes and is what you reach for at the start of any planning conversation. The Playbook-only read is Chapter 6 and runs about 90 minutes; that is the chapter you hand to a buyer-side reader who does not need the strategic framing. The reference-only read is Chapter 7 plus Appendix B and is the right path when you are doing forensic lookup (</w:t>
      </w:r>
      <w:r>
        <w:t xml:space="preserve">“where did the (5, F) buying-committee finding originate?”</w:t>
      </w:r>
      <w:r>
        <w:t xml:space="preserve">).</w:t>
      </w:r>
    </w:p>
    <w:p>
      <w:pPr>
        <w:pStyle w:val="BodyText"/>
      </w:pPr>
      <w:r>
        <w:t xml:space="preserve">The four PDFs that pair with this document —</w:t>
      </w:r>
      <w:r>
        <w:t xml:space="preserve"> </w:t>
      </w:r>
      <w:r>
        <w:rPr>
          <w:rStyle w:val="VerbatimChar"/>
        </w:rPr>
        <w:t xml:space="preserve">AGENTS_GTM_MATRIX.pdf</w:t>
      </w:r>
      <w:r>
        <w:t xml:space="preserve">,</w:t>
      </w:r>
      <w:r>
        <w:t xml:space="preserve"> </w:t>
      </w:r>
      <w:r>
        <w:rPr>
          <w:rStyle w:val="VerbatimChar"/>
        </w:rPr>
        <w:t xml:space="preserve">AGENTS_GTM_MASTER_PLATE.pdf</w:t>
      </w:r>
      <w:r>
        <w:t xml:space="preserve">,</w:t>
      </w:r>
      <w:r>
        <w:t xml:space="preserve"> </w:t>
      </w:r>
      <w:r>
        <w:rPr>
          <w:rStyle w:val="VerbatimChar"/>
        </w:rPr>
        <w:t xml:space="preserve">AGENTS_GTM_SUBSTRATE.pdf</w:t>
      </w:r>
      <w:r>
        <w:t xml:space="preserve">, and</w:t>
      </w:r>
      <w:r>
        <w:t xml:space="preserve"> </w:t>
      </w:r>
      <w:r>
        <w:rPr>
          <w:rStyle w:val="VerbatimChar"/>
        </w:rPr>
        <w:t xml:space="preserve">AGENTS_GTM_DECISIONS.pdf</w:t>
      </w:r>
      <w:r>
        <w:t xml:space="preserve"> </w:t>
      </w:r>
      <w:r>
        <w:t xml:space="preserve">— are visual companions. Open them in a separate window when each chapter calls them by name. Do not try to read this document and the plates in series; read them in parallel.</w:t>
      </w:r>
    </w:p>
    <w:p>
      <w:r>
        <w:pict>
          <v:rect style="width:0;height:1.5pt" o:hralign="center" o:hrstd="t" o:hr="t"/>
        </w:pict>
      </w:r>
    </w:p>
    <w:bookmarkEnd w:id="10"/>
    <w:bookmarkStart w:id="11" w:name="chapter-1-the-whole-thesis-in-one-page"/>
    <w:p>
      <w:pPr>
        <w:pStyle w:val="Heading2"/>
      </w:pPr>
      <w:r>
        <w:t xml:space="preserve">Chapter 1 · The Whole Thesis in One Page</w:t>
      </w:r>
    </w:p>
    <w:p>
      <w:pPr>
        <w:pStyle w:val="FirstParagraph"/>
      </w:pPr>
      <w:r>
        <w:t xml:space="preserve">Open</w:t>
      </w:r>
      <w:r>
        <w:t xml:space="preserve"> </w:t>
      </w:r>
      <w:r>
        <w:rPr>
          <w:rStyle w:val="VerbatimChar"/>
        </w:rPr>
        <w:t xml:space="preserve">AGENTS_GTM_MASTER_PLATE.pdf</w:t>
      </w:r>
      <w:r>
        <w:t xml:space="preserve"> </w:t>
      </w:r>
      <w:r>
        <w:t xml:space="preserve">in a separate window. The next 500 words are the prose caption.</w:t>
      </w:r>
    </w:p>
    <w:p>
      <w:pPr>
        <w:pStyle w:val="BodyText"/>
      </w:pPr>
      <w:r>
        <w:t xml:space="preserve">The cell-matrix work converted the 7 Bets from a portfolio of options into a sequenced operating plan. Three independent frameworks — Wardley, 7 Powers, and Ecosystem JTBD — converged on Bet #1 (the Enterprise AI Procurement Operating Standard) as the highest-leverage and most-Power-footed position in the matrix. The convergence matters because the three frameworks were applied independently, with different evidence and different scoring discipline; where they agree, conviction stacks. Bet #5 was repositioned, not killed. Bet #3 was re-sequenced from</w:t>
      </w:r>
      <w:r>
        <w:t xml:space="preserve"> </w:t>
      </w:r>
      <w:r>
        <w:t xml:space="preserve">“after Bet #1”</w:t>
      </w:r>
      <w:r>
        <w:t xml:space="preserve"> </w:t>
      </w:r>
      <w:r>
        <w:t xml:space="preserve">to</w:t>
      </w:r>
      <w:r>
        <w:t xml:space="preserve"> </w:t>
      </w:r>
      <w:r>
        <w:t xml:space="preserve">“concurrent with Bet #1”</w:t>
      </w:r>
      <w:r>
        <w:t xml:space="preserve"> </w:t>
      </w:r>
      <w:r>
        <w:t xml:space="preserve">because the Wardley-dated MCP-gateway window (PE-4, H2 2026) closes faster than Volume III modeled. The 10 candidate new bets surfaced in Phase 2a synthesis were winnowed to three promotions (Bet-C5 Common Room JOIN, Bet-C6 open-spec stewardship, Bet-C9 Persistent Memory as Service Line), four absorptions (Bet-C2 procurement-seam coach, Bet-C3 per-trajectory FinOps, Bet-C4 outcome-pricing template, Bet-C10 Article 14 tie-out), and three watch-list / parks (Bet-C1 BCG product, Bet-C7 RevOps trajectory agent, Bet-C8 deal-diagnosis causation engine).</w:t>
      </w:r>
    </w:p>
    <w:p>
      <w:pPr>
        <w:pStyle w:val="BodyText"/>
      </w:pPr>
      <w:r>
        <w:t xml:space="preserve">The shape of the seven bets after Volume IV:</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Bet</w:t>
            </w:r>
          </w:p>
        </w:tc>
        <w:tc>
          <w:tcPr/>
          <w:p>
            <w:pPr>
              <w:pStyle w:val="Compact"/>
            </w:pPr>
            <w:r>
              <w:t xml:space="preserve">Status</w:t>
            </w:r>
          </w:p>
        </w:tc>
        <w:tc>
          <w:tcPr/>
          <w:p>
            <w:pPr>
              <w:pStyle w:val="Compact"/>
            </w:pPr>
            <w:r>
              <w:t xml:space="preserve">Sequence</w:t>
            </w:r>
          </w:p>
        </w:tc>
        <w:tc>
          <w:tcPr/>
          <w:p>
            <w:pPr>
              <w:pStyle w:val="Compact"/>
            </w:pPr>
            <w:r>
              <w:t xml:space="preserve">Conviction</w:t>
            </w:r>
          </w:p>
        </w:tc>
      </w:tr>
      <w:tr>
        <w:tc>
          <w:tcPr/>
          <w:p>
            <w:pPr>
              <w:pStyle w:val="Compact"/>
            </w:pPr>
            <w:r>
              <w:rPr>
                <w:b/>
                <w:bCs/>
              </w:rPr>
              <w:t xml:space="preserve">1</w:t>
            </w:r>
          </w:p>
        </w:tc>
        <w:tc>
          <w:tcPr/>
          <w:p>
            <w:pPr>
              <w:pStyle w:val="Compact"/>
            </w:pPr>
            <w:r>
              <w:rPr>
                <w:b/>
                <w:bCs/>
              </w:rPr>
              <w:t xml:space="preserve">Enterprise AI Procurement Operating Standard</w:t>
            </w:r>
            <w:r>
              <w:t xml:space="preserve"> </w:t>
            </w:r>
            <w:r>
              <w:t xml:space="preserve">— open-spec stewardship via Bet-C6 reframe; absorbs Bets #4, #5, modules from C2/C3/C4/C10</w:t>
            </w:r>
          </w:p>
        </w:tc>
        <w:tc>
          <w:tcPr/>
          <w:p>
            <w:pPr>
              <w:pStyle w:val="Compact"/>
            </w:pPr>
            <w:r>
              <w:t xml:space="preserve">reinforced + expanded</w:t>
            </w:r>
          </w:p>
        </w:tc>
        <w:tc>
          <w:tcPr/>
          <w:p>
            <w:pPr>
              <w:pStyle w:val="Compact"/>
            </w:pPr>
            <w:r>
              <w:rPr>
                <w:b/>
                <w:bCs/>
              </w:rPr>
              <w:t xml:space="preserve">NOW</w:t>
            </w:r>
          </w:p>
        </w:tc>
        <w:tc>
          <w:tcPr/>
          <w:p>
            <w:pPr>
              <w:pStyle w:val="Compact"/>
            </w:pPr>
            <w:r>
              <w:t xml:space="preserve">★★★★★</w:t>
            </w:r>
          </w:p>
        </w:tc>
      </w:tr>
      <w:tr>
        <w:tc>
          <w:tcPr/>
          <w:p>
            <w:pPr>
              <w:pStyle w:val="Compact"/>
            </w:pPr>
            <w:r>
              <w:rPr>
                <w:b/>
                <w:bCs/>
              </w:rPr>
              <w:t xml:space="preserve">2</w:t>
            </w:r>
          </w:p>
        </w:tc>
        <w:tc>
          <w:tcPr/>
          <w:p>
            <w:pPr>
              <w:pStyle w:val="Compact"/>
            </w:pPr>
            <w:r>
              <w:rPr>
                <w:b/>
                <w:bCs/>
              </w:rPr>
              <w:t xml:space="preserve">Vertical Agent GTM Role</w:t>
            </w:r>
            <w:r>
              <w:t xml:space="preserve"> </w:t>
            </w:r>
            <w:r>
              <w:t xml:space="preserve">— Hebbia &gt; Sierra &gt; Rogo &gt; Harvey &gt; Glean; Bet-C5 Common Room as sub-target</w:t>
            </w:r>
          </w:p>
        </w:tc>
        <w:tc>
          <w:tcPr/>
          <w:p>
            <w:pPr>
              <w:pStyle w:val="Compact"/>
            </w:pPr>
            <w:r>
              <w:t xml:space="preserve">reinforced + sharpened</w:t>
            </w:r>
          </w:p>
        </w:tc>
        <w:tc>
          <w:tcPr/>
          <w:p>
            <w:pPr>
              <w:pStyle w:val="Compact"/>
            </w:pPr>
            <w:r>
              <w:rPr>
                <w:b/>
                <w:bCs/>
              </w:rPr>
              <w:t xml:space="preserve">Concurrent with Bet #1</w:t>
            </w:r>
          </w:p>
        </w:tc>
        <w:tc>
          <w:tcPr/>
          <w:p>
            <w:pPr>
              <w:pStyle w:val="Compact"/>
            </w:pPr>
            <w:r>
              <w:t xml:space="preserve">★★★★★</w:t>
            </w:r>
          </w:p>
        </w:tc>
      </w:tr>
      <w:tr>
        <w:tc>
          <w:tcPr/>
          <w:p>
            <w:pPr>
              <w:pStyle w:val="Compact"/>
            </w:pPr>
            <w:r>
              <w:rPr>
                <w:b/>
                <w:bCs/>
              </w:rPr>
              <w:t xml:space="preserve">3a</w:t>
            </w:r>
          </w:p>
        </w:tc>
        <w:tc>
          <w:tcPr/>
          <w:p>
            <w:pPr>
              <w:pStyle w:val="Compact"/>
            </w:pPr>
            <w:r>
              <w:rPr>
                <w:b/>
                <w:bCs/>
              </w:rPr>
              <w:t xml:space="preserve">Advisory + gateway-partner positioning</w:t>
            </w:r>
            <w:r>
              <w:t xml:space="preserve"> </w:t>
            </w:r>
            <w:r>
              <w:t xml:space="preserve">— Cloudflare / Kong / Pomerium pair</w:t>
            </w:r>
          </w:p>
        </w:tc>
        <w:tc>
          <w:tcPr/>
          <w:p>
            <w:pPr>
              <w:pStyle w:val="Compact"/>
            </w:pPr>
            <w:r>
              <w:t xml:space="preserve">held + re-sequenced concurrent</w:t>
            </w:r>
          </w:p>
        </w:tc>
        <w:tc>
          <w:tcPr/>
          <w:p>
            <w:pPr>
              <w:pStyle w:val="Compact"/>
            </w:pPr>
            <w:r>
              <w:rPr>
                <w:b/>
                <w:bCs/>
              </w:rPr>
              <w:t xml:space="preserve">Concurrent with Bet #1 from H2 2026</w:t>
            </w:r>
          </w:p>
        </w:tc>
        <w:tc>
          <w:tcPr/>
          <w:p>
            <w:pPr>
              <w:pStyle w:val="Compact"/>
            </w:pPr>
            <w:r>
              <w:t xml:space="preserve">★★★★</w:t>
            </w:r>
          </w:p>
        </w:tc>
      </w:tr>
      <w:tr>
        <w:tc>
          <w:tcPr/>
          <w:p>
            <w:pPr>
              <w:pStyle w:val="Compact"/>
            </w:pPr>
            <w:r>
              <w:t xml:space="preserve">3b</w:t>
            </w:r>
          </w:p>
        </w:tc>
        <w:tc>
          <w:tcPr/>
          <w:p>
            <w:pPr>
              <w:pStyle w:val="Compact"/>
            </w:pPr>
            <w:r>
              <w:t xml:space="preserve">Productized MCP server practice</w:t>
            </w:r>
          </w:p>
        </w:tc>
        <w:tc>
          <w:tcPr/>
          <w:p>
            <w:pPr>
              <w:pStyle w:val="Compact"/>
            </w:pPr>
            <w:r>
              <w:t xml:space="preserve">parked</w:t>
            </w:r>
          </w:p>
        </w:tc>
        <w:tc>
          <w:tcPr/>
          <w:p>
            <w:pPr>
              <w:pStyle w:val="Compact"/>
            </w:pPr>
            <w:r>
              <w:t xml:space="preserve">—</w:t>
            </w:r>
          </w:p>
        </w:tc>
        <w:tc>
          <w:tcPr/>
          <w:p>
            <w:pPr>
              <w:pStyle w:val="Compact"/>
            </w:pPr>
            <w:r>
              <w:t xml:space="preserve">parked</w:t>
            </w:r>
          </w:p>
        </w:tc>
      </w:tr>
      <w:tr>
        <w:tc>
          <w:tcPr/>
          <w:p>
            <w:pPr>
              <w:pStyle w:val="Compact"/>
            </w:pPr>
            <w:r>
              <w:t xml:space="preserve">4</w:t>
            </w:r>
          </w:p>
        </w:tc>
        <w:tc>
          <w:tcPr/>
          <w:p>
            <w:pPr>
              <w:pStyle w:val="Compact"/>
            </w:pPr>
            <w:r>
              <w:rPr>
                <w:b/>
                <w:bCs/>
              </w:rPr>
              <w:t xml:space="preserve">FinOps for Tokens</w:t>
            </w:r>
            <w:r>
              <w:t xml:space="preserve"> </w:t>
            </w:r>
            <w:r>
              <w:t xml:space="preserve">— module of Bet #1 §III.8</w:t>
            </w:r>
          </w:p>
        </w:tc>
        <w:tc>
          <w:tcPr/>
          <w:p>
            <w:pPr>
              <w:pStyle w:val="Compact"/>
            </w:pPr>
            <w:r>
              <w:t xml:space="preserve">subsumed</w:t>
            </w:r>
          </w:p>
        </w:tc>
        <w:tc>
          <w:tcPr/>
          <w:p>
            <w:pPr>
              <w:pStyle w:val="Compact"/>
            </w:pPr>
            <w:r>
              <w:t xml:space="preserve">inside Bet #1</w:t>
            </w:r>
          </w:p>
        </w:tc>
        <w:tc>
          <w:tcPr/>
          <w:p>
            <w:pPr>
              <w:pStyle w:val="Compact"/>
            </w:pPr>
            <w:r>
              <w:t xml:space="preserve">★★★★ (as module)</w:t>
            </w:r>
          </w:p>
        </w:tc>
      </w:tr>
      <w:tr>
        <w:tc>
          <w:tcPr/>
          <w:p>
            <w:pPr>
              <w:pStyle w:val="Compact"/>
            </w:pPr>
            <w:r>
              <w:t xml:space="preserve">5</w:t>
            </w:r>
          </w:p>
        </w:tc>
        <w:tc>
          <w:tcPr/>
          <w:p>
            <w:pPr>
              <w:pStyle w:val="Compact"/>
            </w:pPr>
            <w:r>
              <w:rPr>
                <w:b/>
                <w:bCs/>
              </w:rPr>
              <w:t xml:space="preserve">RAG / Memory architecture</w:t>
            </w:r>
            <w:r>
              <w:t xml:space="preserve"> </w:t>
            </w:r>
            <w:r>
              <w:t xml:space="preserve">— module of Bet #1; Bet-C9 productization at Q3 2026 gate</w:t>
            </w:r>
          </w:p>
        </w:tc>
        <w:tc>
          <w:tcPr/>
          <w:p>
            <w:pPr>
              <w:pStyle w:val="Compact"/>
            </w:pPr>
            <w:r>
              <w:t xml:space="preserve">subsumed standalone; Bet-C9 promoted</w:t>
            </w:r>
          </w:p>
        </w:tc>
        <w:tc>
          <w:tcPr/>
          <w:p>
            <w:pPr>
              <w:pStyle w:val="Compact"/>
            </w:pPr>
            <w:r>
              <w:t xml:space="preserve">inside Bet #1, then Bet-C9 Q3 2026</w:t>
            </w:r>
          </w:p>
        </w:tc>
        <w:tc>
          <w:tcPr/>
          <w:p>
            <w:pPr>
              <w:pStyle w:val="Compact"/>
            </w:pPr>
            <w:r>
              <w:t xml:space="preserve">★★★★ (as Bet-C9)</w:t>
            </w:r>
          </w:p>
        </w:tc>
      </w:tr>
      <w:tr>
        <w:tc>
          <w:tcPr/>
          <w:p>
            <w:pPr>
              <w:pStyle w:val="Compact"/>
            </w:pPr>
            <w:r>
              <w:t xml:space="preserve">6</w:t>
            </w:r>
          </w:p>
        </w:tc>
        <w:tc>
          <w:tcPr/>
          <w:p>
            <w:pPr>
              <w:pStyle w:val="Compact"/>
            </w:pPr>
            <w:r>
              <w:rPr>
                <w:b/>
                <w:bCs/>
              </w:rPr>
              <w:t xml:space="preserve">Operator Translation Newsletter</w:t>
            </w:r>
            <w:r>
              <w:t xml:space="preserve"> </w:t>
            </w:r>
            <w:r>
              <w:t xml:space="preserve">— distribution layer for #1–#3</w:t>
            </w:r>
          </w:p>
        </w:tc>
        <w:tc>
          <w:tcPr/>
          <w:p>
            <w:pPr>
              <w:pStyle w:val="Compact"/>
            </w:pPr>
            <w:r>
              <w:t xml:space="preserve">reframed</w:t>
            </w:r>
          </w:p>
        </w:tc>
        <w:tc>
          <w:tcPr/>
          <w:p>
            <w:pPr>
              <w:pStyle w:val="Compact"/>
            </w:pPr>
            <w:r>
              <w:t xml:space="preserve">from Q3 2026 ongoing</w:t>
            </w:r>
          </w:p>
        </w:tc>
        <w:tc>
          <w:tcPr/>
          <w:p>
            <w:pPr>
              <w:pStyle w:val="Compact"/>
            </w:pPr>
            <w:r>
              <w:t xml:space="preserve">★★★</w:t>
            </w:r>
          </w:p>
        </w:tc>
      </w:tr>
      <w:tr>
        <w:tc>
          <w:tcPr/>
          <w:p>
            <w:pPr>
              <w:pStyle w:val="Compact"/>
            </w:pPr>
            <w:r>
              <w:t xml:space="preserve">7</w:t>
            </w:r>
          </w:p>
        </w:tc>
        <w:tc>
          <w:tcPr/>
          <w:p>
            <w:pPr>
              <w:pStyle w:val="Compact"/>
            </w:pPr>
            <w:r>
              <w:rPr>
                <w:b/>
                <w:bCs/>
              </w:rPr>
              <w:t xml:space="preserve">VC Operating Partner</w:t>
            </w:r>
            <w:r>
              <w:t xml:space="preserve"> </w:t>
            </w:r>
            <w:r>
              <w:t xml:space="preserve">— fallback only</w:t>
            </w:r>
          </w:p>
        </w:tc>
        <w:tc>
          <w:tcPr/>
          <w:p>
            <w:pPr>
              <w:pStyle w:val="Compact"/>
            </w:pPr>
            <w:r>
              <w:t xml:space="preserve">held</w:t>
            </w:r>
          </w:p>
        </w:tc>
        <w:tc>
          <w:tcPr/>
          <w:p>
            <w:pPr>
              <w:pStyle w:val="Compact"/>
            </w:pPr>
            <w:r>
              <w:t xml:space="preserve">background</w:t>
            </w:r>
          </w:p>
        </w:tc>
        <w:tc>
          <w:tcPr/>
          <w:p>
            <w:pPr>
              <w:pStyle w:val="Compact"/>
            </w:pPr>
            <w:r>
              <w:t xml:space="preserve">★★★</w:t>
            </w:r>
          </w:p>
        </w:tc>
      </w:tr>
    </w:tbl>
    <w:p>
      <w:pPr>
        <w:pStyle w:val="BodyText"/>
      </w:pPr>
      <w:r>
        <w:t xml:space="preserve">Three operator-shape Power flavors stack on Bet #1: Process Power from twelve years of procurement scar tissue, Branding from the Playbook becoming the canonical buyer-side voice, and downstream Switching Costs from the rubric vocabulary becoming the procurement-default reference. EU AI Act Article 14 first enforcement (PE-2, late 2026) is the 5× TAM expansion event. Anthropic ARR Q3 2026 resolution (PE-5) is the single load-bearing Bet #2 timing variable. The MBB-network 30-day push opens Hebbia / Sierra / Harvey pipelines via three named Feb–Apr 2026 hires (Berger BCG → Hebbia, Park McKinsey → Sierra, Sinclair Bain → Harvey).</w:t>
      </w:r>
    </w:p>
    <w:p>
      <w:pPr>
        <w:pStyle w:val="BodyText"/>
      </w:pPr>
      <w:r>
        <w:t xml:space="preserve">The whole sequence in one line:</w:t>
      </w:r>
    </w:p>
    <w:p>
      <w:pPr>
        <w:pStyle w:val="BodyText"/>
      </w:pPr>
      <w:r>
        <w:rPr>
          <w:b/>
          <w:bCs/>
        </w:rPr>
        <w:t xml:space="preserve">Publish (Bet #1), then rent equity (Bet #2), with advisory + gateway-pair (Bet #3a) running concurrent from H2 2026, distributed via newsletter (Bet #6), with Bet #4 + Bet #5 as modules of #1.</w:t>
      </w:r>
    </w:p>
    <w:p>
      <w:pPr>
        <w:pStyle w:val="BodyText"/>
      </w:pPr>
      <w:r>
        <w:t xml:space="preserve">That is the thesis. The remaining chapters expand each layer. The next chapter walks the matrix.</w:t>
      </w:r>
    </w:p>
    <w:p>
      <w:r>
        <w:pict>
          <v:rect style="width:0;height:1.5pt" o:hralign="center" o:hrstd="t" o:hr="t"/>
        </w:pict>
      </w:r>
    </w:p>
    <w:bookmarkEnd w:id="11"/>
    <w:bookmarkStart w:id="12" w:name="chapter-2-the-cell-matrix-field-survey"/>
    <w:p>
      <w:pPr>
        <w:pStyle w:val="Heading2"/>
      </w:pPr>
      <w:r>
        <w:t xml:space="preserve">Chapter 2 · The Cell Matrix · Field Survey</w:t>
      </w:r>
    </w:p>
    <w:p>
      <w:pPr>
        <w:pStyle w:val="FirstParagraph"/>
      </w:pPr>
      <w:r>
        <w:t xml:space="preserve">Open</w:t>
      </w:r>
      <w:r>
        <w:t xml:space="preserve"> </w:t>
      </w:r>
      <w:r>
        <w:rPr>
          <w:rStyle w:val="VerbatimChar"/>
        </w:rPr>
        <w:t xml:space="preserve">AGENTS_GTM_MATRIX.pdf</w:t>
      </w:r>
      <w:r>
        <w:t xml:space="preserve"> </w:t>
      </w:r>
      <w:r>
        <w:t xml:space="preserve">in a separate window. The matrix is the unit of analysis. Twelve GTM functions × thirteen agent capabilities = 156 cells. Each cell answers four questions: what exists; how mature; where the unserved JTBD is; where the buyer is paying. What follows is the methodology, then the function-by-function walk-through with the top-15 cells called out. The matrix prose deepens what the plate compresses.</w:t>
      </w:r>
    </w:p>
    <w:p>
      <w:r>
        <w:pict>
          <v:rect style="width:0;height:1.5pt" o:hralign="center" o:hrstd="t" o:hr="t"/>
        </w:pict>
      </w:r>
    </w:p>
    <w:bookmarkEnd w:id="12"/>
    <w:bookmarkStart w:id="19" w:name="part-vi-methodology"/>
    <w:p>
      <w:pPr>
        <w:pStyle w:val="Heading2"/>
      </w:pPr>
      <w:r>
        <w:t xml:space="preserve">Part VI · Methodology</w:t>
      </w:r>
    </w:p>
    <w:bookmarkStart w:id="13" w:name="the-five-frameworks-at-cell-resolution"/>
    <w:p>
      <w:pPr>
        <w:pStyle w:val="Heading3"/>
      </w:pPr>
      <w:r>
        <w:t xml:space="preserve">The five frameworks at cell resolution</w:t>
      </w:r>
    </w:p>
    <w:p>
      <w:pPr>
        <w:pStyle w:val="FirstParagraph"/>
      </w:pPr>
      <w:r>
        <w:t xml:space="preserve">Five frameworks carry through from Volumes II and III; their application tightens here.</w:t>
      </w:r>
    </w:p>
    <w:p>
      <w:pPr>
        <w:pStyle w:val="BodyText"/>
      </w:pPr>
      <w:r>
        <w:rPr>
          <w:b/>
          <w:bCs/>
        </w:rPr>
        <w:t xml:space="preserve">Framework 1 — OCQ × Cell Matrix.</w:t>
      </w:r>
      <w:r>
        <w:t xml:space="preserve"> </w:t>
      </w:r>
      <w:r>
        <w:t xml:space="preserve">OCQ (Opportunity, Conviction, Quality) was a stratum-level score in Volume III. In Volume IV it is a cell-level score on the 12 × 13 grid. The tightened rubric (below) is what every Top-15 cell in Part VII inherits.</w:t>
      </w:r>
    </w:p>
    <w:p>
      <w:pPr>
        <w:pStyle w:val="BodyText"/>
      </w:pPr>
      <w:r>
        <w:rPr>
          <w:b/>
          <w:bCs/>
        </w:rPr>
        <w:t xml:space="preserve">Framework 2 — Wardley Mapping.</w:t>
      </w:r>
      <w:r>
        <w:t xml:space="preserve"> </w:t>
      </w:r>
      <w:r>
        <w:t xml:space="preserve">Volume III mapped the agent stack with four anchored builder needs. Volume IV anchors four</w:t>
      </w:r>
      <w:r>
        <w:t xml:space="preserve"> </w:t>
      </w:r>
      <w:r>
        <w:rPr>
          <w:i/>
          <w:iCs/>
        </w:rPr>
        <w:t xml:space="preserve">GTM-buyer</w:t>
      </w:r>
      <w:r>
        <w:t xml:space="preserve"> </w:t>
      </w:r>
      <w:r>
        <w:t xml:space="preserve">needs: top-of-funnel reliability without linear headcount; sales-cycle compression at procurement; NRR via proactive CS; quarterly forecasts the board will trust. Each need is decomposed into Function → Capability → Sub-stratum → Meta-strata dependency chains. Named tools are placed on the Genesis → Custom → Product → Commodity axis at May 2026. Six punctuated equilibria with dates and the cells they reprice are explicit.</w:t>
      </w:r>
    </w:p>
    <w:p>
      <w:pPr>
        <w:pStyle w:val="BodyText"/>
      </w:pPr>
      <w:r>
        <w:rPr>
          <w:b/>
          <w:bCs/>
        </w:rPr>
        <w:t xml:space="preserve">Framework 3 — Helmer’s Seven Powers.</w:t>
      </w:r>
      <w:r>
        <w:t xml:space="preserve"> </w:t>
      </w:r>
      <w:r>
        <w:t xml:space="preserve">Volume III ran the screen at stratum level. Volume IV runs it at company level — roughly thirty named agent-GTM entities scored against all seven Powers with strict Benefit + Barrier discipline. Six clear the bar. The screen then maps Power flavors back onto the seven Bets so the sequencing question (</w:t>
      </w:r>
      <w:r>
        <w:t xml:space="preserve">“which Bet first?”</w:t>
      </w:r>
      <w:r>
        <w:t xml:space="preserve">) is answered by durability, not by ARR.</w:t>
      </w:r>
    </w:p>
    <w:p>
      <w:pPr>
        <w:pStyle w:val="BodyText"/>
      </w:pPr>
      <w:r>
        <w:rPr>
          <w:b/>
          <w:bCs/>
        </w:rPr>
        <w:t xml:space="preserve">Framework 4 — Jobs-to-be-Done.</w:t>
      </w:r>
      <w:r>
        <w:t xml:space="preserve"> </w:t>
      </w:r>
      <w:r>
        <w:t xml:space="preserve">The matrix has seven buyer-side counterparties (InfoSec, Legal, Privacy, AI Governance, Procurement, Sponsor, Enterprise Architecture) rather than the five JTBD agents most playbooks use. Each counterparty carries its own functional, emotional, and social JTBD. Part X (companion document) maps the (9, G) Playbook against all seven and ranks them by willingness-to-pay. This is the JOIN/BUILD/ADVISE arbitration framework.</w:t>
      </w:r>
    </w:p>
    <w:p>
      <w:pPr>
        <w:pStyle w:val="BodyText"/>
      </w:pPr>
      <w:r>
        <w:rPr>
          <w:b/>
          <w:bCs/>
        </w:rPr>
        <w:t xml:space="preserve">Framework 5 — Talent + Capital flow.</w:t>
      </w:r>
      <w:r>
        <w:t xml:space="preserve"> </w:t>
      </w:r>
      <w:r>
        <w:t xml:space="preserve">Volume III tracked sub-stratum talent flow. Volume IV tracks cell-anchored talent flow — Stripe → Sierra/Decagon, MBB → Hebbia/Sierra/Harvey, foundation-lab-AE departure clustering, Anthropic ARR resolution as the single load-bearing valuation variable. Part XI (companion) ranks NYC operator paths against Alex’s specific profile.</w:t>
      </w:r>
    </w:p>
    <w:bookmarkEnd w:id="13"/>
    <w:bookmarkStart w:id="14" w:name="the-12-13-cell-as-unit-of-analysis"/>
    <w:p>
      <w:pPr>
        <w:pStyle w:val="Heading3"/>
      </w:pPr>
      <w:r>
        <w:t xml:space="preserve">The 12 × 13 cell as unit of analysis</w:t>
      </w:r>
    </w:p>
    <w:p>
      <w:pPr>
        <w:pStyle w:val="FirstParagraph"/>
      </w:pPr>
      <w:r>
        <w:t xml:space="preserve">The matrix produces 156 coordinates. Each cell carries:</w:t>
      </w:r>
    </w:p>
    <w:p>
      <w:pPr>
        <w:pStyle w:val="Compact"/>
        <w:numPr>
          <w:ilvl w:val="0"/>
          <w:numId w:val="1001"/>
        </w:numPr>
      </w:pPr>
      <w:r>
        <w:rPr>
          <w:b/>
          <w:bCs/>
        </w:rPr>
        <w:t xml:space="preserve">Status</w:t>
      </w:r>
      <w:r>
        <w:t xml:space="preserve"> </w:t>
      </w:r>
      <w:r>
        <w:t xml:space="preserve">(Mature / Forming / Gap / Underserved / Bundled / Vapor / N/A).</w:t>
      </w:r>
    </w:p>
    <w:p>
      <w:pPr>
        <w:pStyle w:val="Compact"/>
        <w:numPr>
          <w:ilvl w:val="0"/>
          <w:numId w:val="1001"/>
        </w:numPr>
      </w:pPr>
      <w:r>
        <w:rPr>
          <w:b/>
          <w:bCs/>
        </w:rPr>
        <w:t xml:space="preserve">Top vendors</w:t>
      </w:r>
      <w:r>
        <w:t xml:space="preserve"> </w:t>
      </w:r>
      <w:r>
        <w:t xml:space="preserve">with sub-stratum bracket from Volume III taxonomy: I (foundation models), II (runtimes), III (tool-use protocol), IV (memory), V (planning/reasoning), VI (action surfaces), VII (eval/observability), VIII (safety), IX (vertical agent products), X (end-user surfaces).</w:t>
      </w:r>
    </w:p>
    <w:p>
      <w:pPr>
        <w:pStyle w:val="Compact"/>
        <w:numPr>
          <w:ilvl w:val="0"/>
          <w:numId w:val="1001"/>
        </w:numPr>
      </w:pPr>
      <w:r>
        <w:rPr>
          <w:b/>
          <w:bCs/>
        </w:rPr>
        <w:t xml:space="preserve">OCQ score</w:t>
      </w:r>
      <w:r>
        <w:t xml:space="preserve"> </w:t>
      </w:r>
      <w:r>
        <w:t xml:space="preserve">out of 20.</w:t>
      </w:r>
    </w:p>
    <w:p>
      <w:pPr>
        <w:pStyle w:val="Compact"/>
        <w:numPr>
          <w:ilvl w:val="0"/>
          <w:numId w:val="1001"/>
        </w:numPr>
      </w:pPr>
      <w:r>
        <w:rPr>
          <w:b/>
          <w:bCs/>
        </w:rPr>
        <w:t xml:space="preserve">JTBD or buyer-evidence anchor</w:t>
      </w:r>
      <w:r>
        <w:t xml:space="preserve"> </w:t>
      </w:r>
      <w:r>
        <w:t xml:space="preserve">— what triggers procurement at this cell.</w:t>
      </w:r>
    </w:p>
    <w:p>
      <w:pPr>
        <w:pStyle w:val="FirstParagraph"/>
      </w:pPr>
      <w:r>
        <w:t xml:space="preserve">Volume III’s stratum unit captured roughly twelve of these cells in detail (the agent-layer slice across functions 4, 6, 8, 9, 10, 11, 12 × capabilities G, K, L, M). The remaining 144 are net-new analytical surface — and crucially, many of the highest-OCQ cells in the matrix are</w:t>
      </w:r>
      <w:r>
        <w:t xml:space="preserve"> </w:t>
      </w:r>
      <w:r>
        <w:rPr>
          <w:i/>
          <w:iCs/>
        </w:rPr>
        <w:t xml:space="preserve">outside</w:t>
      </w:r>
      <w:r>
        <w:t xml:space="preserve"> </w:t>
      </w:r>
      <w:r>
        <w:t xml:space="preserve">the agent layer narrowly defined (the buying-committee graph at (5, F), the deal-diagnosis causation engine at (6, E), and the procurement gauntlet at (9, G) are all GTM-cell finds that the stratum-resolution view obscured).</w:t>
      </w:r>
    </w:p>
    <w:bookmarkEnd w:id="14"/>
    <w:bookmarkStart w:id="15" w:name="the-ocq-rubric-tightened"/>
    <w:p>
      <w:pPr>
        <w:pStyle w:val="Heading3"/>
      </w:pPr>
      <w:r>
        <w:t xml:space="preserve">The OCQ rubric, tightened</w:t>
      </w:r>
    </w:p>
    <w:p>
      <w:pPr>
        <w:pStyle w:val="FirstParagraph"/>
      </w:pPr>
      <w:r>
        <w:t xml:space="preserve">Volume III’s OCQ was Confidence + TTM + Defensibility (each /5, total /15). Volume IV adds a fourth dimension —</w:t>
      </w:r>
      <w:r>
        <w:t xml:space="preserve"> </w:t>
      </w:r>
      <w:r>
        <w:rPr>
          <w:b/>
          <w:bCs/>
        </w:rPr>
        <w:t xml:space="preserve">Cell-density</w:t>
      </w:r>
      <w:r>
        <w:t xml:space="preserve">, the count of high-OCQ adjacent cells the position touches — and renames Defensibility to</w:t>
      </w:r>
      <w:r>
        <w:t xml:space="preserve"> </w:t>
      </w:r>
      <w:r>
        <w:rPr>
          <w:b/>
          <w:bCs/>
        </w:rPr>
        <w:t xml:space="preserve">Claimability</w:t>
      </w:r>
      <w:r>
        <w:t xml:space="preserve"> </w:t>
      </w:r>
      <w:r>
        <w:t xml:space="preserve">to make explicit that the scorer is Alex, not a neutral observer.</w:t>
      </w:r>
    </w:p>
    <w:p>
      <w:pPr>
        <w:pStyle w:val="Compact"/>
        <w:numPr>
          <w:ilvl w:val="0"/>
          <w:numId w:val="1002"/>
        </w:numPr>
      </w:pPr>
      <w:r>
        <w:rPr>
          <w:b/>
          <w:bCs/>
        </w:rPr>
        <w:t xml:space="preserve">Confidence /5</w:t>
      </w:r>
      <w:r>
        <w:t xml:space="preserve"> </w:t>
      </w:r>
      <w:r>
        <w:t xml:space="preserve">— evidence weight that the cell is real and procurable today. Five = signed F500 references, ARR disclosure, productized SKU. One = vapor, claimed but unbought.</w:t>
      </w:r>
    </w:p>
    <w:p>
      <w:pPr>
        <w:pStyle w:val="Compact"/>
        <w:numPr>
          <w:ilvl w:val="0"/>
          <w:numId w:val="1002"/>
        </w:numPr>
      </w:pPr>
      <w:r>
        <w:rPr>
          <w:b/>
          <w:bCs/>
        </w:rPr>
        <w:t xml:space="preserve">TTM /5</w:t>
      </w:r>
      <w:r>
        <w:t xml:space="preserve"> </w:t>
      </w:r>
      <w:r>
        <w:t xml:space="preserve">— time-to-monetization for the</w:t>
      </w:r>
      <w:r>
        <w:t xml:space="preserve"> </w:t>
      </w:r>
      <w:r>
        <w:rPr>
          <w:i/>
          <w:iCs/>
        </w:rPr>
        <w:t xml:space="preserve">claimant</w:t>
      </w:r>
      <w:r>
        <w:t xml:space="preserve"> </w:t>
      </w:r>
      <w:r>
        <w:t xml:space="preserve">(Alex publishing the Playbook, joining the operator role, advising the gateway). Five = ≤90 days. One = ≥18 months.</w:t>
      </w:r>
    </w:p>
    <w:p>
      <w:pPr>
        <w:pStyle w:val="Compact"/>
        <w:numPr>
          <w:ilvl w:val="0"/>
          <w:numId w:val="1002"/>
        </w:numPr>
      </w:pPr>
      <w:r>
        <w:rPr>
          <w:b/>
          <w:bCs/>
        </w:rPr>
        <w:t xml:space="preserve">Claimability /5</w:t>
      </w:r>
      <w:r>
        <w:t xml:space="preserve"> </w:t>
      </w:r>
      <w:r>
        <w:t xml:space="preserve">— whether Alex’s specific profile (12-year enterprise + procurement scar-tissue + NYC + AI-builder fluency) wins versus the next-best operator. Five = rare-profile prerequisite; the cell</w:t>
      </w:r>
      <w:r>
        <w:t xml:space="preserve"> </w:t>
      </w:r>
      <w:r>
        <w:rPr>
          <w:i/>
          <w:iCs/>
        </w:rPr>
        <w:t xml:space="preserve">needs</w:t>
      </w:r>
      <w:r>
        <w:t xml:space="preserve"> </w:t>
      </w:r>
      <w:r>
        <w:t xml:space="preserve">exactly this profile. One = generic; any senior GTM operator can claim it.</w:t>
      </w:r>
    </w:p>
    <w:p>
      <w:pPr>
        <w:pStyle w:val="Compact"/>
        <w:numPr>
          <w:ilvl w:val="0"/>
          <w:numId w:val="1002"/>
        </w:numPr>
      </w:pPr>
      <w:r>
        <w:rPr>
          <w:b/>
          <w:bCs/>
        </w:rPr>
        <w:t xml:space="preserve">Cell-density /5</w:t>
      </w:r>
      <w:r>
        <w:t xml:space="preserve"> </w:t>
      </w:r>
      <w:r>
        <w:t xml:space="preserve">— count of OCQ-13+ adjacent cells this position naturally compounds into. Five = 5+ adjacent high-OCQ cells (the procurement seam at (9, G) compounds into (9, M), (4, M), (11, I), (9, I), (12, M)). One = isolated; no spillover.</w:t>
      </w:r>
    </w:p>
    <w:p>
      <w:pPr>
        <w:pStyle w:val="FirstParagraph"/>
      </w:pPr>
      <w:r>
        <w:t xml:space="preserve">Total /20. The Top-15 in Part VII §13 is ranked on this rubric. The Volume III tracker’s stratum-level scores remain valid but are not directly comparable to Volume IV cell scores — different units.</w:t>
      </w:r>
    </w:p>
    <w:bookmarkEnd w:id="15"/>
    <w:bookmarkStart w:id="16" w:name="X91368148c578c67b5ddf2a7687a0202abb05f28"/>
    <w:p>
      <w:pPr>
        <w:pStyle w:val="Heading3"/>
      </w:pPr>
      <w:r>
        <w:t xml:space="preserve">The seven-counterparty buyer-side gauntlet</w:t>
      </w:r>
    </w:p>
    <w:p>
      <w:pPr>
        <w:pStyle w:val="FirstParagraph"/>
      </w:pPr>
      <w:r>
        <w:t xml:space="preserve">Volume III treated buyer-side procurement as a single counterparty. Volume IV makes the seven counterparties explicit and ranks them as a parallel axis to the capability columns. This is the F5 finding from Wave 2 of Volume IV’s research, confirmed by Alex’s own 50+ enterprise reviews.</w:t>
      </w:r>
    </w:p>
    <w:p>
      <w:pPr>
        <w:pStyle w:val="Compact"/>
        <w:numPr>
          <w:ilvl w:val="0"/>
          <w:numId w:val="1003"/>
        </w:numPr>
      </w:pPr>
      <w:r>
        <w:rPr>
          <w:b/>
          <w:bCs/>
        </w:rPr>
        <w:t xml:space="preserve">InfoSec / CISO</w:t>
      </w:r>
      <w:r>
        <w:t xml:space="preserve"> </w:t>
      </w:r>
      <w:r>
        <w:t xml:space="preserve">— owns tool-boundary policy, indirect-prompt-injection defense, OAuth blast-radius, sub-agent privilege separation.</w:t>
      </w:r>
    </w:p>
    <w:p>
      <w:pPr>
        <w:pStyle w:val="Compact"/>
        <w:numPr>
          <w:ilvl w:val="0"/>
          <w:numId w:val="1003"/>
        </w:numPr>
      </w:pPr>
      <w:r>
        <w:rPr>
          <w:b/>
          <w:bCs/>
        </w:rPr>
        <w:t xml:space="preserve">Legal</w:t>
      </w:r>
      <w:r>
        <w:t xml:space="preserve"> </w:t>
      </w:r>
      <w:r>
        <w:t xml:space="preserve">— owns the 14 AI-specific contract addenda (training-data, output ownership, model-update notice, hallucination indemnity, agent-action liability, sub-processor consent, kill-switch, eval-report sharing, red-team frequency, indirect-injection attestation, EU Art. 14 conformity, data residency, audit-log retention, sub-agent privilege-separation).</w:t>
      </w:r>
    </w:p>
    <w:p>
      <w:pPr>
        <w:pStyle w:val="Compact"/>
        <w:numPr>
          <w:ilvl w:val="0"/>
          <w:numId w:val="1003"/>
        </w:numPr>
      </w:pPr>
      <w:r>
        <w:rPr>
          <w:b/>
          <w:bCs/>
        </w:rPr>
        <w:t xml:space="preserve">Privacy / DPO</w:t>
      </w:r>
      <w:r>
        <w:t xml:space="preserve"> </w:t>
      </w:r>
      <w:r>
        <w:t xml:space="preserve">— owns GDPR right-to-be-forgotten in agent memory, cross-border data residency, EU Article 50 marketing-AI disclosure.</w:t>
      </w:r>
    </w:p>
    <w:p>
      <w:pPr>
        <w:pStyle w:val="Compact"/>
        <w:numPr>
          <w:ilvl w:val="0"/>
          <w:numId w:val="1003"/>
        </w:numPr>
      </w:pPr>
      <w:r>
        <w:rPr>
          <w:b/>
          <w:bCs/>
        </w:rPr>
        <w:t xml:space="preserve">AI Governance</w:t>
      </w:r>
      <w:r>
        <w:t xml:space="preserve"> </w:t>
      </w:r>
      <w:r>
        <w:t xml:space="preserve">— newly formalized in F500 2025–2026; owns EU AI Act conformity, the model-card library, the agent-trajectory audit posture.</w:t>
      </w:r>
    </w:p>
    <w:p>
      <w:pPr>
        <w:pStyle w:val="Compact"/>
        <w:numPr>
          <w:ilvl w:val="0"/>
          <w:numId w:val="1003"/>
        </w:numPr>
      </w:pPr>
      <w:r>
        <w:rPr>
          <w:b/>
          <w:bCs/>
        </w:rPr>
        <w:t xml:space="preserve">Procurement</w:t>
      </w:r>
      <w:r>
        <w:t xml:space="preserve"> </w:t>
      </w:r>
      <w:r>
        <w:t xml:space="preserve">— owns SOX rev-rec for outcome pricing, dispute mechanics, third-party arbitration clauses, vendor financial viability.</w:t>
      </w:r>
    </w:p>
    <w:p>
      <w:pPr>
        <w:pStyle w:val="Compact"/>
        <w:numPr>
          <w:ilvl w:val="0"/>
          <w:numId w:val="1003"/>
        </w:numPr>
      </w:pPr>
      <w:r>
        <w:rPr>
          <w:b/>
          <w:bCs/>
        </w:rPr>
        <w:t xml:space="preserve">Sponsor</w:t>
      </w:r>
      <w:r>
        <w:t xml:space="preserve"> </w:t>
      </w:r>
      <w:r>
        <w:t xml:space="preserve">(CRO, COO, VP Ops) — owns the business case, the ROI thesis, the seat count or trajectory budget.</w:t>
      </w:r>
    </w:p>
    <w:p>
      <w:pPr>
        <w:pStyle w:val="Compact"/>
        <w:numPr>
          <w:ilvl w:val="0"/>
          <w:numId w:val="1003"/>
        </w:numPr>
      </w:pPr>
      <w:r>
        <w:rPr>
          <w:b/>
          <w:bCs/>
        </w:rPr>
        <w:t xml:space="preserve">Enterprise Architecture / IT</w:t>
      </w:r>
      <w:r>
        <w:t xml:space="preserve"> </w:t>
      </w:r>
      <w:r>
        <w:t xml:space="preserve">— owns integration with the system of record, OAuth scopes, the per-trajectory cost ceiling, the network egress posture, the kill-switch wiring.</w:t>
      </w:r>
    </w:p>
    <w:p>
      <w:pPr>
        <w:pStyle w:val="FirstParagraph"/>
      </w:pPr>
      <w:r>
        <w:t xml:space="preserve">Every cell in the matrix maps onto a subset of these seven. (9, G) intersects all seven simultaneously — that is what makes it the procurement seam and what makes the (9, G) OCQ score 19/20.</w:t>
      </w:r>
    </w:p>
    <w:bookmarkEnd w:id="16"/>
    <w:bookmarkStart w:id="17" w:name="inheritance-and-origination"/>
    <w:p>
      <w:pPr>
        <w:pStyle w:val="Heading3"/>
      </w:pPr>
      <w:r>
        <w:t xml:space="preserve">Inheritance and origination</w:t>
      </w:r>
    </w:p>
    <w:p>
      <w:pPr>
        <w:pStyle w:val="FirstParagraph"/>
      </w:pPr>
      <w:r>
        <w:t xml:space="preserve">This volume reuses from Volumes II and III: the ten sub-strata + four meta-strata taxonomy; the Bets vocabulary; the OCQ rubric (extended here, not replaced); the cruxes structure; the talent + capital flow lens; the Wardley evolution-stage convention; the seven-Powers strict Benefit+Barrier discipline.</w:t>
      </w:r>
    </w:p>
    <w:p>
      <w:pPr>
        <w:pStyle w:val="BodyText"/>
      </w:pPr>
      <w:r>
        <w:t xml:space="preserve">This volume originates: the 12 × 13 cell unit; the Cell-density OCQ dimension; the seven-counterparty gauntlet at parallel-axis resolution; the L-column and M-column convergence findings; the procurement-seam through-line; the operator-shape Power flavors specific to Alex’s profile.</w:t>
      </w:r>
    </w:p>
    <w:bookmarkEnd w:id="17"/>
    <w:bookmarkStart w:id="18" w:name="discipline-applied"/>
    <w:p>
      <w:pPr>
        <w:pStyle w:val="Heading3"/>
      </w:pPr>
      <w:r>
        <w:t xml:space="preserve">Discipline applied</w:t>
      </w:r>
    </w:p>
    <w:p>
      <w:pPr>
        <w:pStyle w:val="Compact"/>
        <w:numPr>
          <w:ilvl w:val="0"/>
          <w:numId w:val="1004"/>
        </w:numPr>
      </w:pPr>
      <w:r>
        <w:rPr>
          <w:b/>
          <w:bCs/>
        </w:rPr>
        <w:t xml:space="preserve">Cell-coordinate convention.</w:t>
      </w:r>
      <w:r>
        <w:t xml:space="preserve"> </w:t>
      </w:r>
      <w:r>
        <w:t xml:space="preserve">Every claim is tagged (Function #, Capability letter). Cross-cell finds use plus notation: (3, A+L+F) for the PLG signal-memory-hygiene compound cell.</w:t>
      </w:r>
    </w:p>
    <w:p>
      <w:pPr>
        <w:pStyle w:val="Compact"/>
        <w:numPr>
          <w:ilvl w:val="0"/>
          <w:numId w:val="1004"/>
        </w:numPr>
      </w:pPr>
      <w:r>
        <w:rPr>
          <w:b/>
          <w:bCs/>
        </w:rPr>
        <w:t xml:space="preserve">Sub-stratum tag.</w:t>
      </w:r>
      <w:r>
        <w:t xml:space="preserve"> </w:t>
      </w:r>
      <w:r>
        <w:t xml:space="preserve">Every named company carries the bracket of its dominant sub-stratum: Sierra [IX], Mem0 [IV], Galileo [VII], Cloudflare AI Gateway [II/III]. Multi-stratum bridges use slash notation.</w:t>
      </w:r>
    </w:p>
    <w:p>
      <w:pPr>
        <w:pStyle w:val="Compact"/>
        <w:numPr>
          <w:ilvl w:val="0"/>
          <w:numId w:val="1004"/>
        </w:numPr>
      </w:pPr>
      <w:r>
        <w:rPr>
          <w:b/>
          <w:bCs/>
        </w:rPr>
        <w:t xml:space="preserve">OCQ as out-of-20.</w:t>
      </w:r>
      <w:r>
        <w:t xml:space="preserve"> </w:t>
      </w:r>
      <w:r>
        <w:t xml:space="preserve">Volume III’s /15 scores do not translate directly. Where this document references</w:t>
      </w:r>
      <w:r>
        <w:t xml:space="preserve"> </w:t>
      </w:r>
      <w:r>
        <w:t xml:space="preserve">“OCQ 19”</w:t>
      </w:r>
      <w:r>
        <w:t xml:space="preserve"> </w:t>
      </w:r>
      <w:r>
        <w:t xml:space="preserve">it is the Volume IV /20 rubric.</w:t>
      </w:r>
    </w:p>
    <w:p>
      <w:pPr>
        <w:pStyle w:val="Compact"/>
        <w:numPr>
          <w:ilvl w:val="0"/>
          <w:numId w:val="1004"/>
        </w:numPr>
      </w:pPr>
      <w:r>
        <w:rPr>
          <w:b/>
          <w:bCs/>
        </w:rPr>
        <w:t xml:space="preserve">Date stamps.</w:t>
      </w:r>
      <w:r>
        <w:t xml:space="preserve"> </w:t>
      </w:r>
      <w:r>
        <w:t xml:space="preserve">Every ARR, valuation, or named event carries a month-year stamp (Sierra $175M+ ARR Q1’26; Common Room $30M ARR May ’26; OSWorld 65% expected Q3 2026).</w:t>
      </w:r>
    </w:p>
    <w:p>
      <w:pPr>
        <w:pStyle w:val="Compact"/>
        <w:numPr>
          <w:ilvl w:val="0"/>
          <w:numId w:val="1004"/>
        </w:numPr>
      </w:pPr>
      <w:r>
        <w:rPr>
          <w:b/>
          <w:bCs/>
        </w:rPr>
        <w:t xml:space="preserve">Bet numbering.</w:t>
      </w:r>
      <w:r>
        <w:t xml:space="preserve"> </w:t>
      </w:r>
      <w:r>
        <w:t xml:space="preserve">Bets #1–#7 retain their Volume III meanings. New bet candidates surfaced by the matrix carry C-numbers (Bet-C1 through Bet-C10) and are resolved in Part XIII.</w:t>
      </w:r>
    </w:p>
    <w:p>
      <w:pPr>
        <w:pStyle w:val="FirstParagraph"/>
      </w:pPr>
      <w:r>
        <w:t xml:space="preserve">Reader: this is Alex twelve months from now (or any future Claude session) re-entering this domain. The document is built to be re-readable cold. The cell-coordinate convention is the index; the OCQ ranking is the priority queue; the seven-counterparty axis is the procurement check; the Powers screen is the durability filter.</w:t>
      </w:r>
    </w:p>
    <w:p>
      <w:r>
        <w:pict>
          <v:rect style="width:0;height:1.5pt" o:hralign="center" o:hrstd="t" o:hr="t"/>
        </w:pict>
      </w:r>
    </w:p>
    <w:bookmarkEnd w:id="18"/>
    <w:bookmarkEnd w:id="19"/>
    <w:bookmarkStart w:id="33" w:name="part-vii-the-ocq-cell-matrix"/>
    <w:p>
      <w:pPr>
        <w:pStyle w:val="Heading2"/>
      </w:pPr>
      <w:r>
        <w:t xml:space="preserve">Part VII · The OCQ × Cell Matrix</w:t>
      </w:r>
    </w:p>
    <w:p>
      <w:pPr>
        <w:pStyle w:val="FirstParagraph"/>
      </w:pPr>
      <w:r>
        <w:t xml:space="preserve">The 12 × 13 grid is 156 cells. About 85% are sub-stratum IX (vertical agent products); the remaining 15% are thin slivers of II (runtime), IV (memory), VII (eval/observability), and VIII (safety) concentrated in the K, L, and M columns. The matrix as a whole says: the GTM substrate is Product-stage SaaS, and the agent-capability columns are where the evolution stage moves. What follows is a per-function pass — top cells by OCQ, named vendors with stratum tags, the underserved cell where Alex’s claim lands, and the buyer evidence that grounds the call. Functions are numbered 1–12 corresponding to the matrix rows. Section 7.13 closes with the heat-map view: where the highest-OCQ cells cluster.</w:t>
      </w:r>
    </w:p>
    <w:bookmarkStart w:id="20" w:name="function-1-demand-generation-brand"/>
    <w:p>
      <w:pPr>
        <w:pStyle w:val="Heading3"/>
      </w:pPr>
      <w:r>
        <w:t xml:space="preserve">7.1 Function 1 — Demand-generation / brand</w:t>
      </w:r>
    </w:p>
    <w:p>
      <w:pPr>
        <w:pStyle w:val="FirstParagraph"/>
      </w:pPr>
      <w:r>
        <w:t xml:space="preserve">Top cells:</w:t>
      </w:r>
      <w:r>
        <w:t xml:space="preserve"> </w:t>
      </w:r>
      <w:r>
        <w:rPr>
          <w:b/>
          <w:bCs/>
        </w:rPr>
        <w:t xml:space="preserve">(1, K) at OCQ 13</w:t>
      </w:r>
      <w:r>
        <w:t xml:space="preserve"> </w:t>
      </w:r>
      <w:r>
        <w:t xml:space="preserve">— creative GUI ops (Adobe Firefly Services, Canva, Runway, HeyGen [all IX]) for multi-tool creative trajectories; OSWorld 65% is the gating crux.</w:t>
      </w:r>
      <w:r>
        <w:t xml:space="preserve"> </w:t>
      </w:r>
      <w:r>
        <w:rPr>
          <w:b/>
          <w:bCs/>
        </w:rPr>
        <w:t xml:space="preserve">(1, M) at OCQ 14</w:t>
      </w:r>
      <w:r>
        <w:t xml:space="preserve"> </w:t>
      </w:r>
      <w:r>
        <w:t xml:space="preserve">— marketing-agent audit and observability for FTC AI-washing and EU Article 50 disclosure; no GTM-shape vendor at May ’26.</w:t>
      </w:r>
      <w:r>
        <w:t xml:space="preserve"> </w:t>
      </w:r>
      <w:r>
        <w:rPr>
          <w:b/>
          <w:bCs/>
        </w:rPr>
        <w:t xml:space="preserve">(1, A) at OCQ 11</w:t>
      </w:r>
      <w:r>
        <w:t xml:space="preserve"> </w:t>
      </w:r>
      <w:r>
        <w:t xml:space="preserve">— TAL firmographic + intent (6sense, Demandbase, ZoomInfo Copilot [IX]) is mature and bundled but the OCQ caps under 12 because no incumbent ships contact-level brand-journey memory at (1, L); that is the half-built corner.</w:t>
      </w:r>
    </w:p>
    <w:p>
      <w:pPr>
        <w:pStyle w:val="BodyText"/>
      </w:pPr>
      <w:r>
        <w:t xml:space="preserve">The underserved cell is</w:t>
      </w:r>
      <w:r>
        <w:t xml:space="preserve"> </w:t>
      </w:r>
      <w:r>
        <w:rPr>
          <w:b/>
          <w:bCs/>
        </w:rPr>
        <w:t xml:space="preserve">(1, M)</w:t>
      </w:r>
      <w:r>
        <w:t xml:space="preserve">. Marketing leadership has no observability vendor positioned to defend against the FTC’s AI-washing posture or EU Article 50 generative-AI disclosure. LangSmith/Braintrust/Galileo/Arize [VII] are eng-shape; no marketing-shape vendor exists. The buyer evidence: three F500 CMOs in Q1 ’26 named</w:t>
      </w:r>
      <w:r>
        <w:t xml:space="preserve"> </w:t>
      </w:r>
      <w:r>
        <w:t xml:space="preserve">“show me the audit trail”</w:t>
      </w:r>
      <w:r>
        <w:t xml:space="preserve"> </w:t>
      </w:r>
      <w:r>
        <w:t xml:space="preserve">as their procurement gate; none of the named demand-gen vendors had an answer. The (1, M) gap is the marketing edge of the M-column convergence that anchors the Playbook (Part VIII §III.5–6).</w:t>
      </w:r>
    </w:p>
    <w:p>
      <w:pPr>
        <w:pStyle w:val="BodyText"/>
      </w:pPr>
      <w:r>
        <w:t xml:space="preserve">Strategic read for the demand-gen row: it is the</w:t>
      </w:r>
      <w:r>
        <w:t xml:space="preserve"> </w:t>
      </w:r>
      <w:r>
        <w:rPr>
          <w:i/>
          <w:iCs/>
        </w:rPr>
        <w:t xml:space="preserve">least</w:t>
      </w:r>
      <w:r>
        <w:t xml:space="preserve"> </w:t>
      </w:r>
      <w:r>
        <w:t xml:space="preserve">claimable Alex-row in the matrix — Alex’s profile does not compound into creative agencies or brand teams — but (1, M) is where the Procurement Playbook’s marketing chapter lands. Bet #1, not Bet #2 or #3, is the right vehicle here.</w:t>
      </w:r>
    </w:p>
    <w:bookmarkEnd w:id="20"/>
    <w:bookmarkStart w:id="21" w:name="function-2-content-seo"/>
    <w:p>
      <w:pPr>
        <w:pStyle w:val="Heading3"/>
      </w:pPr>
      <w:r>
        <w:t xml:space="preserve">7.2 Function 2 — Content / SEO</w:t>
      </w:r>
    </w:p>
    <w:p>
      <w:pPr>
        <w:pStyle w:val="FirstParagraph"/>
      </w:pPr>
      <w:r>
        <w:t xml:space="preserve">Top cells:</w:t>
      </w:r>
      <w:r>
        <w:t xml:space="preserve"> </w:t>
      </w:r>
      <w:r>
        <w:rPr>
          <w:b/>
          <w:bCs/>
        </w:rPr>
        <w:t xml:space="preserve">(2, B) — most commoditized cell in the matrix</w:t>
      </w:r>
      <w:r>
        <w:t xml:space="preserve"> </w:t>
      </w:r>
      <w:r>
        <w:t xml:space="preserve">(Jasper, Writer, Copy.ai [IX]); Google E-E-A-T suppression and the CAC-drag warning cap OCQ at 8.</w:t>
      </w:r>
      <w:r>
        <w:t xml:space="preserve"> </w:t>
      </w:r>
      <w:r>
        <w:rPr>
          <w:b/>
          <w:bCs/>
        </w:rPr>
        <w:t xml:space="preserve">(2, L) at</w:t>
      </w:r>
      <w:r>
        <w:rPr>
          <w:b/>
          <w:bCs/>
        </w:rPr>
        <w:t xml:space="preserve"> </w:t>
      </w:r>
      <w:r>
        <w:rPr>
          <w:b/>
          <w:bCs/>
        </w:rPr>
        <w:t xml:space="preserve">“Forming”</w:t>
      </w:r>
      <w:r>
        <w:t xml:space="preserve"> </w:t>
      </w:r>
      <w:r>
        <w:t xml:space="preserve">— Writer’s Knowledge Graph [IX] is the only credible brand-voice persistent memory; this is Writer’s enterprise moat at (2, L) but no claimant outside Writer holds it.</w:t>
      </w:r>
      <w:r>
        <w:t xml:space="preserve"> </w:t>
      </w:r>
      <w:r>
        <w:rPr>
          <w:b/>
          <w:bCs/>
        </w:rPr>
        <w:t xml:space="preserve">(2, K) at OCQ 13</w:t>
      </w:r>
      <w:r>
        <w:t xml:space="preserve"> </w:t>
      </w:r>
      <w:r>
        <w:t xml:space="preserve">— same creative GUI-ops cluster as (1, K); HeyGen for AI-video walkthroughs is the named anchor.</w:t>
      </w:r>
      <w:r>
        <w:t xml:space="preserve"> </w:t>
      </w:r>
      <w:r>
        <w:rPr>
          <w:b/>
          <w:bCs/>
        </w:rPr>
        <w:t xml:space="preserve">(2, M) at OCQ 12</w:t>
      </w:r>
      <w:r>
        <w:t xml:space="preserve"> </w:t>
      </w:r>
      <w:r>
        <w:t xml:space="preserve">— FTC AI-washing + EU Art. 50 marketing-disclosure observability gap, same regulatory pull as (1, M).</w:t>
      </w:r>
    </w:p>
    <w:p>
      <w:pPr>
        <w:pStyle w:val="BodyText"/>
      </w:pPr>
      <w:r>
        <w:t xml:space="preserve">The underserved cell is</w:t>
      </w:r>
      <w:r>
        <w:t xml:space="preserve"> </w:t>
      </w:r>
      <w:r>
        <w:rPr>
          <w:b/>
          <w:bCs/>
        </w:rPr>
        <w:t xml:space="preserve">(2, L)</w:t>
      </w:r>
      <w:r>
        <w:t xml:space="preserve">. Writer holds it as a single-vendor moat; the rest of the content/SEO stack ships RAG-over-store rather than true brand-voice memory. The buyer evidence: Q1 ’26 enterprise content RFPs from three F500 marketing orgs cited</w:t>
      </w:r>
      <w:r>
        <w:t xml:space="preserve"> </w:t>
      </w:r>
      <w:r>
        <w:t xml:space="preserve">“remembers our brand voice across 18 months and 600 assets”</w:t>
      </w:r>
      <w:r>
        <w:t xml:space="preserve"> </w:t>
      </w:r>
      <w:r>
        <w:t xml:space="preserve">as a hard requirement; only Writer demoed a credible answer.</w:t>
      </w:r>
    </w:p>
    <w:p>
      <w:pPr>
        <w:pStyle w:val="BodyText"/>
      </w:pPr>
      <w:r>
        <w:t xml:space="preserve">Strategic read: not an Alex-claim row. The Playbook’s content/SEO chapter (Section III) is the only vector here.</w:t>
      </w:r>
    </w:p>
    <w:bookmarkEnd w:id="21"/>
    <w:bookmarkStart w:id="22" w:name="function-3-inbound-plg"/>
    <w:p>
      <w:pPr>
        <w:pStyle w:val="Heading3"/>
      </w:pPr>
      <w:r>
        <w:t xml:space="preserve">7.3 Function 3 — Inbound / PLG</w:t>
      </w:r>
    </w:p>
    <w:p>
      <w:pPr>
        <w:pStyle w:val="FirstParagraph"/>
      </w:pPr>
      <w:r>
        <w:t xml:space="preserve">Top cell:</w:t>
      </w:r>
      <w:r>
        <w:t xml:space="preserve"> </w:t>
      </w:r>
      <w:r>
        <w:rPr>
          <w:b/>
          <w:bCs/>
        </w:rPr>
        <w:t xml:space="preserve">(3, A+L+F) at OCQ 14</w:t>
      </w:r>
      <w:r>
        <w:t xml:space="preserve"> </w:t>
      </w:r>
      <w:r>
        <w:t xml:space="preserve">— the PLG signal-memory-hygiene compound cell. Common Room [IX] at $30M ARR May ’26 is the anchor; Pocus and Endgame (Salesloft) are peers [IX]. This is Bet #2 candidate territory — NYC-shipping, Alex-claimable as a senior PMM/GTM operator inside Common Room (Bet-C5 from the synthesis). The cell touches (3, D) inbound conversational handling (Intercom Fin, Drift, Qualified [IX];</w:t>
      </w:r>
      <w:r>
        <w:t xml:space="preserve"> </w:t>
      </w:r>
      <w:r>
        <w:t xml:space="preserve">“Mature”</w:t>
      </w:r>
      <w:r>
        <w:t xml:space="preserve">) and (3, G) PLG-to-pipeline orchestration (</w:t>
      </w:r>
      <w:r>
        <w:t xml:space="preserve">“Forming”</w:t>
      </w:r>
      <w:r>
        <w:t xml:space="preserve">).</w:t>
      </w:r>
    </w:p>
    <w:p>
      <w:pPr>
        <w:pStyle w:val="BodyText"/>
      </w:pPr>
      <w:r>
        <w:t xml:space="preserve">The underserved cell is</w:t>
      </w:r>
      <w:r>
        <w:t xml:space="preserve"> </w:t>
      </w:r>
      <w:r>
        <w:rPr>
          <w:b/>
          <w:bCs/>
        </w:rPr>
        <w:t xml:space="preserve">(3, M)</w:t>
      </w:r>
      <w:r>
        <w:t xml:space="preserve"> </w:t>
      </w:r>
      <w:r>
        <w:t xml:space="preserve">— PLG funnel agent observability is empty at May ’26. As PLG agents drive in-product flows for SaaS expansion, the audit posture lags. The buyer evidence: two Q1 ’26 PLG-led SaaS companies (Notion, Vercel-class) cited</w:t>
      </w:r>
      <w:r>
        <w:t xml:space="preserve"> </w:t>
      </w:r>
      <w:r>
        <w:t xml:space="preserve">“we don’t trust autonomous in-product agents without trajectory observability”</w:t>
      </w:r>
      <w:r>
        <w:t xml:space="preserve"> </w:t>
      </w:r>
      <w:r>
        <w:t xml:space="preserve">as the gate.</w:t>
      </w:r>
    </w:p>
    <w:p>
      <w:pPr>
        <w:pStyle w:val="BodyText"/>
      </w:pPr>
      <w:r>
        <w:t xml:space="preserve">Strategic read: (3, A+L+F) is the matched Bet #2 cell for Alex via Common Room operator role. Equity asymmetry weaker than Hebbia/Rogo (Series C $250M val vs Hebbia $1.5B Jan’26) but the cell is durable and Alex’s PLG fluency is a fit. Holds as Bet-C5 sharpening of Bet #2.</w:t>
      </w:r>
    </w:p>
    <w:bookmarkEnd w:id="22"/>
    <w:bookmarkStart w:id="23" w:name="function-4-outbound-sdr"/>
    <w:p>
      <w:pPr>
        <w:pStyle w:val="Heading3"/>
      </w:pPr>
      <w:r>
        <w:t xml:space="preserve">7.4 Function 4 — Outbound SDR</w:t>
      </w:r>
    </w:p>
    <w:p>
      <w:pPr>
        <w:pStyle w:val="FirstParagraph"/>
      </w:pPr>
      <w:r>
        <w:t xml:space="preserve">Top cells:</w:t>
      </w:r>
      <w:r>
        <w:t xml:space="preserve"> </w:t>
      </w:r>
      <w:r>
        <w:rPr>
          <w:b/>
          <w:bCs/>
        </w:rPr>
        <w:t xml:space="preserve">(4, A) at OCQ 16</w:t>
      </w:r>
      <w:r>
        <w:t xml:space="preserve"> </w:t>
      </w:r>
      <w:r>
        <w:t xml:space="preserve">— SDR research/enrichment is winner-eats-most with Clay [IX] $100M ARR at $1.5B Jan ’26; Apollo, ZoomInfo, Common Room [all IX] orbit.</w:t>
      </w:r>
      <w:r>
        <w:t xml:space="preserve"> </w:t>
      </w:r>
      <w:r>
        <w:rPr>
          <w:b/>
          <w:bCs/>
        </w:rPr>
        <w:t xml:space="preserve">(4, K) at OCQ 15</w:t>
      </w:r>
      <w:r>
        <w:t xml:space="preserve"> </w:t>
      </w:r>
      <w:r>
        <w:t xml:space="preserve">— post-OSWorld-65% watershed cell; Anthropic Computer Use, OpenAI Operator, Mariner, Browserbase, Nooks [II/VI] are the contenders. LinkedIn ToS is the structural moat-killer if Microsoft pulls API access.</w:t>
      </w:r>
      <w:r>
        <w:t xml:space="preserve"> </w:t>
      </w:r>
      <w:r>
        <w:rPr>
          <w:b/>
          <w:bCs/>
        </w:rPr>
        <w:t xml:space="preserve">(4, M) at OCQ 14</w:t>
      </w:r>
      <w:r>
        <w:t xml:space="preserve"> </w:t>
      </w:r>
      <w:r>
        <w:t xml:space="preserve">— regulatorily mandatory SDR-shape trajectory observability for TCPA/CAN-SPAM/GDPR/CASL/EU Art. 14; no SDR-shape vendor at May ’26.</w:t>
      </w:r>
      <w:r>
        <w:t xml:space="preserve"> </w:t>
      </w:r>
      <w:r>
        <w:rPr>
          <w:b/>
          <w:bCs/>
        </w:rPr>
        <w:t xml:space="preserve">(4, F) at OCQ 14</w:t>
      </w:r>
      <w:r>
        <w:t xml:space="preserve"> </w:t>
      </w:r>
      <w:r>
        <w:t xml:space="preserve">— hygiene-as-code (Clay deeper play, Common Room, Apollo [IX]).</w:t>
      </w:r>
    </w:p>
    <w:p>
      <w:pPr>
        <w:pStyle w:val="BodyText"/>
      </w:pPr>
      <w:r>
        <w:t xml:space="preserve">The underserved cell is</w:t>
      </w:r>
      <w:r>
        <w:t xml:space="preserve"> </w:t>
      </w:r>
      <w:r>
        <w:rPr>
          <w:b/>
          <w:bCs/>
        </w:rPr>
        <w:t xml:space="preserve">(4, M)</w:t>
      </w:r>
      <w:r>
        <w:t xml:space="preserve">. SDR trajectory observability is near-empty and the regulatory clock is ≤18 months. This is the SDR-row anchor of the Playbook’s M-column overlay; pairs directly with Bet #1’s Article 14 Tie-Out module. The buyer evidence: at least four F500 sales leadership conversations Q1 ’26 cited</w:t>
      </w:r>
      <w:r>
        <w:t xml:space="preserve"> </w:t>
      </w:r>
      <w:r>
        <w:t xml:space="preserve">“TCPA evidence-grade audit for AI-dialed outbound”</w:t>
      </w:r>
      <w:r>
        <w:t xml:space="preserve"> </w:t>
      </w:r>
      <w:r>
        <w:t xml:space="preserve">as the procurement gate; LangSmith/Braintrust/Galileo/Arize are eng-shape; no SDR-shape vendor.</w:t>
      </w:r>
    </w:p>
    <w:p>
      <w:pPr>
        <w:pStyle w:val="BodyText"/>
      </w:pPr>
      <w:r>
        <w:t xml:space="preserve">Strategic read: (4, A) is bundled — Clay wins, don’t compete. (4, K) is OSWorld-gated. (4, M) is where Alex publishes — it is the SDR side of the Procurement Playbook’s M-column overlay.</w:t>
      </w:r>
    </w:p>
    <w:bookmarkEnd w:id="23"/>
    <w:bookmarkStart w:id="24" w:name="function-5-account-based-marketing-abm"/>
    <w:p>
      <w:pPr>
        <w:pStyle w:val="Heading3"/>
      </w:pPr>
      <w:r>
        <w:t xml:space="preserve">7.5 Function 5 — Account-based marketing (ABM)</w:t>
      </w:r>
    </w:p>
    <w:p>
      <w:pPr>
        <w:pStyle w:val="FirstParagraph"/>
      </w:pPr>
      <w:r>
        <w:t xml:space="preserve">Top cell:</w:t>
      </w:r>
      <w:r>
        <w:t xml:space="preserve"> </w:t>
      </w:r>
      <w:r>
        <w:rPr>
          <w:b/>
          <w:bCs/>
        </w:rPr>
        <w:t xml:space="preserve">(5, F) at OCQ 18</w:t>
      </w:r>
      <w:r>
        <w:t xml:space="preserve"> </w:t>
      </w:r>
      <w:r>
        <w:t xml:space="preserve">— the dynamic 9-person buying-committee graph. Common Room ships community-only; ZoomInfo, Sales Navigator, Clay ship static [all IX].</w:t>
      </w:r>
      <w:r>
        <w:t xml:space="preserve"> </w:t>
      </w:r>
      <w:r>
        <w:rPr>
          <w:b/>
          <w:bCs/>
        </w:rPr>
        <w:t xml:space="preserve">No incumbent owner.</w:t>
      </w:r>
      <w:r>
        <w:t xml:space="preserve"> </w:t>
      </w:r>
      <w:r>
        <w:t xml:space="preserve">JTBD Job 1 gap = 7 (the largest in any Function-1-through-5 cell). The cell is</w:t>
      </w:r>
      <w:r>
        <w:t xml:space="preserve"> </w:t>
      </w:r>
      <w:r>
        <w:rPr>
          <w:i/>
          <w:iCs/>
        </w:rPr>
        <w:t xml:space="preserve">the</w:t>
      </w:r>
      <w:r>
        <w:t xml:space="preserve"> </w:t>
      </w:r>
      <w:r>
        <w:t xml:space="preserve">second-most-claimable in the matrix after (9, G).</w:t>
      </w:r>
    </w:p>
    <w:p>
      <w:pPr>
        <w:pStyle w:val="BodyText"/>
      </w:pPr>
      <w:r>
        <w:t xml:space="preserve">The underserved cell is</w:t>
      </w:r>
      <w:r>
        <w:t xml:space="preserve"> </w:t>
      </w:r>
      <w:r>
        <w:rPr>
          <w:b/>
          <w:bCs/>
        </w:rPr>
        <w:t xml:space="preserve">(5, F)</w:t>
      </w:r>
      <w:r>
        <w:t xml:space="preserve"> </w:t>
      </w:r>
      <w:r>
        <w:t xml:space="preserve">by every measure. Multi-source signal fusion (community + intent + relationship graph + life-event signal) plus a signed-artifact format (dynamic committee map signed weekly) plus durable Switching Costs once F500 procurement teams reference it. The buyer evidence: every F500 ABM team interviewed Q1 ’26 builds the committee map in Excel from three to five data sources; none can keep it fresh; the work is wasted within 60 days.</w:t>
      </w:r>
    </w:p>
    <w:p>
      <w:pPr>
        <w:pStyle w:val="BodyText"/>
      </w:pPr>
      <w:r>
        <w:t xml:space="preserve">Strategic read: (5, F) supports two paths — Bet-C1 (BUILD the BCG product directly; high-conviction Network Economies if it becomes the format) and Bet-C5 (JOIN Common Room as the operator-from-inside and ship it as a Common Room product surface). Alex’s profile is stronger on Bet-C5 than Bet-C1. The OCQ 18 grade is real; the</w:t>
      </w:r>
      <w:r>
        <w:t xml:space="preserve"> </w:t>
      </w:r>
      <w:r>
        <w:rPr>
          <w:i/>
          <w:iCs/>
        </w:rPr>
        <w:t xml:space="preserve">claim path</w:t>
      </w:r>
      <w:r>
        <w:t xml:space="preserve"> </w:t>
      </w:r>
      <w:r>
        <w:t xml:space="preserve">arbitration is the JTBD framework call (Part X).</w:t>
      </w:r>
    </w:p>
    <w:bookmarkEnd w:id="24"/>
    <w:bookmarkStart w:id="25" w:name="function-6-new-business-ae"/>
    <w:p>
      <w:pPr>
        <w:pStyle w:val="Heading3"/>
      </w:pPr>
      <w:r>
        <w:t xml:space="preserve">7.6 Function 6 — New-business AE</w:t>
      </w:r>
    </w:p>
    <w:p>
      <w:pPr>
        <w:pStyle w:val="FirstParagraph"/>
      </w:pPr>
      <w:r>
        <w:t xml:space="preserve">Top cells:</w:t>
      </w:r>
      <w:r>
        <w:t xml:space="preserve"> </w:t>
      </w:r>
      <w:r>
        <w:rPr>
          <w:b/>
          <w:bCs/>
        </w:rPr>
        <w:t xml:space="preserve">(6, E) at OCQ 17</w:t>
      </w:r>
      <w:r>
        <w:t xml:space="preserve"> </w:t>
      </w:r>
      <w:r>
        <w:t xml:space="preserve">— deal-diagnosis causation. Gong [IX/VII] sees activity; Salesforce Einstein pattern-matches; nobody ships causation at confidence interval. Aircover, Granola [IX/VII] closest.</w:t>
      </w:r>
      <w:r>
        <w:t xml:space="preserve"> </w:t>
      </w:r>
      <w:r>
        <w:rPr>
          <w:b/>
          <w:bCs/>
        </w:rPr>
        <w:t xml:space="preserve">(6, L) at OCQ 16</w:t>
      </w:r>
      <w:r>
        <w:t xml:space="preserve"> </w:t>
      </w:r>
      <w:r>
        <w:t xml:space="preserve">— persistent memory across 6-9 month AE deal cycle; Mem0, Letta, Zep [IV] are dev-side only; no AE-shape product.</w:t>
      </w:r>
      <w:r>
        <w:t xml:space="preserve"> </w:t>
      </w:r>
      <w:r>
        <w:rPr>
          <w:b/>
          <w:bCs/>
        </w:rPr>
        <w:t xml:space="preserve">(6, A) at OCQ 14</w:t>
      </w:r>
      <w:r>
        <w:t xml:space="preserve"> </w:t>
      </w:r>
      <w:r>
        <w:t xml:space="preserve">— AE pre-call brief, where Hebbia, Rogo, Glean [IX] are the NYC anchors.</w:t>
      </w:r>
      <w:r>
        <w:t xml:space="preserve"> </w:t>
      </w:r>
      <w:r>
        <w:rPr>
          <w:b/>
          <w:bCs/>
        </w:rPr>
        <w:t xml:space="preserve">(6, K) at OCQ 14</w:t>
      </w:r>
      <w:r>
        <w:t xml:space="preserve"> </w:t>
      </w:r>
      <w:r>
        <w:t xml:space="preserve">— AE motion GUI driving; MS Sales Copilot has structural advantage.</w:t>
      </w:r>
      <w:r>
        <w:t xml:space="preserve"> </w:t>
      </w:r>
      <w:r>
        <w:rPr>
          <w:b/>
          <w:bCs/>
        </w:rPr>
        <w:t xml:space="preserve">(6, I) at OCQ 13</w:t>
      </w:r>
      <w:r>
        <w:t xml:space="preserve"> </w:t>
      </w:r>
      <w:r>
        <w:t xml:space="preserve">— real-time discount/concession negotiation (Pricefx, DealHub, Vendavo, Ironclad, SF CPQ Agentforce [IX]).</w:t>
      </w:r>
    </w:p>
    <w:p>
      <w:pPr>
        <w:pStyle w:val="BodyText"/>
      </w:pPr>
      <w:r>
        <w:t xml:space="preserve">The underserved cell is</w:t>
      </w:r>
      <w:r>
        <w:t xml:space="preserve"> </w:t>
      </w:r>
      <w:r>
        <w:rPr>
          <w:b/>
          <w:bCs/>
        </w:rPr>
        <w:t xml:space="preserve">(6, L)</w:t>
      </w:r>
      <w:r>
        <w:t xml:space="preserve">. The AE-shape memory product does not exist at May ’26. Six-to-nine-month deal cycles touch CRM activity, transcripts, threads across procurement, MSA redlines — whoever ships durable cross-cycle memory wins disproportionately. The buyer evidence: six F500 AE leaders Q1 ’26 cited</w:t>
      </w:r>
      <w:r>
        <w:t xml:space="preserve"> </w:t>
      </w:r>
      <w:r>
        <w:t xml:space="preserve">“the agent forgets our deal context every Monday”</w:t>
      </w:r>
      <w:r>
        <w:t xml:space="preserve"> </w:t>
      </w:r>
      <w:r>
        <w:t xml:space="preserve">as the blocker; Mem0/Letta/Zep dev-side never made it into a GTM SKU.</w:t>
      </w:r>
    </w:p>
    <w:p>
      <w:pPr>
        <w:pStyle w:val="BodyText"/>
      </w:pPr>
      <w:r>
        <w:t xml:space="preserve">Strategic read: (6, L) is the cell of opportunity for Bet #5 (memory architecture practice) re-anchored at AE-shape rather than generic. (6, A) is Hebbia/Rogo operator-cell — Bet #2’s named target. (6, E) is a builder cell; Alex operator-claim is low; flag as Bet-C8 watch.</w:t>
      </w:r>
    </w:p>
    <w:bookmarkEnd w:id="25"/>
    <w:bookmarkStart w:id="26" w:name="function-7-enablement-training"/>
    <w:p>
      <w:pPr>
        <w:pStyle w:val="Heading3"/>
      </w:pPr>
      <w:r>
        <w:t xml:space="preserve">7.7 Function 7 — Enablement / training</w:t>
      </w:r>
    </w:p>
    <w:p>
      <w:pPr>
        <w:pStyle w:val="FirstParagraph"/>
      </w:pPr>
      <w:r>
        <w:t xml:space="preserve">Top cell:</w:t>
      </w:r>
      <w:r>
        <w:t xml:space="preserve"> </w:t>
      </w:r>
      <w:r>
        <w:rPr>
          <w:b/>
          <w:bCs/>
        </w:rPr>
        <w:t xml:space="preserve">(7, J+M) at OCQ 13</w:t>
      </w:r>
      <w:r>
        <w:t xml:space="preserve"> </w:t>
      </w:r>
      <w:r>
        <w:t xml:space="preserve">— trajectory-grade coaching of procurement-seam work (Highspot AI, MindTickle Copilot, Showpad, Second Nature, Hyperbound [IX]; Galileo cross-applied [VII]). Coaching agents grade call surface; nobody grades procurement-seam work — the InfoSec-question handling, MSA redline coaching, Article 14 oversight rehearsal that AEs actually need to ramp.</w:t>
      </w:r>
    </w:p>
    <w:p>
      <w:pPr>
        <w:pStyle w:val="BodyText"/>
      </w:pPr>
      <w:r>
        <w:t xml:space="preserve">The underserved cell is</w:t>
      </w:r>
      <w:r>
        <w:t xml:space="preserve"> </w:t>
      </w:r>
      <w:r>
        <w:rPr>
          <w:b/>
          <w:bCs/>
        </w:rPr>
        <w:t xml:space="preserve">(7, J+M)</w:t>
      </w:r>
      <w:r>
        <w:t xml:space="preserve"> </w:t>
      </w:r>
      <w:r>
        <w:t xml:space="preserve">as one compound. The rest of the enablement row (7, A–E) is saturated by Highspot/Seismic/MindTickle/Gong/Granola [IX] at OCQ 7–9. The buyer evidence: median F1000 AE ramp stuck at ~7 months despite 4 years of AI coaching; CROs interviewed Q1 ’26 cited</w:t>
      </w:r>
      <w:r>
        <w:t xml:space="preserve"> </w:t>
      </w:r>
      <w:r>
        <w:t xml:space="preserve">“they pass the call coaching and still fail at the procurement gauntlet”</w:t>
      </w:r>
      <w:r>
        <w:t xml:space="preserve"> </w:t>
      </w:r>
      <w:r>
        <w:t xml:space="preserve">as the diagnosis.</w:t>
      </w:r>
    </w:p>
    <w:p>
      <w:pPr>
        <w:pStyle w:val="BodyText"/>
      </w:pPr>
      <w:r>
        <w:t xml:space="preserve">Strategic read: (7, J+M) is the accident-of-light cell from the Wave 1 synthesis. It sharpens Bet #1’s distribution — coach the procurement-seam work the Playbook teaches. Productize as Playbook follow-on (Bet-C2). Conviction medium; only one Wave 1 agent surfaced it.</w:t>
      </w:r>
    </w:p>
    <w:bookmarkEnd w:id="26"/>
    <w:bookmarkStart w:id="27" w:name="function-8-revops-sales-ops"/>
    <w:p>
      <w:pPr>
        <w:pStyle w:val="Heading3"/>
      </w:pPr>
      <w:r>
        <w:t xml:space="preserve">7.8 Function 8 — RevOps / Sales Ops</w:t>
      </w:r>
    </w:p>
    <w:p>
      <w:pPr>
        <w:pStyle w:val="FirstParagraph"/>
      </w:pPr>
      <w:r>
        <w:t xml:space="preserve">Top cells:</w:t>
      </w:r>
      <w:r>
        <w:t xml:space="preserve"> </w:t>
      </w:r>
      <w:r>
        <w:rPr>
          <w:b/>
          <w:bCs/>
        </w:rPr>
        <w:t xml:space="preserve">(8, G) at OCQ 15</w:t>
      </w:r>
      <w:r>
        <w:t xml:space="preserve"> </w:t>
      </w:r>
      <w:r>
        <w:t xml:space="preserve">— RevOps multi-step trajectory agent (Clari, BoostUp, Aviso, Mosaic, Default, Tomo NYC [IX]); pipeline scrub + forecast prep + territory rebalance loop closure. Nobody closes the loop.</w:t>
      </w:r>
      <w:r>
        <w:t xml:space="preserve"> </w:t>
      </w:r>
      <w:r>
        <w:rPr>
          <w:b/>
          <w:bCs/>
        </w:rPr>
        <w:t xml:space="preserve">(8, F) at OCQ 11</w:t>
      </w:r>
      <w:r>
        <w:t xml:space="preserve"> </w:t>
      </w:r>
      <w:r>
        <w:t xml:space="preserve">— CRM hygiene multi-tenant write governance (Syft, Default, Truva, Clari Copilot, SF Einstein 1 [IX]).</w:t>
      </w:r>
      <w:r>
        <w:t xml:space="preserve"> </w:t>
      </w:r>
      <w:r>
        <w:rPr>
          <w:b/>
          <w:bCs/>
        </w:rPr>
        <w:t xml:space="preserve">(8, M) at OCQ 12</w:t>
      </w:r>
      <w:r>
        <w:t xml:space="preserve"> </w:t>
      </w:r>
      <w:r>
        <w:t xml:space="preserve">— RevOps automation audit; Gong, Galileo, Arize, LangSmith [VII/IX] are eng-shape.</w:t>
      </w:r>
    </w:p>
    <w:p>
      <w:pPr>
        <w:pStyle w:val="BodyText"/>
      </w:pPr>
      <w:r>
        <w:t xml:space="preserve">The underserved cell is</w:t>
      </w:r>
      <w:r>
        <w:t xml:space="preserve"> </w:t>
      </w:r>
      <w:r>
        <w:rPr>
          <w:b/>
          <w:bCs/>
        </w:rPr>
        <w:t xml:space="preserve">(8, G)</w:t>
      </w:r>
      <w:r>
        <w:t xml:space="preserve">. Clari/BoostUp/Aviso ship the</w:t>
      </w:r>
      <w:r>
        <w:t xml:space="preserve"> </w:t>
      </w:r>
      <w:r>
        <w:rPr>
          <w:i/>
          <w:iCs/>
        </w:rPr>
        <w:t xml:space="preserve">pieces</w:t>
      </w:r>
      <w:r>
        <w:t xml:space="preserve"> </w:t>
      </w:r>
      <w:r>
        <w:t xml:space="preserve">(pipeline scrub, forecast prep, territory rebalance) but nobody closes the loop end-to-end at confidence. The buyer evidence: every RevOps leader Q1 ’26 wants flag → ping AE → response → stage update → forecast retrigger as a single trajectory; the current stack runs three to five disconnected agents.</w:t>
      </w:r>
    </w:p>
    <w:p>
      <w:pPr>
        <w:pStyle w:val="BodyText"/>
      </w:pPr>
      <w:r>
        <w:t xml:space="preserve">Strategic read: (8, G) is a builder cell, Bet-C7 candidate; Alex-operator claim weak. Watch — not active. (8, M) is M-column convergence; folds into Bet #1.</w:t>
      </w:r>
    </w:p>
    <w:bookmarkEnd w:id="27"/>
    <w:bookmarkStart w:id="28" w:name="X48afabc80db4212f0776d97f1aae6a6ee389199"/>
    <w:p>
      <w:pPr>
        <w:pStyle w:val="Heading3"/>
      </w:pPr>
      <w:r>
        <w:t xml:space="preserve">7.9 Function 9 — Deal-desk / pricing / procurement —</w:t>
      </w:r>
      <w:r>
        <w:t xml:space="preserve"> </w:t>
      </w:r>
      <w:r>
        <w:rPr>
          <w:i/>
          <w:iCs/>
        </w:rPr>
        <w:t xml:space="preserve">the cell of record</w:t>
      </w:r>
    </w:p>
    <w:p>
      <w:pPr>
        <w:pStyle w:val="FirstParagraph"/>
      </w:pPr>
      <w:r>
        <w:rPr>
          <w:b/>
          <w:bCs/>
        </w:rPr>
        <w:t xml:space="preserve">(9, G) at OCQ 19/20 — the agent procurement gauntlet bilateral evidence pack. This is the matrix peak.</w:t>
      </w:r>
    </w:p>
    <w:p>
      <w:pPr>
        <w:pStyle w:val="BodyText"/>
      </w:pPr>
      <w:r>
        <w:t xml:space="preserve">Today, an F500 InfoSec team running a procurement review on an AI agent vendor pieces together evidence from seven separate sources: Loopio or Responsive [IX] for the RFP content layer; Arphie [IX] for AI-RFP automation; Ironclad, LinkSquares, SpotDraft, Lexion, Evisort, Pactum, Icertis [IX] for contract redlines; Vanta, Drata [IX] for SOC 2 and ISO 27001 controls; Vendr, Tropic [IX] for pricing benchmark and negotiation; the vendor’s own model card and red-team report; and the buyer’s internal AI Governance committee’s growing list of hand-built questions.</w:t>
      </w:r>
      <w:r>
        <w:t xml:space="preserve"> </w:t>
      </w:r>
      <w:r>
        <w:rPr>
          <w:b/>
          <w:bCs/>
        </w:rPr>
        <w:t xml:space="preserve">Zero of seven sources ship a unified turnkey bilateral evidence pack.</w:t>
      </w:r>
      <w:r>
        <w:t xml:space="preserve"> </w:t>
      </w:r>
      <w:r>
        <w:t xml:space="preserve">The Article 14 enforcement window (late 2026 / Q1 2027) closes the door on incumbents — once enforcement begins, every F500 needs a tie-out artifact and there is no SaaS that ships it.</w:t>
      </w:r>
    </w:p>
    <w:p>
      <w:pPr>
        <w:pStyle w:val="BodyText"/>
      </w:pPr>
      <w:r>
        <w:t xml:space="preserve">The cell intersects all seven counterparties simultaneously (InfoSec / Legal / Privacy / AI Governance / Procurement / Sponsor / EA) — the only cell in the matrix that does. Calendar-time floor for an F500 review: 16–24 weeks if the vendor is ready; 32–52 weeks if not; 12–24 months if the use case is in a regulated vertical. The Playbook draft (9,700 words as of May ’26) is already half the artifact; the open-spec move (Article 14 Tie-Out Standard, Bet-C10) sets the procurement default for the next five years.</w:t>
      </w:r>
    </w:p>
    <w:p>
      <w:pPr>
        <w:pStyle w:val="BodyText"/>
      </w:pPr>
      <w:r>
        <w:t xml:space="preserve">Vendors today bundle three to four counterparties; none bundle seven. Vanta/Drata cover InfoSec + AI Governance; Ironclad covers Legal + Procurement; Vendr/Tropic cover Procurement + Sponsor; Loopio/Responsive cover the content surface of all seven</w:t>
      </w:r>
      <w:r>
        <w:t xml:space="preserve"> </w:t>
      </w:r>
      <w:r>
        <w:rPr>
          <w:i/>
          <w:iCs/>
        </w:rPr>
        <w:t xml:space="preserve">without</w:t>
      </w:r>
      <w:r>
        <w:t xml:space="preserve"> </w:t>
      </w:r>
      <w:r>
        <w:t xml:space="preserve">the evidence depth. The bilateral evidence pack is the synthesis artifact that closes the gap.</w:t>
      </w:r>
    </w:p>
    <w:p>
      <w:pPr>
        <w:pStyle w:val="BodyText"/>
      </w:pPr>
      <w:r>
        <w:t xml:space="preserve">OCQ 19/20 breaks down: Confidence 5 (every F500 procurement team interviewed Q1 ’26 confirmed the gap; zero turnkey vendors); TTM 4 (Playbook publishable in 90 days, ramp to procurement-default reference in 12 months); Claimability 5 (12-year enterprise + procurement scar-tissue + AI-builder fluency is the rare-profile prerequisite — Alex has it, MBB candidates don’t, technical founders don’t); Cell-density 5 (compounds into (9, I), (9, M), (4, M), (11, I), (12, M), (8, M), (10, M), (11, M)). Single point off only because (9, G) is at-risk from Vanta/Drata/Ironclad Q4 ’26 productized branch — the Tension T4 falsifier in the synthesis. The advisory branch survives regardless.</w:t>
      </w:r>
    </w:p>
    <w:p>
      <w:pPr>
        <w:pStyle w:val="BodyText"/>
      </w:pPr>
      <w:r>
        <w:t xml:space="preserve">The buyer evidence layer is the densest in the matrix: 50+ F1000 AI procurement reviews logged across Alex’s twelve-year career; Q1 ’26 conversations with three F100 CISOs all confirming the same procurement bottleneck; April ’26 EU Commission draft Article 14 guidance naming Inspect AI explicitly as a conformity tool; Cloudflare MCP Gateway GA roadmap published Q2 ’26 needing procurement-fluent operators to close F100; Vendr Q4 ’25 disclosing 31% YoY growth on AI vendor categories specifically.</w:t>
      </w:r>
    </w:p>
    <w:p>
      <w:pPr>
        <w:pStyle w:val="BodyText"/>
      </w:pPr>
      <w:r>
        <w:t xml:space="preserve">Other (9)-row cells:</w:t>
      </w:r>
      <w:r>
        <w:t xml:space="preserve"> </w:t>
      </w:r>
      <w:r>
        <w:rPr>
          <w:b/>
          <w:bCs/>
        </w:rPr>
        <w:t xml:space="preserve">(9, I) at OCQ 16</w:t>
      </w:r>
      <w:r>
        <w:t xml:space="preserve"> </w:t>
      </w:r>
      <w:r>
        <w:t xml:space="preserve">— AI-specific contract addendum library; 12–15 clauses still unbuilt across Ironclad/LinkSquares/SpotDraft/Lexion/Evisort; Ironclad Q2 ’26 roadmap commit is the falsifiability test.</w:t>
      </w:r>
      <w:r>
        <w:t xml:space="preserve"> </w:t>
      </w:r>
      <w:r>
        <w:rPr>
          <w:b/>
          <w:bCs/>
        </w:rPr>
        <w:t xml:space="preserve">(9, M) at OCQ 14</w:t>
      </w:r>
      <w:r>
        <w:t xml:space="preserve"> </w:t>
      </w:r>
      <w:r>
        <w:t xml:space="preserve">— deal-desk agent-trajectory evidence pack; Galileo, Arize, Langfuse [VII]; same pattern as (4, M) one row over.</w:t>
      </w:r>
      <w:r>
        <w:t xml:space="preserve"> </w:t>
      </w:r>
      <w:r>
        <w:rPr>
          <w:b/>
          <w:bCs/>
        </w:rPr>
        <w:t xml:space="preserve">(9, K) at OCQ 13</w:t>
      </w:r>
      <w:r>
        <w:t xml:space="preserve"> </w:t>
      </w:r>
      <w:r>
        <w:t xml:space="preserve">— agents driving Coupa/Ariba/Workday Procurement once OSWorld 65% closes.</w:t>
      </w:r>
    </w:p>
    <w:p>
      <w:pPr>
        <w:pStyle w:val="BodyText"/>
      </w:pPr>
      <w:r>
        <w:t xml:space="preserve">Strategic read: (9, G) is Bet #1’s anchor; the publish path is the durable Power-build (Process Power + Branding + downstream Switching Costs, three operator-shape flavors stacked); the open-spec stewardship move is the asymmetric upside.</w:t>
      </w:r>
    </w:p>
    <w:bookmarkEnd w:id="28"/>
    <w:bookmarkStart w:id="29" w:name="function-10-customer-success-onboarding"/>
    <w:p>
      <w:pPr>
        <w:pStyle w:val="Heading3"/>
      </w:pPr>
      <w:r>
        <w:t xml:space="preserve">7.10 Function 10 — Customer success / onboarding</w:t>
      </w:r>
    </w:p>
    <w:p>
      <w:pPr>
        <w:pStyle w:val="FirstParagraph"/>
      </w:pPr>
      <w:r>
        <w:t xml:space="preserve">Top cell:</w:t>
      </w:r>
      <w:r>
        <w:t xml:space="preserve"> </w:t>
      </w:r>
      <w:r>
        <w:rPr>
          <w:b/>
          <w:bCs/>
        </w:rPr>
        <w:t xml:space="preserve">(10, D) — the densest cell in agent-GTM by dollars.</w:t>
      </w:r>
      <w:r>
        <w:t xml:space="preserve"> </w:t>
      </w:r>
      <w:r>
        <w:t xml:space="preserve">Sierra ($175M+ ARR Q1 ’26), Decagon ($80M+), Intercom Fin, Ada, Forethought, Kustomer, SF Agentforce, ServiceNow, HubSpot, Hippocratic [all IX]. OCQ 14 despite the density because the cell is at saturation and the Klarna reversal (Aug ’25) reset budgets toward outcome-priced winners (Sierra/Decagon) and away from legacy CCaaS bundles.</w:t>
      </w:r>
      <w:r>
        <w:t xml:space="preserve"> </w:t>
      </w:r>
      <w:r>
        <w:rPr>
          <w:b/>
          <w:bCs/>
        </w:rPr>
        <w:t xml:space="preserve">(10, G) at OCQ 13</w:t>
      </w:r>
      <w:r>
        <w:t xml:space="preserve"> </w:t>
      </w:r>
      <w:r>
        <w:t xml:space="preserve">— refunds/order-changes with rollback; OSWorld 65% gates broader cross-tool.</w:t>
      </w:r>
      <w:r>
        <w:t xml:space="preserve"> </w:t>
      </w:r>
      <w:r>
        <w:rPr>
          <w:b/>
          <w:bCs/>
        </w:rPr>
        <w:t xml:space="preserve">(10, L) at OCQ 11</w:t>
      </w:r>
      <w:r>
        <w:t xml:space="preserve"> </w:t>
      </w:r>
      <w:r>
        <w:t xml:space="preserve">— claimed-everywhere, real-nowhere; Sierra</w:t>
      </w:r>
      <w:r>
        <w:t xml:space="preserve"> </w:t>
      </w:r>
      <w:r>
        <w:t xml:space="preserve">“Memory”</w:t>
      </w:r>
      <w:r>
        <w:t xml:space="preserve"> </w:t>
      </w:r>
      <w:r>
        <w:t xml:space="preserve">is RAG-with-writes, not durable memory; GDPR deletion semantics unsolved.</w:t>
      </w:r>
      <w:r>
        <w:t xml:space="preserve"> </w:t>
      </w:r>
      <w:r>
        <w:rPr>
          <w:b/>
          <w:bCs/>
        </w:rPr>
        <w:t xml:space="preserve">(10, M) at OCQ 12</w:t>
      </w:r>
      <w:r>
        <w:t xml:space="preserve"> </w:t>
      </w:r>
      <w:r>
        <w:t xml:space="preserve">— Lakera, LangSmith, Galileo, Arize, Helicone, Braintrust [VII/VIII] all adjacent;</w:t>
      </w:r>
      <w:r>
        <w:t xml:space="preserve"> </w:t>
      </w:r>
      <w:r>
        <w:t xml:space="preserve">“audit trail when agent screws up”</w:t>
      </w:r>
      <w:r>
        <w:t xml:space="preserve"> </w:t>
      </w:r>
      <w:r>
        <w:t xml:space="preserve">is the #2 CIO question per the Wave 1 synthesis.</w:t>
      </w:r>
    </w:p>
    <w:p>
      <w:pPr>
        <w:pStyle w:val="BodyText"/>
      </w:pPr>
      <w:r>
        <w:t xml:space="preserve">The underserved cell is</w:t>
      </w:r>
      <w:r>
        <w:t xml:space="preserve"> </w:t>
      </w:r>
      <w:r>
        <w:rPr>
          <w:b/>
          <w:bCs/>
        </w:rPr>
        <w:t xml:space="preserve">(10, L)</w:t>
      </w:r>
      <w:r>
        <w:t xml:space="preserve"> </w:t>
      </w:r>
      <w:r>
        <w:t xml:space="preserve">— durable cross-quarter customer memory. Every CS-shape vendor</w:t>
      </w:r>
      <w:r>
        <w:t xml:space="preserve"> </w:t>
      </w:r>
      <w:r>
        <w:rPr>
          <w:i/>
          <w:iCs/>
        </w:rPr>
        <w:t xml:space="preserve">claims</w:t>
      </w:r>
      <w:r>
        <w:t xml:space="preserve"> </w:t>
      </w:r>
      <w:r>
        <w:t xml:space="preserve">memory; none ships production-shape with GDPR right-to-be-forgotten semantics. The buyer evidence: two F500 CCOs Q1 ’26 cited</w:t>
      </w:r>
      <w:r>
        <w:t xml:space="preserve"> </w:t>
      </w:r>
      <w:r>
        <w:t xml:space="preserve">“the agent loses everything between Q-end reviews”</w:t>
      </w:r>
      <w:r>
        <w:t xml:space="preserve"> </w:t>
      </w:r>
      <w:r>
        <w:t xml:space="preserve">as the renewal-cycle blocker; Sierra’s Memory product is best-in-class but still RAG-flavored.</w:t>
      </w:r>
    </w:p>
    <w:p>
      <w:pPr>
        <w:pStyle w:val="BodyText"/>
      </w:pPr>
      <w:r>
        <w:t xml:space="preserve">Strategic read: (10, D) is Sierra/Decagon operator-role territory — Bet #2’s secondary target after Hebbia. (10, L) is Bet #5 territory re-anchored at CX-shape. (10, M) folds into Bet #1.</w:t>
      </w:r>
    </w:p>
    <w:bookmarkEnd w:id="29"/>
    <w:bookmarkStart w:id="30" w:name="function-11-am-renewals-expansion"/>
    <w:p>
      <w:pPr>
        <w:pStyle w:val="Heading3"/>
      </w:pPr>
      <w:r>
        <w:t xml:space="preserve">7.11 Function 11 — AM / renewals / expansion</w:t>
      </w:r>
    </w:p>
    <w:p>
      <w:pPr>
        <w:pStyle w:val="FirstParagraph"/>
      </w:pPr>
      <w:r>
        <w:t xml:space="preserve">Top cells:</w:t>
      </w:r>
      <w:r>
        <w:t xml:space="preserve"> </w:t>
      </w:r>
      <w:r>
        <w:rPr>
          <w:b/>
          <w:bCs/>
        </w:rPr>
        <w:t xml:space="preserve">(11, L) at OCQ 14 — best cell in C5 (memory) band.</w:t>
      </w:r>
      <w:r>
        <w:t xml:space="preserve"> </w:t>
      </w:r>
      <w:r>
        <w:t xml:space="preserve">Multi-quarter durable agent memory; Sierra (flat), Gainsight (structured), Hippocratic [IX] partial; Mem0/Letta/Zep [IV] dev-side only.</w:t>
      </w:r>
      <w:r>
        <w:t xml:space="preserve"> </w:t>
      </w:r>
      <w:r>
        <w:rPr>
          <w:b/>
          <w:bCs/>
        </w:rPr>
        <w:t xml:space="preserve">(11, I) at OCQ 13</w:t>
      </w:r>
      <w:r>
        <w:t xml:space="preserve"> </w:t>
      </w:r>
      <w:r>
        <w:t xml:space="preserve">— outcome-based pricing operator playbook; Sierra ($1–4/res), Decagon hybrid, Intercom Fin ($0.99 list), Hippocratic ($9/hr), SF Agentforce ($2/conv-retreated) [IX]. SOX rev-rec dispute mechanics unsolved.</w:t>
      </w:r>
      <w:r>
        <w:t xml:space="preserve"> </w:t>
      </w:r>
      <w:r>
        <w:rPr>
          <w:b/>
          <w:bCs/>
        </w:rPr>
        <w:t xml:space="preserve">(11, G) at OCQ 13</w:t>
      </w:r>
      <w:r>
        <w:t xml:space="preserve"> </w:t>
      </w:r>
      <w:r>
        <w:t xml:space="preserve">— pull usage → draft → route → procurement single trajectory; SF Agentforce demo, Gainsight Renewal Center [IX].</w:t>
      </w:r>
    </w:p>
    <w:p>
      <w:pPr>
        <w:pStyle w:val="BodyText"/>
      </w:pPr>
      <w:r>
        <w:t xml:space="preserve">The underserved cell is</w:t>
      </w:r>
      <w:r>
        <w:t xml:space="preserve"> </w:t>
      </w:r>
      <w:r>
        <w:rPr>
          <w:b/>
          <w:bCs/>
        </w:rPr>
        <w:t xml:space="preserve">(11, L)</w:t>
      </w:r>
      <w:r>
        <w:t xml:space="preserve"> </w:t>
      </w:r>
      <w:r>
        <w:t xml:space="preserve">— Bet #5 anchor. Data integrations + GDPR deletion semantics + CSM/AE curation UI = three-stage moat. The buyer evidence: Gainsight, ChurnZero, Totango, Catalyst [IX] all ship structured renewal-cycle memory; none ship cross-stack durable memory; Mem0/Letta/Zep have the dev-substrate but no GTM-shape SKU.</w:t>
      </w:r>
      <w:r>
        <w:t xml:space="preserve"> </w:t>
      </w:r>
      <w:r>
        <w:rPr>
          <w:b/>
          <w:bCs/>
        </w:rPr>
        <w:t xml:space="preserve">(11, I)</w:t>
      </w:r>
      <w:r>
        <w:t xml:space="preserve"> </w:t>
      </w:r>
      <w:r>
        <w:t xml:space="preserve">is the operator-side opportunity — the dual-telemetry / 30-60-90 dispute / third-party arbitration outcome-pricing contract template that no vendor ships and no F500 buyer has internally. F6 §7 from Volume IV’s research nominates this as the highest-leverage Bet #1 wedge.</w:t>
      </w:r>
    </w:p>
    <w:p>
      <w:pPr>
        <w:pStyle w:val="BodyText"/>
      </w:pPr>
      <w:r>
        <w:t xml:space="preserve">Strategic read: (11, L) is Bet #5 reframed at cell-resolution; bundles with (6, L) and (12, L) as the L-column service-line. (11, I) is a Bet #1 module — the pricing-side Playbook chapter Alex publishes alongside the procurement-side artifact.</w:t>
      </w:r>
    </w:p>
    <w:bookmarkEnd w:id="30"/>
    <w:bookmarkStart w:id="31" w:name="function-12-forecasting-strategy"/>
    <w:p>
      <w:pPr>
        <w:pStyle w:val="Heading3"/>
      </w:pPr>
      <w:r>
        <w:t xml:space="preserve">7.12 Function 12 — Forecasting / strategy</w:t>
      </w:r>
    </w:p>
    <w:p>
      <w:pPr>
        <w:pStyle w:val="FirstParagraph"/>
      </w:pPr>
      <w:r>
        <w:t xml:space="preserve">Top cells:</w:t>
      </w:r>
      <w:r>
        <w:t xml:space="preserve"> </w:t>
      </w:r>
      <w:r>
        <w:rPr>
          <w:b/>
          <w:bCs/>
        </w:rPr>
        <w:t xml:space="preserve">(12, F) at OCQ 15</w:t>
      </w:r>
      <w:r>
        <w:t xml:space="preserve"> </w:t>
      </w:r>
      <w:r>
        <w:t xml:space="preserve">— cross-system narrative retrieval; Clari, BoostUp, Gong Forecast, Glean [IX]; Gong</w:t>
      </w:r>
      <w:r>
        <w:t xml:space="preserve"> </w:t>
      </w:r>
      <w:r>
        <w:t xml:space="preserve">“Deal Stories”</w:t>
      </w:r>
      <w:r>
        <w:t xml:space="preserve"> </w:t>
      </w:r>
      <w:r>
        <w:t xml:space="preserve">widely adopted at ~$300M Gong revenue 2025.</w:t>
      </w:r>
      <w:r>
        <w:t xml:space="preserve"> </w:t>
      </w:r>
      <w:r>
        <w:rPr>
          <w:b/>
          <w:bCs/>
        </w:rPr>
        <w:t xml:space="preserve">(12, H) at OCQ 15</w:t>
      </w:r>
      <w:r>
        <w:t xml:space="preserve"> </w:t>
      </w:r>
      <w:r>
        <w:t xml:space="preserve">— natural cell for forecasting/decision support; Clari, BoostUp, Aviso, Gong Forecast, SF Einstein [IX]; honest 5–15% MAPE lift; the Aviso/Clari accuracy dispute is a Playbook chapter waiting to happen (Tension T8 from synthesis).</w:t>
      </w:r>
      <w:r>
        <w:t xml:space="preserve"> </w:t>
      </w:r>
      <w:r>
        <w:rPr>
          <w:b/>
          <w:bCs/>
        </w:rPr>
        <w:t xml:space="preserve">(12, L) at OCQ 13</w:t>
      </w:r>
      <w:r>
        <w:t xml:space="preserve"> </w:t>
      </w:r>
      <w:r>
        <w:t xml:space="preserve">— richest unclaimed cell in C5 (memory) band — 8-quarter pipeline-decay memory; BoostUp Forecasting Health structural; Mem0/Letta/Zep [IV] unadopted; Bet #5 anchor.</w:t>
      </w:r>
      <w:r>
        <w:t xml:space="preserve"> </w:t>
      </w:r>
      <w:r>
        <w:rPr>
          <w:b/>
          <w:bCs/>
        </w:rPr>
        <w:t xml:space="preserve">(12, D) at OCQ 14</w:t>
      </w:r>
      <w:r>
        <w:t xml:space="preserve"> </w:t>
      </w:r>
      <w:r>
        <w:t xml:space="preserve">— NL→SQL→chart for analysts;</w:t>
      </w:r>
      <w:r>
        <w:t xml:space="preserve"> </w:t>
      </w:r>
      <w:r>
        <w:rPr>
          <w:b/>
          <w:bCs/>
        </w:rPr>
        <w:t xml:space="preserve">Hex (NYC)</w:t>
      </w:r>
      <w:r>
        <w:t xml:space="preserve">, Definite, Mosaic [IX].</w:t>
      </w:r>
    </w:p>
    <w:p>
      <w:pPr>
        <w:pStyle w:val="BodyText"/>
      </w:pPr>
      <w:r>
        <w:t xml:space="preserve">The underserved cell is the largest gap in the matrix at the row level —</w:t>
      </w:r>
      <w:r>
        <w:t xml:space="preserve"> </w:t>
      </w:r>
      <w:r>
        <w:rPr>
          <w:b/>
          <w:bCs/>
        </w:rPr>
        <w:t xml:space="preserve">the (12,</w:t>
      </w:r>
      <w:r>
        <w:rPr>
          <w:b/>
          <w:bCs/>
        </w:rPr>
        <w:t xml:space="preserve"> </w:t>
      </w:r>
      <w:r>
        <w:rPr>
          <w:b/>
          <w:bCs/>
        </w:rPr>
        <w:t xml:space="preserve">“Strategy”</w:t>
      </w:r>
      <w:r>
        <w:rPr>
          <w:b/>
          <w:bCs/>
        </w:rPr>
        <w:t xml:space="preserve">) slot for GTM motion design.</w:t>
      </w:r>
      <w:r>
        <w:t xml:space="preserve"> </w:t>
      </w:r>
      <w:r>
        <w:t xml:space="preserve">Fullcast, Pigment AI, Mosaic, Varicent partial [IX] cover territory/comp/quota; none ship reasoning-grade GTM motion design. The accountability cap is structural: CROs cannot blame an agent for a missed forecast or a wrong territory cut, so autonomy is capped at recommendation level. The buyer evidence: every CRO interviewed Q1 ’26 cited</w:t>
      </w:r>
      <w:r>
        <w:t xml:space="preserve"> </w:t>
      </w:r>
      <w:r>
        <w:t xml:space="preserve">“I can’t put an agent’s signature on a board-deck forecast”</w:t>
      </w:r>
      <w:r>
        <w:t xml:space="preserve"> </w:t>
      </w:r>
      <w:r>
        <w:t xml:space="preserve">as the ceiling.</w:t>
      </w:r>
    </w:p>
    <w:p>
      <w:pPr>
        <w:pStyle w:val="BodyText"/>
      </w:pPr>
      <w:r>
        <w:t xml:space="preserve">Strategic read: (12, F) and (12, H) are mature and saturated — not Alex-claim cells. (12, L) folds into Bet #5 as the forecasting anchor. (12, D) is Hex operator-role territory if NYC-anchored career path opens; secondary to Hebbia/Rogo/Sierra. The accountability cap means Bet #1’s forecasting chapter is about</w:t>
      </w:r>
      <w:r>
        <w:t xml:space="preserve"> </w:t>
      </w:r>
      <w:r>
        <w:rPr>
          <w:i/>
          <w:iCs/>
        </w:rPr>
        <w:t xml:space="preserve">evaluating AI forecasting vendors</w:t>
      </w:r>
      <w:r>
        <w:t xml:space="preserve"> </w:t>
      </w:r>
      <w:r>
        <w:t xml:space="preserve">(the Aviso/Clari dispute) rather than building a competing forecasting agent.</w:t>
      </w:r>
    </w:p>
    <w:bookmarkEnd w:id="31"/>
    <w:bookmarkStart w:id="32" w:name="Xec29cd0871a4aa0d67ef67c10da44dc2668b05d"/>
    <w:p>
      <w:pPr>
        <w:pStyle w:val="Heading3"/>
      </w:pPr>
      <w:r>
        <w:t xml:space="preserve">7.13 The heat-map — where the highest-OCQ cells cluster</w:t>
      </w:r>
    </w:p>
    <w:p>
      <w:pPr>
        <w:pStyle w:val="FirstParagraph"/>
      </w:pPr>
      <w:r>
        <w:t xml:space="preserve">The OCQ scores cluster across three regions of the matrix:</w:t>
      </w:r>
    </w:p>
    <w:p>
      <w:pPr>
        <w:pStyle w:val="BodyText"/>
      </w:pPr>
      <w:r>
        <w:rPr>
          <w:b/>
          <w:bCs/>
        </w:rPr>
        <w:t xml:space="preserve">Cluster 1 — the procurement seam at Function 9.</w:t>
      </w:r>
      <w:r>
        <w:t xml:space="preserve"> </w:t>
      </w:r>
      <w:r>
        <w:t xml:space="preserve">(9, G) at 19, (9, I) at 16, (9, M) at 14, (9, K) at 13. Four cells in one row at OCQ ≥ 13 with a single anchor at 19. No other row in the matrix produces this density. This is the through-line for Bet #1.</w:t>
      </w:r>
    </w:p>
    <w:p>
      <w:pPr>
        <w:pStyle w:val="BodyText"/>
      </w:pPr>
      <w:r>
        <w:rPr>
          <w:b/>
          <w:bCs/>
        </w:rPr>
        <w:t xml:space="preserve">Cluster 2 — the L-column (persistent memory) across functions 5, 6, 10, 11, 12.</w:t>
      </w:r>
      <w:r>
        <w:t xml:space="preserve"> </w:t>
      </w:r>
      <w:r>
        <w:t xml:space="preserve">(6, L) at 16, (11, L) at 14, (12, L) at 13, (5, L) at 13, (10, L) at 11, (2, L) Writer-locked, (9, L) at 10. Seven cells across five GTM functions at OCQ ≥ 10, three at OCQ ≥ 13. Mem0/Letta/Zep [IV] dev-side memory has not been picked up by any GTM vendor as of May ’26; the L-column is the matrix’s most consistent gap. This is the through-line for Bet #5.</w:t>
      </w:r>
    </w:p>
    <w:p>
      <w:pPr>
        <w:pStyle w:val="BodyText"/>
      </w:pPr>
      <w:r>
        <w:rPr>
          <w:b/>
          <w:bCs/>
        </w:rPr>
        <w:t xml:space="preserve">Cluster 3 — the M-column (trajectory observability) across functions 4, 9, 6, 10, 11, 12 and marketing 1, 2.</w:t>
      </w:r>
      <w:r>
        <w:t xml:space="preserve"> </w:t>
      </w:r>
      <w:r>
        <w:t xml:space="preserve">(4, M) at 14, (9, M) at 14, (6, M) at 13, (10, M) at 12, (8, M) at 12, (2, M) at 12, (11, M) at 11, (1, M) at 14, (12, M) at 10. Nine cells across eight GTM functions at OCQ ≥ 10. Regulatorily mandatory in ≤18 months (TCPA/CAN-SPAM at (4, M); FTC/EU Art. 50 at (1, M)/(2, M); SOX/audit at (9, M); GDPR memory deletion at (10, M)/(11, M)). LangSmith, Braintrust, Galileo, Arize [VII] serve eng-shape; no GTM-shape vendor exists. This is the M-column overlay on Bet #1.</w:t>
      </w:r>
    </w:p>
    <w:p>
      <w:pPr>
        <w:pStyle w:val="BodyText"/>
      </w:pPr>
      <w:r>
        <w:t xml:space="preserve">The K-column (computer-use) is a sleeper cluster — every K-cell waits on OSWorld 65% (expected Q3 2026). If/when the crux closes, seven cells (4, K), (6, K), (8, K), (9, K), (10, K), (11, K), (12, K) reprice in unison and Microsoft Sales Copilot wins by default on LinkedIn graph + M365 + Dynamics + Outlook first-party.</w:t>
      </w:r>
    </w:p>
    <w:p>
      <w:pPr>
        <w:pStyle w:val="BodyText"/>
      </w:pPr>
      <w:r>
        <w:t xml:space="preserve">The single non-clustered high-OCQ cell is</w:t>
      </w:r>
      <w:r>
        <w:t xml:space="preserve"> </w:t>
      </w:r>
      <w:r>
        <w:rPr>
          <w:b/>
          <w:bCs/>
        </w:rPr>
        <w:t xml:space="preserve">(5, F) at 18</w:t>
      </w:r>
      <w:r>
        <w:t xml:space="preserve"> </w:t>
      </w:r>
      <w:r>
        <w:t xml:space="preserve">— the buying-committee graph. No incumbent, no row-cluster, JTBD Job 1 gap = 7. Bet-C1/Bet-C5 territory standalone.</w:t>
      </w:r>
    </w:p>
    <w:p>
      <w:pPr>
        <w:pStyle w:val="BodyText"/>
      </w:pPr>
      <w:r>
        <w:rPr>
          <w:b/>
          <w:bCs/>
        </w:rPr>
        <w:t xml:space="preserve">Reader takeaway:</w:t>
      </w:r>
      <w:r>
        <w:t xml:space="preserve"> </w:t>
      </w:r>
      <w:r>
        <w:t xml:space="preserve">the matrix peak is at the procurement seam; the matrix’s</w:t>
      </w:r>
      <w:r>
        <w:t xml:space="preserve"> </w:t>
      </w:r>
      <w:r>
        <w:rPr>
          <w:i/>
          <w:iCs/>
        </w:rPr>
        <w:t xml:space="preserve">consistent</w:t>
      </w:r>
      <w:r>
        <w:t xml:space="preserve"> </w:t>
      </w:r>
      <w:r>
        <w:t xml:space="preserve">gap is the L-column; the matrix’s</w:t>
      </w:r>
      <w:r>
        <w:t xml:space="preserve"> </w:t>
      </w:r>
      <w:r>
        <w:rPr>
          <w:i/>
          <w:iCs/>
        </w:rPr>
        <w:t xml:space="preserve">regulatory-forced</w:t>
      </w:r>
      <w:r>
        <w:t xml:space="preserve"> </w:t>
      </w:r>
      <w:r>
        <w:t xml:space="preserve">gap is the M-column. Bet #1 overlays clusters 1 and 3. Bet #5 anchors cluster 2. Bet #2 captures the equity at (5, F) and (6, A) operator-roles. Bet #3 partners with the gateway plays underneath all three clusters. That is the matrix verdict, before frameworks two through five sharpen it.</w:t>
      </w:r>
    </w:p>
    <w:p>
      <w:r>
        <w:pict>
          <v:rect style="width:0;height:1.5pt" o:hralign="center" o:hrstd="t" o:hr="t"/>
        </w:pict>
      </w:r>
    </w:p>
    <w:p>
      <w:r>
        <w:pict>
          <v:rect style="width:0;height:1.5pt" o:hralign="center" o:hrstd="t" o:hr="t"/>
        </w:pict>
      </w:r>
    </w:p>
    <w:p>
      <w:pPr>
        <w:pStyle w:val="FirstParagraph"/>
      </w:pPr>
      <w:r>
        <w:t xml:space="preserve">What you have now seen is the field. The next chapter brings five frameworks to bear on what is happening across that field.</w:t>
      </w:r>
    </w:p>
    <w:p>
      <w:r>
        <w:pict>
          <v:rect style="width:0;height:1.5pt" o:hralign="center" o:hrstd="t" o:hr="t"/>
        </w:pict>
      </w:r>
    </w:p>
    <w:bookmarkEnd w:id="32"/>
    <w:bookmarkEnd w:id="33"/>
    <w:bookmarkStart w:id="34" w:name="X5aa0ffc74f4a379dc6fece78a11d55d3713f473"/>
    <w:p>
      <w:pPr>
        <w:pStyle w:val="Heading2"/>
      </w:pPr>
      <w:r>
        <w:t xml:space="preserve">Chapter 3 · The Five Frameworks · Analytical Depth</w:t>
      </w:r>
    </w:p>
    <w:p>
      <w:pPr>
        <w:pStyle w:val="FirstParagraph"/>
      </w:pPr>
      <w:r>
        <w:t xml:space="preserve">Open</w:t>
      </w:r>
      <w:r>
        <w:t xml:space="preserve"> </w:t>
      </w:r>
      <w:r>
        <w:rPr>
          <w:rStyle w:val="VerbatimChar"/>
        </w:rPr>
        <w:t xml:space="preserve">AGENTS_GTM_DECISIONS.pdf</w:t>
      </w:r>
      <w:r>
        <w:t xml:space="preserve"> </w:t>
      </w:r>
      <w:r>
        <w:t xml:space="preserve">in a separate window. Plates VII (Wardley), VIII (7 Powers), and IX (JTBD phase map) are the visual companions to the prose that follows. Three frameworks in the order they were applied. Wardley says where things sit in their evolution. 7 Powers says which positions are durable. JTBD says which buyer-jobs they serve. Each framework was applied independently, with different evidence and different scoring discipline. Where they converged, conviction stacked. Where they diverged, the open questions are honest.</w:t>
      </w:r>
    </w:p>
    <w:p>
      <w:r>
        <w:pict>
          <v:rect style="width:0;height:1.5pt" o:hralign="center" o:hrstd="t" o:hr="t"/>
        </w:pict>
      </w:r>
    </w:p>
    <w:bookmarkEnd w:id="34"/>
    <w:bookmarkStart w:id="42" w:name="part-viii-wardley-mapping"/>
    <w:p>
      <w:pPr>
        <w:pStyle w:val="Heading2"/>
      </w:pPr>
      <w:r>
        <w:t xml:space="preserve">Part VIII · Wardley Mapping</w:t>
      </w:r>
    </w:p>
    <w:p>
      <w:pPr>
        <w:pStyle w:val="FirstParagraph"/>
      </w:pPr>
      <w:r>
        <w:t xml:space="preserve">The matrix scores cells; Wardley places them on an evolution axis. The honest read at May 2026: agent-GTM is not consolidating — it is</w:t>
      </w:r>
      <w:r>
        <w:t xml:space="preserve"> </w:t>
      </w:r>
      <w:r>
        <w:rPr>
          <w:b/>
          <w:bCs/>
        </w:rPr>
        <w:t xml:space="preserve">stratifying along the capability columns, not the function rows.</w:t>
      </w:r>
      <w:r>
        <w:t xml:space="preserve"> </w:t>
      </w:r>
      <w:r>
        <w:t xml:space="preserve">The substrate (functions 1–12) is largely Product/Commodity already; every GTM motion has incumbent SaaS that an agent capability</w:t>
      </w:r>
      <w:r>
        <w:t xml:space="preserve"> </w:t>
      </w:r>
      <w:r>
        <w:rPr>
          <w:i/>
          <w:iCs/>
        </w:rPr>
        <w:t xml:space="preserve">attaches to</w:t>
      </w:r>
      <w:r>
        <w:t xml:space="preserve">. The interesting positions are the seams where a Custom-stage capability column attaches to a Product-stage function and the attachment is procurable. That seam-and-attachment view is what the rest of this Part operationalizes.</w:t>
      </w:r>
    </w:p>
    <w:bookmarkStart w:id="35" w:name="X34e1cf88b302112ea30920c120d3bf8e73dfdaa"/>
    <w:p>
      <w:pPr>
        <w:pStyle w:val="Heading3"/>
      </w:pPr>
      <w:r>
        <w:t xml:space="preserve">8.1 What Wardley says specifically about agent-GTM now</w:t>
      </w:r>
    </w:p>
    <w:p>
      <w:pPr>
        <w:pStyle w:val="FirstParagraph"/>
      </w:pPr>
      <w:r>
        <w:t xml:space="preserve">Two structural truths. First,</w:t>
      </w:r>
      <w:r>
        <w:t xml:space="preserve"> </w:t>
      </w:r>
      <w:r>
        <w:rPr>
          <w:b/>
          <w:bCs/>
        </w:rPr>
        <w:t xml:space="preserve">roughly 85% of named matrix vendors live at sub-stratum IX</w:t>
      </w:r>
      <w:r>
        <w:t xml:space="preserve"> </w:t>
      </w:r>
      <w:r>
        <w:t xml:space="preserve">(vertical agent products). Cell-by-cell evolution is gated by IX vendor roadmaps. The thin slivers of II (runtime), IV (memory), VII (eval/observability), and VIII (safety) are where Genesis still lives — those slivers are exactly what Bets #1, #4, and #5 target.</w:t>
      </w:r>
    </w:p>
    <w:p>
      <w:pPr>
        <w:pStyle w:val="BodyText"/>
      </w:pPr>
      <w:r>
        <w:t xml:space="preserve">Second,</w:t>
      </w:r>
      <w:r>
        <w:t xml:space="preserve"> </w:t>
      </w:r>
      <w:r>
        <w:rPr>
          <w:b/>
          <w:bCs/>
        </w:rPr>
        <w:t xml:space="preserve">the bottleneck is always the Genesis component, never the Product substrate.</w:t>
      </w:r>
      <w:r>
        <w:t xml:space="preserve"> </w:t>
      </w:r>
      <w:r>
        <w:t xml:space="preserve">At (9, G) the function (deal desk) is Product; the bottleneck is the bilateral evidence pack at Genesis. At (6, K) the function (AE motion) is Product; the bottleneck is computer-use at Custom (and Microsoft owns the Product transition by default once OSWorld 65% closes). At (11, L) the function (renewal motion) is Product; the bottleneck is durable memory at Genesis. The single most useful lens for picking where to claim is</w:t>
      </w:r>
      <w:r>
        <w:t xml:space="preserve"> </w:t>
      </w:r>
      <w:r>
        <w:t xml:space="preserve">“where is the Genesis component attaching to a Product substrate, and is that attachment procurable?”</w:t>
      </w:r>
    </w:p>
    <w:bookmarkEnd w:id="35"/>
    <w:bookmarkStart w:id="36" w:name="X8a65342bdcba41125718ba5ee9da684448ea49d"/>
    <w:p>
      <w:pPr>
        <w:pStyle w:val="Heading3"/>
      </w:pPr>
      <w:r>
        <w:t xml:space="preserve">8.2 The four anchored GTM-buyer needs and their dependency chains</w:t>
      </w:r>
    </w:p>
    <w:p>
      <w:pPr>
        <w:pStyle w:val="FirstParagraph"/>
      </w:pPr>
      <w:r>
        <w:rPr>
          <w:b/>
          <w:bCs/>
        </w:rPr>
        <w:t xml:space="preserve">Need 1 — Fill the top of the sales funnel reliably without scaling headcount linearly.</w:t>
      </w:r>
      <w:r>
        <w:t xml:space="preserve"> </w:t>
      </w:r>
      <w:r>
        <w:t xml:space="preserve">Function: 4 primarily; touches 3 and 5. Capability: A → C → G with K unlocking next-stage gains. Sub-stratum chain: IX (Clay, Apollo, 11x, Outreach, Common Room) → II (Anthropic CU, Operator for LinkedIn driving) → IV (cross-prospect memory). Meta layer: TCPA/CAN-SPAM/GDPR/EU Art. 14 forces (4, M) into the chain by late 2026; LinkedIn ToS sits above as a regulatory-adjacent constraint that can</w:t>
      </w:r>
      <w:r>
        <w:t xml:space="preserve"> </w:t>
      </w:r>
      <w:r>
        <w:rPr>
          <w:i/>
          <w:iCs/>
        </w:rPr>
        <w:t xml:space="preserve">kill the chain wholesale</w:t>
      </w:r>
      <w:r>
        <w:t xml:space="preserve"> </w:t>
      </w:r>
      <w:r>
        <w:t xml:space="preserve">if Microsoft pulls API access.</w:t>
      </w:r>
      <w:r>
        <w:t xml:space="preserve"> </w:t>
      </w:r>
      <w:r>
        <w:rPr>
          <w:b/>
          <w:bCs/>
        </w:rPr>
        <w:t xml:space="preserve">Wardley read:</w:t>
      </w:r>
      <w:r>
        <w:t xml:space="preserve"> </w:t>
      </w:r>
      <w:r>
        <w:t xml:space="preserve">chain is Product-heavy at the substrate, with two Genesis components (CU + cross-prospect memory) and one Custom component (SDR-shape M-column eval). Bottleneck is (4, M), not (4, A).</w:t>
      </w:r>
    </w:p>
    <w:p>
      <w:pPr>
        <w:pStyle w:val="BodyText"/>
      </w:pPr>
      <w:r>
        <w:rPr>
          <w:b/>
          <w:bCs/>
        </w:rPr>
        <w:t xml:space="preserve">Need 2 — Compress enterprise sales cycle by clearing the procurement gauntlet faster.</w:t>
      </w:r>
      <w:r>
        <w:t xml:space="preserve"> </w:t>
      </w:r>
      <w:r>
        <w:t xml:space="preserve">Function: 9 primarily; touches 6 and 8. Capability: G is load-bearing; M is the procurement-evidence currency; I is the contract-addendum overlay; L is residual deal-desk asset. Sub-stratum chain: IX (Loopio, Responsive, Arphie, Ironclad, Vanta, Drata, Vendr, Tropic) → VII (Galileo, Arize, Langfuse for trajectory evidence) → VIII (Lakera/Protect AI safety attestations). Meta layer: EU AI Act Article 14 enforcement (late 2026 / Q1 2027) is the single regulatory variable that turns this from advisory niche into a $10B+ category; SOX rev-rec sits underneath (11, I).</w:t>
      </w:r>
      <w:r>
        <w:t xml:space="preserve"> </w:t>
      </w:r>
      <w:r>
        <w:rPr>
          <w:b/>
          <w:bCs/>
        </w:rPr>
        <w:t xml:space="preserve">Wardley read:</w:t>
      </w:r>
      <w:r>
        <w:t xml:space="preserve"> </w:t>
      </w:r>
      <w:r>
        <w:t xml:space="preserve">(9, G) sits in Genesis-to-early-Custom; the bundle does not exist turnkey.</w:t>
      </w:r>
      <w:r>
        <w:t xml:space="preserve"> </w:t>
      </w:r>
      <w:r>
        <w:rPr>
          <w:b/>
          <w:bCs/>
        </w:rPr>
        <w:t xml:space="preserve">This is the map’s most-claimable cell and matches Bet #1.</w:t>
      </w:r>
    </w:p>
    <w:p>
      <w:pPr>
        <w:pStyle w:val="BodyText"/>
      </w:pPr>
      <w:r>
        <w:rPr>
          <w:b/>
          <w:bCs/>
        </w:rPr>
        <w:t xml:space="preserve">Need 3 — Increase NRR through proactive customer-success interventions.</w:t>
      </w:r>
      <w:r>
        <w:t xml:space="preserve"> </w:t>
      </w:r>
      <w:r>
        <w:t xml:space="preserve">Functions: 10, 11. Capability: D, G, L, I. Sub-stratum chain: IX (Sierra, Decagon, Intercom Fin, Gainsight, Ada, Hippocratic) → IV (Mem0/Letta/Zep dev-side only at May ’26) → VII/VIII. Meta layer: GDPR right-to-be-forgotten in agent memory + outcome-pricing SOX rev-rec + Bret-Taylor outcome-pricing thesis as economic precedent.</w:t>
      </w:r>
      <w:r>
        <w:t xml:space="preserve"> </w:t>
      </w:r>
      <w:r>
        <w:rPr>
          <w:b/>
          <w:bCs/>
        </w:rPr>
        <w:t xml:space="preserve">Wardley read:</w:t>
      </w:r>
      <w:r>
        <w:t xml:space="preserve"> </w:t>
      </w:r>
      <w:r>
        <w:t xml:space="preserve">(10, D) is the densest Product-stage cell in the matrix by dollars; the Custom layer that matters is (11, L) durable cross-quarter memory — and</w:t>
      </w:r>
      <w:r>
        <w:t xml:space="preserve"> </w:t>
      </w:r>
      <w:r>
        <w:rPr>
          <w:b/>
          <w:bCs/>
        </w:rPr>
        <w:t xml:space="preserve">no IX vendor ships it production-shape.</w:t>
      </w:r>
      <w:r>
        <w:t xml:space="preserve"> </w:t>
      </w:r>
      <w:r>
        <w:t xml:space="preserve">That is the soft spot.</w:t>
      </w:r>
    </w:p>
    <w:p>
      <w:pPr>
        <w:pStyle w:val="BodyText"/>
      </w:pPr>
      <w:r>
        <w:rPr>
          <w:b/>
          <w:bCs/>
        </w:rPr>
        <w:t xml:space="preserve">Need 4 — Produce accurate quarterly forecasts the board will trust.</w:t>
      </w:r>
      <w:r>
        <w:t xml:space="preserve"> </w:t>
      </w:r>
      <w:r>
        <w:t xml:space="preserve">Function: 12; touches 8. Capability: H, F, L, M. Sub-stratum chain: IX (Clari, BoostUp, Aviso, Gong Forecast, SF Einstein) → IV (memory) → VII (drift detection). Meta layer:</w:t>
      </w:r>
      <w:r>
        <w:t xml:space="preserve"> </w:t>
      </w:r>
      <w:r>
        <w:rPr>
          <w:b/>
          <w:bCs/>
        </w:rPr>
        <w:t xml:space="preserve">the accountability cap</w:t>
      </w:r>
      <w:r>
        <w:t xml:space="preserve"> </w:t>
      </w:r>
      <w:r>
        <w:t xml:space="preserve">(CRO cannot blame an agent for a missed forecast) + SOX-adjacent CFO controls on AI-touched financial outputs.</w:t>
      </w:r>
      <w:r>
        <w:t xml:space="preserve"> </w:t>
      </w:r>
      <w:r>
        <w:rPr>
          <w:b/>
          <w:bCs/>
        </w:rPr>
        <w:t xml:space="preserve">Wardley read:</w:t>
      </w:r>
      <w:r>
        <w:t xml:space="preserve"> </w:t>
      </w:r>
      <w:r>
        <w:t xml:space="preserve">(12, H) is Product-stage saturated; honest lift is 5–15% MAPE. The Custom layer is (12, L) memory + (12, M) drift, both Genesis. The accountability cap is a</w:t>
      </w:r>
      <w:r>
        <w:t xml:space="preserve"> </w:t>
      </w:r>
      <w:r>
        <w:rPr>
          <w:i/>
          <w:iCs/>
        </w:rPr>
        <w:t xml:space="preserve">meta-layer ceiling</w:t>
      </w:r>
      <w:r>
        <w:t xml:space="preserve"> </w:t>
      </w:r>
      <w:r>
        <w:t xml:space="preserve">that prevents the H-column from ever fully commoditizing into autonomous agent territory.</w:t>
      </w:r>
    </w:p>
    <w:bookmarkEnd w:id="36"/>
    <w:bookmarkStart w:id="37" w:name="X241e7db9adec56bdea2e72e00db6a3ae9107fc7"/>
    <w:p>
      <w:pPr>
        <w:pStyle w:val="Heading3"/>
      </w:pPr>
      <w:r>
        <w:t xml:space="preserve">8.3 Component placement on the evolution axis (May 2026)</w:t>
      </w:r>
    </w:p>
    <w:p>
      <w:pPr>
        <w:pStyle w:val="FirstParagraph"/>
      </w:pPr>
      <w:r>
        <w:rPr>
          <w:b/>
          <w:bCs/>
        </w:rPr>
        <w:t xml:space="preserve">Late Genesis (write/observe; do not productize as SaaS yet):</w:t>
      </w:r>
      <w:r>
        <w:t xml:space="preserve"> </w:t>
      </w:r>
      <w:r>
        <w:t xml:space="preserve">(9, G) procurement gauntlet bilateral evidence pack [IX/VII/VIII] — OCQ 19/20; zero of seven overlays ship turnkey. (4, M) SDR-shape trajectory observability for TCPA/CAN-SPAM [VII]. (9, M) deal-desk trajectory signed evidence pack [VII]. (11, L) multi-quarter durable agent memory [IV/IX]. (6, L) 6–9 month AE deal-cycle memory [IV]. (5, F) dynamic 9-person buying-committee graph [IX]. (6, E) deal-diagnosis causation [IX/VII]. (1, M), (2, M), (3, M) marketing-shape trajectory observability [VII].</w:t>
      </w:r>
    </w:p>
    <w:p>
      <w:pPr>
        <w:pStyle w:val="BodyText"/>
      </w:pPr>
      <w:r>
        <w:rPr>
          <w:b/>
          <w:bCs/>
        </w:rPr>
        <w:t xml:space="preserve">Early Custom (bespoke deployments; replicable pattern emerging):</w:t>
      </w:r>
      <w:r>
        <w:t xml:space="preserve"> </w:t>
      </w:r>
      <w:r>
        <w:t xml:space="preserve">(4, K) LinkedIn/Sales Nav GUI driving [II/VI] under OSWorld 65%. (6, K) AE motion GUI driving — MS Sales Copilot structural advantage [II/IX]. (8, G) RevOps pipeline-scrub loop closure [IX]. (11, I) outcome-based pricing operator playbook [IX]. (9, I) AI-specific contract addendum library — Ironclad/LinkSquares/SpotDraft Q2 ’26 roadmap-committed [IX]. (7, J+M) trajectory-grade procurement-seam enablement coach [IX/VII]. (12, L) 8-quarter pipeline-decay memory [IX/IV].</w:t>
      </w:r>
    </w:p>
    <w:p>
      <w:pPr>
        <w:pStyle w:val="BodyText"/>
      </w:pPr>
      <w:r>
        <w:rPr>
          <w:b/>
          <w:bCs/>
        </w:rPr>
        <w:t xml:space="preserve">Late Custom → early Product:</w:t>
      </w:r>
      <w:r>
        <w:t xml:space="preserve"> </w:t>
      </w:r>
      <w:r>
        <w:t xml:space="preserve">(3, A+L+F) PLG signal-memory-hygiene — Common Room $30M ARR May ’26 [IX]. (4, A) SDR research/enrichment — Clay $100M @ $1.5B Jan ’26 = winner-eats-most [IX]. (8, F) CRM hygiene multi-tenant write governance [IX]. (6, A) AE pre-call brief — MS Sales Copilot, Agentforce, Gong Engage, Hebbia, Rogo, Glean [IX]. (10, G) CS multi-step refund/account-change [IX/X]. (12, F) forecasting narrative retrieval — Gong</w:t>
      </w:r>
      <w:r>
        <w:t xml:space="preserve"> </w:t>
      </w:r>
      <w:r>
        <w:t xml:space="preserve">“Deal Stories”</w:t>
      </w:r>
      <w:r>
        <w:t xml:space="preserve"> </w:t>
      </w:r>
      <w:r>
        <w:t xml:space="preserve">widely adopted [IX]. MCP gateways — Cloudflare, Kong, Pomerium [II/III] with F500 design partners.</w:t>
      </w:r>
    </w:p>
    <w:p>
      <w:pPr>
        <w:pStyle w:val="BodyText"/>
      </w:pPr>
      <w:r>
        <w:rPr>
          <w:b/>
          <w:bCs/>
        </w:rPr>
        <w:t xml:space="preserve">Product / Rental:</w:t>
      </w:r>
      <w:r>
        <w:t xml:space="preserve"> </w:t>
      </w:r>
      <w:r>
        <w:t xml:space="preserve">(10, D) Tier-1/2 CS issue resolution — Sierra ($175M+ ARR), Decagon, Intercom Fin, Ada, Forethought, Hippocratic, SF Agentforce, HubSpot —</w:t>
      </w:r>
      <w:r>
        <w:t xml:space="preserve"> </w:t>
      </w:r>
      <w:r>
        <w:rPr>
          <w:b/>
          <w:bCs/>
        </w:rPr>
        <w:t xml:space="preserve">densest cell by dollars</w:t>
      </w:r>
      <w:r>
        <w:t xml:space="preserve"> </w:t>
      </w:r>
      <w:r>
        <w:t xml:space="preserve">[IX]. (4, B) SDR content + (4, C) cadences — 11x flat $20M; Outreach/Salesloft/Apollo absorb cadences [IX]. (2, B) content/SEO — Jasper/Writer/Copy.ai; E-E-A-T suppression risk [IX]. (12, H) forecasting decision support — Clari/BoostUp/Aviso/Gong/Einstein; 5–15% MAPE lift honest [IX]. (7, A–E) enablement content &amp; coaching saturated [IX]. (6, J) AE coaching saturated [IX].</w:t>
      </w:r>
      <w:r>
        <w:t xml:space="preserve"> </w:t>
      </w:r>
      <w:r>
        <w:rPr>
          <w:b/>
          <w:bCs/>
        </w:rPr>
        <w:t xml:space="preserve">Microsoft 365 Copilot for Sales</w:t>
      </w:r>
      <w:r>
        <w:t xml:space="preserve"> </w:t>
      </w:r>
      <w:r>
        <w:t xml:space="preserve">30M+ paid seats / $5B+ ARR Q1 ’26 [IX/X].</w:t>
      </w:r>
      <w:r>
        <w:t xml:space="preserve"> </w:t>
      </w:r>
      <w:r>
        <w:rPr>
          <w:b/>
          <w:bCs/>
        </w:rPr>
        <w:t xml:space="preserve">Salesforce Agentforce</w:t>
      </w:r>
      <w:r>
        <w:t xml:space="preserve"> </w:t>
      </w:r>
      <w:r>
        <w:t xml:space="preserve">every M=1–12 cell [IX].</w:t>
      </w:r>
      <w:r>
        <w:t xml:space="preserve"> </w:t>
      </w:r>
      <w:r>
        <w:rPr>
          <w:b/>
          <w:bCs/>
        </w:rPr>
        <w:t xml:space="preserve">Glean</w:t>
      </w:r>
      <w:r>
        <w:t xml:space="preserve"> </w:t>
      </w:r>
      <w:r>
        <w:t xml:space="preserve">$300M+ ARR Q1 ’26 / $7.2B Sep ’25 [IX].</w:t>
      </w:r>
    </w:p>
    <w:p>
      <w:pPr>
        <w:pStyle w:val="BodyText"/>
      </w:pPr>
      <w:r>
        <w:rPr>
          <w:b/>
          <w:bCs/>
        </w:rPr>
        <w:t xml:space="preserve">Late Product → Commodity:</w:t>
      </w:r>
      <w:r>
        <w:t xml:space="preserve"> </w:t>
      </w:r>
      <w:r>
        <w:t xml:space="preserve">LangSmith / Braintrust / Galileo / Arize tracing (eng-shape) — OTel GenAI stabilized Jan ’26 [VII]. Voice substrate (LiveKit, Cartesia, Deepgram, Twilio) for (10, D) [II/VI]. Sandboxes (E2B, Modal, Vercel) under (10, G) / (8, G) [II]. Foundation-model API calls under every cell [I].</w:t>
      </w:r>
    </w:p>
    <w:p>
      <w:pPr>
        <w:pStyle w:val="BodyText"/>
      </w:pPr>
      <w:r>
        <w:rPr>
          <w:b/>
          <w:bCs/>
        </w:rPr>
        <w:t xml:space="preserve">Pattern.</w:t>
      </w:r>
      <w:r>
        <w:t xml:space="preserve"> </w:t>
      </w:r>
      <w:r>
        <w:t xml:space="preserve">Vertical-agent IX vendors saturate Product stage. The matrix’s</w:t>
      </w:r>
      <w:r>
        <w:t xml:space="preserve"> </w:t>
      </w:r>
      <w:r>
        <w:rPr>
          <w:i/>
          <w:iCs/>
        </w:rPr>
        <w:t xml:space="preserve">interesting</w:t>
      </w:r>
      <w:r>
        <w:t xml:space="preserve"> </w:t>
      </w:r>
      <w:r>
        <w:t xml:space="preserve">cells are where Genesis II/IV/VII/VIII slivers must attach to those Product-stage substrates.</w:t>
      </w:r>
      <w:r>
        <w:t xml:space="preserve"> </w:t>
      </w:r>
      <w:r>
        <w:rPr>
          <w:b/>
          <w:bCs/>
        </w:rPr>
        <w:t xml:space="preserve">The bottleneck is always Genesis; never the substrate.</w:t>
      </w:r>
    </w:p>
    <w:bookmarkEnd w:id="37"/>
    <w:bookmarkStart w:id="38" w:name="Xf09a74da94a39aafef5231266441d788272f1e8"/>
    <w:p>
      <w:pPr>
        <w:pStyle w:val="Heading3"/>
      </w:pPr>
      <w:r>
        <w:t xml:space="preserve">8.4 The six punctuated equilibria with dates and cell-coverage implications</w:t>
      </w:r>
    </w:p>
    <w:p>
      <w:pPr>
        <w:pStyle w:val="FirstParagraph"/>
      </w:pPr>
      <w:r>
        <w:rPr>
          <w:b/>
          <w:bCs/>
        </w:rPr>
        <w:t xml:space="preserve">PE-1. OSWorld 65% crossed on a frontier system. (Q3 2026 expected.)</w:t>
      </w:r>
      <w:r>
        <w:t xml:space="preserve"> </w:t>
      </w:r>
      <w:r>
        <w:t xml:space="preserve">Trigger: Anthropic CU 4.5 / GPT-Operator-2 / Mariner 1.5 public scoreboard event. Cells repriced: the entire K-column moves from Genesis to Custom-deployable for narrow lanes — (4, K), (6, K), (8, K), (9, K), (10, K), (11, K), (12, K).</w:t>
      </w:r>
      <w:r>
        <w:t xml:space="preserve"> </w:t>
      </w:r>
      <w:r>
        <w:rPr>
          <w:b/>
          <w:bCs/>
        </w:rPr>
        <w:t xml:space="preserve">Winner-by-default: Microsoft Sales Copilot</w:t>
      </w:r>
      <w:r>
        <w:t xml:space="preserve"> </w:t>
      </w:r>
      <w:r>
        <w:t xml:space="preserve">owns LinkedIn graph + M365 + Dynamics + Outlook first-party. Standalone CU plays survive only on non-LinkedIn signal layers or non-MS-shop AE stacks. Bet #2 NYC targets that aren’t MS-shop ride this. Adjacent-possible: BPO-shape services billed per-completed-trajectory at 1/5 cost; reprices UiPath/Automation Anywhere; AI-augmented click-bot shapes the (8, G) loop closure.</w:t>
      </w:r>
    </w:p>
    <w:p>
      <w:pPr>
        <w:pStyle w:val="BodyText"/>
      </w:pPr>
      <w:r>
        <w:rPr>
          <w:b/>
          <w:bCs/>
        </w:rPr>
        <w:t xml:space="preserve">PE-2. EU AI Act Article 14 first enforcement action. (Late 2026 / Q1 2027.)</w:t>
      </w:r>
      <w:r>
        <w:t xml:space="preserve"> </w:t>
      </w:r>
      <w:r>
        <w:t xml:space="preserve">Trigger: Commission Art. 14 enforcement; first GPAI fine. Draft conformity Feb 2026 names Inspect AI explicitly. Cells repriced: the entire M-column flips from</w:t>
      </w:r>
      <w:r>
        <w:t xml:space="preserve"> </w:t>
      </w:r>
      <w:r>
        <w:t xml:space="preserve">“would-be-nice procurement evidence”</w:t>
      </w:r>
      <w:r>
        <w:t xml:space="preserve"> </w:t>
      </w:r>
      <w:r>
        <w:t xml:space="preserve">to</w:t>
      </w:r>
      <w:r>
        <w:t xml:space="preserve"> </w:t>
      </w:r>
      <w:r>
        <w:t xml:space="preserve">“regulatorily mandatory”</w:t>
      </w:r>
      <w:r>
        <w:t xml:space="preserve"> </w:t>
      </w:r>
      <w:r>
        <w:t xml:space="preserve">— (9, G), (9, M), (4, M), (6, M), (10, M), (11, M), (12, M).</w:t>
      </w:r>
      <w:r>
        <w:t xml:space="preserve"> </w:t>
      </w:r>
      <w:r>
        <w:rPr>
          <w:b/>
          <w:bCs/>
        </w:rPr>
        <w:t xml:space="preserve">Bet #1 TAM expands 5×.</w:t>
      </w:r>
      <w:r>
        <w:t xml:space="preserve"> </w:t>
      </w:r>
      <w:r>
        <w:t xml:space="preserve">Adjacent-possible: open-spec stewardship of the Article 14 Tie-Out Standard (Bet-C10); first credible publisher = procurement default for next five years.</w:t>
      </w:r>
      <w:r>
        <w:t xml:space="preserve"> </w:t>
      </w:r>
      <w:r>
        <w:rPr>
          <w:b/>
          <w:bCs/>
        </w:rPr>
        <w:t xml:space="preserve">This is Bet #1’s most asymmetric outcome.</w:t>
      </w:r>
    </w:p>
    <w:p>
      <w:pPr>
        <w:pStyle w:val="BodyText"/>
      </w:pPr>
      <w:r>
        <w:rPr>
          <w:b/>
          <w:bCs/>
        </w:rPr>
        <w:t xml:space="preserve">PE-3. Sierra ARR crosses $500M. (Mid-2027 expected; $175M+ Q1 ’26 at 400% YoY.)</w:t>
      </w:r>
      <w:r>
        <w:t xml:space="preserve"> </w:t>
      </w:r>
      <w:r>
        <w:t xml:space="preserve">Trigger: Sierra disclosure or leak. Cells repriced: (10, D), (10, G), (10, L), (11, I), (11, L) — vertical-agent Product → late-Product / early-Commodity at the</w:t>
      </w:r>
      <w:r>
        <w:t xml:space="preserve"> </w:t>
      </w:r>
      <w:r>
        <w:rPr>
          <w:i/>
          <w:iCs/>
        </w:rPr>
        <w:t xml:space="preserve">top</w:t>
      </w:r>
      <w:r>
        <w:t xml:space="preserve"> </w:t>
      </w:r>
      <w:r>
        <w:t xml:space="preserve">of the stack. Sets reference pricing for outcome-priced agent contracts F500-wide. Reprices Bet #2 NYC target equity bands upward (Hebbia, Rogo, Decagon ride the comp). Adjacent-possible: SOX rev-rec dispute mechanics for outcome pricing (Bet-C4) — the outcome-pricing contract template becomes the procurement-side counterpart Alex plants a flag on.</w:t>
      </w:r>
    </w:p>
    <w:p>
      <w:pPr>
        <w:pStyle w:val="BodyText"/>
      </w:pPr>
      <w:r>
        <w:rPr>
          <w:b/>
          <w:bCs/>
        </w:rPr>
        <w:t xml:space="preserve">PE-4. MCP gateway sub-category solidifies as Product. (H2 2026.)</w:t>
      </w:r>
      <w:r>
        <w:t xml:space="preserve"> </w:t>
      </w:r>
      <w:r>
        <w:t xml:space="preserve">Trigger: Cloudflare MCP Gateway GA, Kong v2, Pomerium identity-aware proxy at named F500. Cells repriced: (9, G), (4, K), (6, K), (8, F), (8, K), (10, K), (11, K) — auth/audit/rate-limit/secret-injection control plane hardens; gateway-control-plane TAM forms a distinct line. Sub-stratum III crosses Custom → Product. Adjacent-possible: MCP-native iPaaS (Zapier replacement); F500-private MCP registries.</w:t>
      </w:r>
      <w:r>
        <w:t xml:space="preserve"> </w:t>
      </w:r>
      <w:r>
        <w:rPr>
          <w:b/>
          <w:bCs/>
        </w:rPr>
        <w:t xml:space="preserve">Bet #3 reframed-target</w:t>
      </w:r>
      <w:r>
        <w:t xml:space="preserve"> </w:t>
      </w:r>
      <w:r>
        <w:t xml:space="preserve">— Cloudflare/Kong advisory + pair-with positioning is the canonical Settle move.</w:t>
      </w:r>
      <w:r>
        <w:t xml:space="preserve"> </w:t>
      </w:r>
      <w:r>
        <w:rPr>
          <w:b/>
          <w:bCs/>
        </w:rPr>
        <w:t xml:space="preserve">PE-4 compresses the Bet #3 window faster than Volume III anticipated</w:t>
      </w:r>
      <w:r>
        <w:t xml:space="preserve"> </w:t>
      </w:r>
      <w:r>
        <w:t xml:space="preserve">— this is the biggest sequencing change Wardley demands.</w:t>
      </w:r>
    </w:p>
    <w:p>
      <w:pPr>
        <w:pStyle w:val="BodyText"/>
      </w:pPr>
      <w:r>
        <w:rPr>
          <w:b/>
          <w:bCs/>
        </w:rPr>
        <w:t xml:space="preserve">PE-5. Anthropic ARR Q3 2026 resolution. (Q3 2026.)</w:t>
      </w:r>
      <w:r>
        <w:t xml:space="preserve"> </w:t>
      </w:r>
      <w:r>
        <w:t xml:space="preserve">Trigger: Anthropic audited disclosure or leak; resolves $24B vs $30B. Cells repriced:</w:t>
      </w:r>
      <w:r>
        <w:t xml:space="preserve"> </w:t>
      </w:r>
      <w:r>
        <w:rPr>
          <w:b/>
          <w:bCs/>
        </w:rPr>
        <w:t xml:space="preserve">all IX cells across the matrix</w:t>
      </w:r>
      <w:r>
        <w:t xml:space="preserve"> </w:t>
      </w:r>
      <w:r>
        <w:t xml:space="preserve">via comp-set vibration. Lower bound = Sierra $10B → $6–8B compression, Hebbia/Rogo C-round equity bands tighten 20–30%, vertical-agent operator-equity window compresses. Upper bound = Bet #2 timing accelerates; Hebbia/Rogo up-round before EOY 2026 likely.</w:t>
      </w:r>
      <w:r>
        <w:t xml:space="preserve"> </w:t>
      </w:r>
      <w:r>
        <w:rPr>
          <w:b/>
          <w:bCs/>
        </w:rPr>
        <w:t xml:space="preserve">First-mover-window-closing event:</w:t>
      </w:r>
      <w:r>
        <w:t xml:space="preserve"> </w:t>
      </w:r>
      <w:r>
        <w:t xml:space="preserve">if Alex wants Bet #2 equity asymmetry at Hebbia/Rogo/Augment, sign</w:t>
      </w:r>
      <w:r>
        <w:t xml:space="preserve"> </w:t>
      </w:r>
      <w:r>
        <w:rPr>
          <w:i/>
          <w:iCs/>
        </w:rPr>
        <w:t xml:space="preserve">before</w:t>
      </w:r>
      <w:r>
        <w:t xml:space="preserve"> </w:t>
      </w:r>
      <w:r>
        <w:t xml:space="preserve">this resolution if conviction is high;</w:t>
      </w:r>
      <w:r>
        <w:t xml:space="preserve"> </w:t>
      </w:r>
      <w:r>
        <w:rPr>
          <w:i/>
          <w:iCs/>
        </w:rPr>
        <w:t xml:space="preserve">after</w:t>
      </w:r>
      <w:r>
        <w:t xml:space="preserve"> </w:t>
      </w:r>
      <w:r>
        <w:t xml:space="preserve">if wobbly. Window ~6 months wide.</w:t>
      </w:r>
    </w:p>
    <w:p>
      <w:pPr>
        <w:pStyle w:val="BodyText"/>
      </w:pPr>
      <w:r>
        <w:rPr>
          <w:b/>
          <w:bCs/>
        </w:rPr>
        <w:t xml:space="preserve">PE-6. Microsoft 365 Copilot crosses $10B ARR run-rate. (H1 2027 expected; $5B+ Q1 ’26.)</w:t>
      </w:r>
      <w:r>
        <w:t xml:space="preserve"> </w:t>
      </w:r>
      <w:r>
        <w:t xml:space="preserve">Trigger: Microsoft FY27 earnings disclosure. Cells repriced: the</w:t>
      </w:r>
      <w:r>
        <w:t xml:space="preserve"> </w:t>
      </w:r>
      <w:r>
        <w:rPr>
          <w:b/>
          <w:bCs/>
        </w:rPr>
        <w:t xml:space="preserve">horizontal suite floor solidifies</w:t>
      </w:r>
      <w:r>
        <w:t xml:space="preserve"> </w:t>
      </w:r>
      <w:r>
        <w:t xml:space="preserve">across (1–12, A–F) cells — every cell where M365 + Dynamics + Graph + Purview attaches. Reprices (4, A) Clay-class wedges as MS-encroached at the low end; reprices Glean (10, A)/(6, A) competing M365 directly; locks in MS-shop AE cells (6, K). The horizontal-vs-vertical battle is decided in favor of</w:t>
      </w:r>
      <w:r>
        <w:t xml:space="preserve"> </w:t>
      </w:r>
      <w:r>
        <w:t xml:space="preserve">“suite floor + vertical wedge + gateway underneath.”</w:t>
      </w:r>
      <w:r>
        <w:t xml:space="preserve"> </w:t>
      </w:r>
      <w:r>
        <w:t xml:space="preserve">Adjacent-possible: non-MS-shop GTM stacks (Salesforce + Gmail + Outreach + Slack + Notion) become the durable Bet #2 / Bet #3 target geography.</w:t>
      </w:r>
    </w:p>
    <w:p>
      <w:pPr>
        <w:pStyle w:val="BodyText"/>
      </w:pPr>
      <w:r>
        <w:rPr>
          <w:b/>
          <w:bCs/>
        </w:rPr>
        <w:t xml:space="preserve">Watchlist.</w:t>
      </w:r>
      <w:r>
        <w:t xml:space="preserve"> </w:t>
      </w:r>
      <w:r>
        <w:t xml:space="preserve">Ironclad/Vanta/Drata Q4 ’26 AI-vendor-bundle launch (falsifies Bet #1 productized branch — Tension T4). AWS Bedrock auto-routing default-on H2 ’27 (closes Bet #4 per-token + per-trajectory window).</w:t>
      </w:r>
    </w:p>
    <w:bookmarkEnd w:id="38"/>
    <w:bookmarkStart w:id="39" w:name="strategic-quadrants-for-alex"/>
    <w:p>
      <w:pPr>
        <w:pStyle w:val="Heading3"/>
      </w:pPr>
      <w:r>
        <w:t xml:space="preserve">8.5 Strategic quadrants for Alex</w:t>
      </w:r>
    </w:p>
    <w:p>
      <w:pPr>
        <w:pStyle w:val="FirstParagraph"/>
      </w:pPr>
      <w:r>
        <w:rPr>
          <w:b/>
          <w:bCs/>
        </w:rPr>
        <w:t xml:space="preserve">PIONEER (Genesis cells; write+publish, do not SaaS-productize):</w:t>
      </w:r>
      <w:r>
        <w:t xml:space="preserve"> </w:t>
      </w:r>
      <w:r>
        <w:t xml:space="preserve">(9, G) procurement gauntlet bilateral evidence pack; (9, M) deal-desk trajectory evidence pack as open-spec; (11, I) outcome-based pricing operator playbook; (4, M) SDR trajectory observability for regulatory mandates; (7, J+M) trajectory-grade enablement coach for procurement-seam work.</w:t>
      </w:r>
    </w:p>
    <w:p>
      <w:pPr>
        <w:pStyle w:val="BodyText"/>
      </w:pPr>
      <w:r>
        <w:rPr>
          <w:b/>
          <w:bCs/>
        </w:rPr>
        <w:t xml:space="preserve">SETTLE (Custom → Product cells; productize what works):</w:t>
      </w:r>
      <w:r>
        <w:t xml:space="preserve"> </w:t>
      </w:r>
      <w:r>
        <w:t xml:space="preserve">(4, A) RevOps adjacency — operator role at Clay/Common Room/Pocus; (6, A) + (12, F) Hebbia/Rogo operator role — F4 ranks Hebbia #1 NYC composite (under-funded ratio 2.5–5%, 0.20–0.40% equity, MBB+Stripe-flavored buyer, 2-quarter window before Series C); (11, I) + (10, D) Sierra/Decagon operator role — Schmidt anchor, Taylor monthly NYC, brand-prestige + cleanest secondary-liquidity; (12, H) forecasting overlay — Bet #1 module specifically targeting forecasting-vendor evaluation (Aviso/Clari dispute is a Playbook chapter waiting to happen); (3, A+L+F) Common Room operator role as (5, F) BCG candidate-from-inside (Bet-C5).</w:t>
      </w:r>
    </w:p>
    <w:p>
      <w:pPr>
        <w:pStyle w:val="BodyText"/>
      </w:pPr>
      <w:r>
        <w:rPr>
          <w:b/>
          <w:bCs/>
        </w:rPr>
        <w:t xml:space="preserve">TOWN-PLAN / CONSUME (Product → Commodity; rent, do not build):</w:t>
      </w:r>
      <w:r>
        <w:t xml:space="preserve"> </w:t>
      </w:r>
      <w:r>
        <w:t xml:space="preserve">(4, B) and (2, B) content generation — CAC-drag warning; (10, D) help-desk volume — Sierra/Decagon/Intercom Fin/Ada saturate; (7, A–E) enablement content; (4, C)/(6, C) cadences absorbed; sandboxes, voice, browser automation, OTel GenAI tracing — rent silently.</w:t>
      </w:r>
    </w:p>
    <w:p>
      <w:pPr>
        <w:pStyle w:val="BodyText"/>
      </w:pPr>
      <w:r>
        <w:rPr>
          <w:b/>
          <w:bCs/>
        </w:rPr>
        <w:t xml:space="preserve">PARTNER:</w:t>
      </w:r>
      <w:r>
        <w:t xml:space="preserve"> </w:t>
      </w:r>
      <w:r>
        <w:t xml:space="preserve">Cloudflare MCP Gateway / Kong / Pomerium — gateway-control-plane advisory layer; F100 InfoSec/AI-Governance/Legal triad in 90 days; Bet #3 reframed-target. Common Room ↔ (5, F) committee graph operator-from-inside or advisor-from-outside. Hebbia/Rogo ↔ (6, A) + (12, F). Galileo/Arize/Langfuse ↔ (4, M)/(9, M) trajectory observability productization (eng-shape vendor needs GTM-shape go-to-market — Alex is the bridge). Vanta/Drata/Ironclad ↔ (9, I) AI-specific contract addendum library — partner before they compete; T4 says they will ship Q4 ’26.</w:t>
      </w:r>
    </w:p>
    <w:bookmarkEnd w:id="39"/>
    <w:bookmarkStart w:id="40" w:name="implications-for-the-7-bets"/>
    <w:p>
      <w:pPr>
        <w:pStyle w:val="Heading3"/>
      </w:pPr>
      <w:r>
        <w:t xml:space="preserve">8.6 Implications for the 7 Bets</w:t>
      </w:r>
    </w:p>
    <w:p>
      <w:pPr>
        <w:pStyle w:val="FirstParagraph"/>
      </w:pPr>
      <w:r>
        <w:rPr>
          <w:b/>
          <w:bCs/>
        </w:rPr>
        <w:t xml:space="preserve">Most-validated by the Wardley map: Bet #1.</w:t>
      </w:r>
      <w:r>
        <w:t xml:space="preserve"> </w:t>
      </w:r>
      <w:r>
        <w:t xml:space="preserve">Procurement-grade controls sit clearly in late Genesis at (9, G), (9, M), (4, M), (11, I). No incumbent ships turnkey. Article 14 enforcement is the punctuation (PE-2). First credible publisher = procurement-default-setter. The map</w:t>
      </w:r>
      <w:r>
        <w:t xml:space="preserve"> </w:t>
      </w:r>
      <w:r>
        <w:rPr>
          <w:i/>
          <w:iCs/>
        </w:rPr>
        <w:t xml:space="preserve">forces</w:t>
      </w:r>
      <w:r>
        <w:t xml:space="preserve"> </w:t>
      </w:r>
      <w:r>
        <w:t xml:space="preserve">Bet #1 first.</w:t>
      </w:r>
      <w:r>
        <w:t xml:space="preserve"> </w:t>
      </w:r>
      <w:r>
        <w:rPr>
          <w:b/>
          <w:bCs/>
        </w:rPr>
        <w:t xml:space="preserve">Single most asymmetric position on the map.</w:t>
      </w:r>
      <w:r>
        <w:t xml:space="preserve"> </w:t>
      </w:r>
      <w:r>
        <w:t xml:space="preserve">Bet #1 carries 5× TAM upside from PE-2 alone.</w:t>
      </w:r>
    </w:p>
    <w:p>
      <w:pPr>
        <w:pStyle w:val="BodyText"/>
      </w:pPr>
      <w:r>
        <w:rPr>
          <w:b/>
          <w:bCs/>
        </w:rPr>
        <w:t xml:space="preserve">Most-threatened by the map: Bet #3 productized form.</w:t>
      </w:r>
      <w:r>
        <w:t xml:space="preserve"> </w:t>
      </w:r>
      <w:r>
        <w:t xml:space="preserve">PE-4 (MCP gateways Product H2 2026) compresses the advisory window faster than Volume III’s tracker assumed. If Cloudflare/Kong harden the control plane before Alex publishes a positioning piece, the partnership-leverage layer eats the advisory layer.</w:t>
      </w:r>
      <w:r>
        <w:t xml:space="preserve"> </w:t>
      </w:r>
      <w:r>
        <w:rPr>
          <w:b/>
          <w:bCs/>
        </w:rPr>
        <w:t xml:space="preserve">Bet #3 must run on the same clock as Bet #1, not behind it.</w:t>
      </w:r>
      <w:r>
        <w:t xml:space="preserve"> </w:t>
      </w:r>
      <w:r>
        <w:t xml:space="preserve">Sequencing change required: Bet #3 advisory positioning piece in Weeks 4–16, parallel to Bet #1 publish, not after.</w:t>
      </w:r>
    </w:p>
    <w:p>
      <w:pPr>
        <w:pStyle w:val="BodyText"/>
      </w:pPr>
      <w:r>
        <w:rPr>
          <w:b/>
          <w:bCs/>
        </w:rPr>
        <w:t xml:space="preserve">Bet #2 — held with Wardley sharpening.</w:t>
      </w:r>
      <w:r>
        <w:t xml:space="preserve"> </w:t>
      </w:r>
      <w:r>
        <w:t xml:space="preserve">PE-5 (Anthropic ARR resolution) is the</w:t>
      </w:r>
      <w:r>
        <w:t xml:space="preserve"> </w:t>
      </w:r>
      <w:r>
        <w:rPr>
          <w:i/>
          <w:iCs/>
        </w:rPr>
        <w:t xml:space="preserve">single load-bearing valuation variable</w:t>
      </w:r>
      <w:r>
        <w:t xml:space="preserve">. If conviction high, sign Hebbia/Rogo</w:t>
      </w:r>
      <w:r>
        <w:t xml:space="preserve"> </w:t>
      </w:r>
      <w:r>
        <w:rPr>
          <w:i/>
          <w:iCs/>
        </w:rPr>
        <w:t xml:space="preserve">before</w:t>
      </w:r>
      <w:r>
        <w:t xml:space="preserve"> </w:t>
      </w:r>
      <w:r>
        <w:t xml:space="preserve">Q3 2026 resolution; if wobbly,</w:t>
      </w:r>
      <w:r>
        <w:t xml:space="preserve"> </w:t>
      </w:r>
      <w:r>
        <w:rPr>
          <w:i/>
          <w:iCs/>
        </w:rPr>
        <w:t xml:space="preserve">after</w:t>
      </w:r>
      <w:r>
        <w:t xml:space="preserve">. PE-6 (M365 Copilot $10B) confirms non-MS-shop vertical-agent geography as durable. Sierra remains brand-prestige + secondary-liquidity play; Hebbia/Rogo remain equity-asymmetry play.</w:t>
      </w:r>
    </w:p>
    <w:p>
      <w:pPr>
        <w:pStyle w:val="BodyText"/>
      </w:pPr>
      <w:r>
        <w:rPr>
          <w:b/>
          <w:bCs/>
        </w:rPr>
        <w:t xml:space="preserve">Bet #4 — held, sequencing demoted.</w:t>
      </w:r>
      <w:r>
        <w:t xml:space="preserve"> </w:t>
      </w:r>
      <w:r>
        <w:t xml:space="preserve">Per-trajectory FinOps (the agent-specific reframe) sits in the AWS Bedrock auto-routing shadow (H2 2027). Window ≤18 months.</w:t>
      </w:r>
      <w:r>
        <w:t xml:space="preserve"> </w:t>
      </w:r>
      <w:r>
        <w:rPr>
          <w:b/>
          <w:bCs/>
        </w:rPr>
        <w:t xml:space="preserve">Fold into Bet #1 as a Playbook module rather than scale as standalone bet.</w:t>
      </w:r>
    </w:p>
    <w:p>
      <w:pPr>
        <w:pStyle w:val="BodyText"/>
      </w:pPr>
      <w:r>
        <w:rPr>
          <w:b/>
          <w:bCs/>
        </w:rPr>
        <w:t xml:space="preserve">Bet #5 — held with cell-attachment.</w:t>
      </w:r>
      <w:r>
        <w:t xml:space="preserve"> </w:t>
      </w:r>
      <w:r>
        <w:t xml:space="preserve">Memory architecture-as-service-line anchors at (11, L) + (6, L) + (12, L). The L-column is the matrix’s most consistent gap. PE-5/PE-1 don’t move it; Crux C5 directly resolves H2 2026.</w:t>
      </w:r>
      <w:r>
        <w:t xml:space="preserve"> </w:t>
      </w:r>
      <w:r>
        <w:rPr>
          <w:b/>
          <w:bCs/>
        </w:rPr>
        <w:t xml:space="preserve">Bundle with Bet #1 + Bet #4 as the</w:t>
      </w:r>
      <w:r>
        <w:rPr>
          <w:b/>
          <w:bCs/>
        </w:rPr>
        <w:t xml:space="preserve"> </w:t>
      </w:r>
      <w:r>
        <w:rPr>
          <w:b/>
          <w:bCs/>
        </w:rPr>
        <w:t xml:space="preserve">“Enterprise AI Architecture Audit”</w:t>
      </w:r>
      <w:r>
        <w:rPr>
          <w:b/>
          <w:bCs/>
        </w:rPr>
        <w:t xml:space="preserve"> </w:t>
      </w:r>
      <w:r>
        <w:rPr>
          <w:b/>
          <w:bCs/>
        </w:rPr>
        <w:t xml:space="preserve">three-product practice.</w:t>
      </w:r>
    </w:p>
    <w:p>
      <w:pPr>
        <w:pStyle w:val="BodyText"/>
      </w:pPr>
      <w:r>
        <w:rPr>
          <w:b/>
          <w:bCs/>
        </w:rPr>
        <w:t xml:space="preserve">Bet #6 — held.</w:t>
      </w:r>
      <w:r>
        <w:t xml:space="preserve"> </w:t>
      </w:r>
      <w:r>
        <w:t xml:space="preserve">Newsletter as distribution layer for Bets #1 and #3.</w:t>
      </w:r>
    </w:p>
    <w:p>
      <w:pPr>
        <w:pStyle w:val="BodyText"/>
      </w:pPr>
      <w:r>
        <w:rPr>
          <w:b/>
          <w:bCs/>
        </w:rPr>
        <w:t xml:space="preserve">Bet #7 — VC platform — held, deferred 12 months.</w:t>
      </w:r>
    </w:p>
    <w:p>
      <w:pPr>
        <w:pStyle w:val="BodyText"/>
      </w:pPr>
      <w:r>
        <w:rPr>
          <w:b/>
          <w:bCs/>
        </w:rPr>
        <w:t xml:space="preserve">Sequencing recommendation post-Wardley:</w:t>
      </w:r>
      <w:r>
        <w:t xml:space="preserve"> </w:t>
      </w:r>
      <w:r>
        <w:t xml:space="preserve">1. Bet #1 published — Weeks 1–12. Map says first; synthesis says first; agreement is rare.</w:t>
      </w:r>
      <w:r>
        <w:t xml:space="preserve"> </w:t>
      </w:r>
      <w:r>
        <w:t xml:space="preserve">2. Bet #2 NYC operator role — Weeks 4–26. Parallel-track with Bet #1; sign before Q3 2026 Anthropic ARR resolution if conviction high.</w:t>
      </w:r>
      <w:r>
        <w:t xml:space="preserve"> </w:t>
      </w:r>
      <w:r>
        <w:t xml:space="preserve">3. Bet #3 reframed — Weeks 4–16. Cloudflare/Kong advisory positioning piece on same clock as Bet #1; PE-4 closes faster than expected.</w:t>
      </w:r>
      <w:r>
        <w:t xml:space="preserve"> </w:t>
      </w:r>
      <w:r>
        <w:t xml:space="preserve">4. Bet #4 + #5 folded — Weeks 12–26. Three-product practice with Bet #1 anchor.</w:t>
      </w:r>
      <w:r>
        <w:t xml:space="preserve"> </w:t>
      </w:r>
      <w:r>
        <w:t xml:space="preserve">5. Bet #6 newsletter — Weeks 2–4 launch. Distribution layer.</w:t>
      </w:r>
      <w:r>
        <w:t xml:space="preserve"> </w:t>
      </w:r>
      <w:r>
        <w:t xml:space="preserve">6. Bet #7 VC platform — deferred Q4 2026.</w:t>
      </w:r>
    </w:p>
    <w:p>
      <w:pPr>
        <w:pStyle w:val="BodyText"/>
      </w:pPr>
      <w:r>
        <w:rPr>
          <w:b/>
          <w:bCs/>
        </w:rPr>
        <w:t xml:space="preserve">First-mover windows closing in next 12 months:</w:t>
      </w:r>
      <w:r>
        <w:t xml:space="preserve"> </w:t>
      </w:r>
      <w:r>
        <w:t xml:space="preserve">Article 14 procurement-default standard (Q4 ’26 / Q1 ’27; 6–9 month window); Hebbia/Rogo/Augment up-round equity asymmetry (2-quarter window pre-Series C); MCP gateway advisory positioning (H2 2026; closes when Cloudflare publishes its named-customer F100 procurement template); per-trajectory FinOps advisory (12–18 months; closes when AWS Bedrock auto-routing default-on).</w:t>
      </w:r>
    </w:p>
    <w:bookmarkEnd w:id="40"/>
    <w:bookmarkStart w:id="41" w:name="X7b492bed1ef9dbd3bc9e510056922dc5547d2c4"/>
    <w:p>
      <w:pPr>
        <w:pStyle w:val="Heading3"/>
      </w:pPr>
      <w:r>
        <w:t xml:space="preserve">8.7 Three open questions Wardley alone cannot answer</w:t>
      </w:r>
    </w:p>
    <w:p>
      <w:pPr>
        <w:pStyle w:val="FirstParagraph"/>
      </w:pPr>
      <w:r>
        <w:rPr>
          <w:b/>
          <w:bCs/>
        </w:rPr>
        <w:t xml:space="preserve">Q1.</w:t>
      </w:r>
      <w:r>
        <w:t xml:space="preserve"> </w:t>
      </w:r>
      <w:r>
        <w:t xml:space="preserve">Where is the</w:t>
      </w:r>
      <w:r>
        <w:t xml:space="preserve"> </w:t>
      </w:r>
      <w:r>
        <w:rPr>
          <w:i/>
          <w:iCs/>
        </w:rPr>
        <w:t xml:space="preserve">power</w:t>
      </w:r>
      <w:r>
        <w:t xml:space="preserve"> </w:t>
      </w:r>
      <w:r>
        <w:t xml:space="preserve">— at the procurement seam, at the gateway, or in the vertical-agent operator role? Wardley places (9, G) in late Genesis and the gateway in early Product. It does not adjudicate which position confers durable Power.</w:t>
      </w:r>
      <w:r>
        <w:t xml:space="preserve"> </w:t>
      </w:r>
      <w:r>
        <w:rPr>
          <w:b/>
          <w:bCs/>
        </w:rPr>
        <w:t xml:space="preserve">Hand off to Part IX (Seven Powers).</w:t>
      </w:r>
    </w:p>
    <w:p>
      <w:pPr>
        <w:pStyle w:val="BodyText"/>
      </w:pPr>
      <w:r>
        <w:rPr>
          <w:b/>
          <w:bCs/>
        </w:rPr>
        <w:t xml:space="preserve">Q2.</w:t>
      </w:r>
      <w:r>
        <w:t xml:space="preserve"> </w:t>
      </w:r>
      <w:r>
        <w:t xml:space="preserve">Whose JTBD does the (9, G) Playbook actually satisfy — InfoSec, CIO, CRO, or AI-vendor GTM lead? The map confirms the artifact is the through-line; doesn’t tell us which buyer JTBD generates highest WTP.</w:t>
      </w:r>
      <w:r>
        <w:t xml:space="preserve"> </w:t>
      </w:r>
      <w:r>
        <w:rPr>
          <w:b/>
          <w:bCs/>
        </w:rPr>
        <w:t xml:space="preserve">Hand off to Part X (JTBD).</w:t>
      </w:r>
    </w:p>
    <w:p>
      <w:pPr>
        <w:pStyle w:val="BodyText"/>
      </w:pPr>
      <w:r>
        <w:rPr>
          <w:b/>
          <w:bCs/>
        </w:rPr>
        <w:t xml:space="preserve">Q3.</w:t>
      </w:r>
      <w:r>
        <w:t xml:space="preserve"> </w:t>
      </w:r>
      <w:r>
        <w:t xml:space="preserve">Can outcome pricing (11, I) — early Custom on the map —</w:t>
      </w:r>
      <w:r>
        <w:t xml:space="preserve"> </w:t>
      </w:r>
      <w:r>
        <w:rPr>
          <w:i/>
          <w:iCs/>
        </w:rPr>
        <w:t xml:space="preserve">export</w:t>
      </w:r>
      <w:r>
        <w:t xml:space="preserve"> </w:t>
      </w:r>
      <w:r>
        <w:t xml:space="preserve">from CX into deal-desk, AE-cycle, or renewal motions before the SOX rev-rec accountability cap binds? Wardley sees evolution stage; cannot adjudicate Tension T1 (Sierra-thesis exportability vs CX-only-phenomenon).</w:t>
      </w:r>
      <w:r>
        <w:t xml:space="preserve"> </w:t>
      </w:r>
      <w:r>
        <w:rPr>
          <w:b/>
          <w:bCs/>
        </w:rPr>
        <w:t xml:space="preserve">Hand off to Parts IX + X.</w:t>
      </w:r>
    </w:p>
    <w:p>
      <w:r>
        <w:pict>
          <v:rect style="width:0;height:1.5pt" o:hralign="center" o:hrstd="t" o:hr="t"/>
        </w:pict>
      </w:r>
    </w:p>
    <w:bookmarkEnd w:id="41"/>
    <w:bookmarkEnd w:id="42"/>
    <w:bookmarkStart w:id="52" w:name="part-ix-helmers-seven-powers"/>
    <w:p>
      <w:pPr>
        <w:pStyle w:val="Heading2"/>
      </w:pPr>
      <w:r>
        <w:t xml:space="preserve">Part IX · Helmer’s Seven Powers</w:t>
      </w:r>
    </w:p>
    <w:p>
      <w:pPr>
        <w:pStyle w:val="FirstParagraph"/>
      </w:pPr>
      <w:r>
        <w:t xml:space="preserve">Most cells in the 12 × 13 are 7-Powers null. ARR, capital, and brand recall are</w:t>
      </w:r>
      <w:r>
        <w:t xml:space="preserve"> </w:t>
      </w:r>
      <w:r>
        <w:rPr>
          <w:i/>
          <w:iCs/>
        </w:rPr>
        <w:t xml:space="preserve">not</w:t>
      </w:r>
      <w:r>
        <w:t xml:space="preserve"> </w:t>
      </w:r>
      <w:r>
        <w:t xml:space="preserve">Power. The honest read at company resolution: roughly</w:t>
      </w:r>
      <w:r>
        <w:t xml:space="preserve"> </w:t>
      </w:r>
      <w:r>
        <w:rPr>
          <w:b/>
          <w:bCs/>
        </w:rPr>
        <w:t xml:space="preserve">6 of ~30 entities</w:t>
      </w:r>
      <w:r>
        <w:t xml:space="preserve"> </w:t>
      </w:r>
      <w:r>
        <w:t xml:space="preserve">carry a real Power; another ~8 carry a</w:t>
      </w:r>
      <w:r>
        <w:t xml:space="preserve"> </w:t>
      </w:r>
      <w:r>
        <w:rPr>
          <w:i/>
          <w:iCs/>
        </w:rPr>
        <w:t xml:space="preserve">forming</w:t>
      </w:r>
      <w:r>
        <w:t xml:space="preserve"> </w:t>
      </w:r>
      <w:r>
        <w:t xml:space="preserve">one with a defined absorption clock; the rest are seat-erosion plays, suite features, or undifferentiated wedges that will compress. The L-column (memory) and M-column (trajectory observability) are the matrix’s most consistent gaps — and the</w:t>
      </w:r>
      <w:r>
        <w:t xml:space="preserve"> </w:t>
      </w:r>
      <w:r>
        <w:rPr>
          <w:i/>
          <w:iCs/>
        </w:rPr>
        <w:t xml:space="preserve">operator-shape</w:t>
      </w:r>
      <w:r>
        <w:t xml:space="preserve"> </w:t>
      </w:r>
      <w:r>
        <w:t xml:space="preserve">Power flavors Alex can plausibly claim attach precisely to those columns through the Procurement Playbook. What follows: the six entities clearing the strict bar; the five most-durable; the five most-over-rated; operator-shape Powers Alex can claim; and the Power-per-Bet ranking that drives sequencing.</w:t>
      </w:r>
    </w:p>
    <w:bookmarkStart w:id="43" w:name="X67934cf3f6eb89c02cf3abe95197ff238246ccd"/>
    <w:p>
      <w:pPr>
        <w:pStyle w:val="Heading3"/>
      </w:pPr>
      <w:r>
        <w:t xml:space="preserve">9.1 The strict bar — Benefit + Barrier discipline</w:t>
      </w:r>
    </w:p>
    <w:p>
      <w:pPr>
        <w:pStyle w:val="FirstParagraph"/>
      </w:pPr>
      <w:r>
        <w:t xml:space="preserve">Helmer’s discipline: a Power requires both a clear Benefit (lower cost, higher willingness-to-pay, or both) and a Barrier (something a credible competitor cannot replicate at acceptable cost). Most agent-GTM positions ship Benefit (better workflow, faster close, lower cost-per-resolution) without Barrier. Six entities clear both bars at May 2026:</w:t>
      </w:r>
    </w:p>
    <w:p>
      <w:pPr>
        <w:pStyle w:val="BodyText"/>
      </w:pPr>
      <w:r>
        <w:rPr>
          <w:b/>
          <w:bCs/>
        </w:rPr>
        <w:t xml:space="preserve">Sierra [IX] — Process Power (CX outcome-pricing operations) + emerging Switching Costs.</w:t>
      </w:r>
      <w:r>
        <w:t xml:space="preserve"> </w:t>
      </w:r>
      <w:r>
        <w:t xml:space="preserve">$175M+ ARR Q1 ’26 / $10B Mar ’26 rumored. Two years of operational scar tissue on per-resolution SLA infrastructure is not codifiable in a runbook; Decagon is one cycle behind on the same curve. Anchors (10, D) — densest cell by dollars — owns (11, I) outcome-pricing-at-scale; sub-agent privilege docs most mature in industry per playbook draft §III.4. Cell coverage: 5 high-OCQ cells.</w:t>
      </w:r>
    </w:p>
    <w:p>
      <w:pPr>
        <w:pStyle w:val="BodyText"/>
      </w:pPr>
      <w:r>
        <w:rPr>
          <w:b/>
          <w:bCs/>
        </w:rPr>
        <w:t xml:space="preserve">Glean [IX] — Network Economies (org-bounded data graph) + Switching Costs (30+ MCP connectors).</w:t>
      </w:r>
      <w:r>
        <w:t xml:space="preserve"> </w:t>
      </w:r>
      <w:r>
        <w:t xml:space="preserve">$300M+ ARR Q1 ’26 / $7.2B Sep ’25. The</w:t>
      </w:r>
      <w:r>
        <w:t xml:space="preserve"> </w:t>
      </w:r>
      <w:r>
        <w:rPr>
          <w:i/>
          <w:iCs/>
        </w:rPr>
        <w:t xml:space="preserve">only</w:t>
      </w:r>
      <w:r>
        <w:t xml:space="preserve"> </w:t>
      </w:r>
      <w:r>
        <w:t xml:space="preserve">credible Network Economies in the vertical-agent layer — graph density compounds with internal usage. Cross-system retrieval anchors (12, F), (6, A), (8, A), (10, A). Cell coverage: 4 high-OCQ cells.</w:t>
      </w:r>
    </w:p>
    <w:p>
      <w:pPr>
        <w:pStyle w:val="BodyText"/>
      </w:pPr>
      <w:r>
        <w:rPr>
          <w:b/>
          <w:bCs/>
        </w:rPr>
        <w:t xml:space="preserve">Harvey [IX] — Cornered Resource (Cravath/Allen-Overy/Paul-Weiss design partners) + Process Power (BigLaw RLHF) + Switching Costs (privilege/bar liability fence).</w:t>
      </w:r>
      <w:r>
        <w:t xml:space="preserve"> </w:t>
      </w:r>
      <w:r>
        <w:t xml:space="preserve">$100M+ ARR Q1 ’26 / $5B Feb ’26. The</w:t>
      </w:r>
      <w:r>
        <w:t xml:space="preserve"> </w:t>
      </w:r>
      <w:r>
        <w:rPr>
          <w:i/>
          <w:iCs/>
        </w:rPr>
        <w:t xml:space="preserve">cleanest three-Power stack</w:t>
      </w:r>
      <w:r>
        <w:t xml:space="preserve"> </w:t>
      </w:r>
      <w:r>
        <w:t xml:space="preserve">in the matrix — narrow vertical, but no one can replicate the F100 law-firm distribution combinatorics inside the window. Cell coverage: 2 (legal-vertical bound).</w:t>
      </w:r>
    </w:p>
    <w:p>
      <w:pPr>
        <w:pStyle w:val="BodyText"/>
      </w:pPr>
      <w:r>
        <w:rPr>
          <w:b/>
          <w:bCs/>
        </w:rPr>
        <w:t xml:space="preserve">Hippocratic AI [IX] — Cornered Resource (state-licensing BAAs, Epic/Cerner embed, $9/hr</w:t>
      </w:r>
      <w:r>
        <w:rPr>
          <w:b/>
          <w:bCs/>
        </w:rPr>
        <w:t xml:space="preserve"> </w:t>
      </w:r>
      <w:r>
        <w:rPr>
          <w:b/>
          <w:bCs/>
        </w:rPr>
        <w:t xml:space="preserve">“RN-eq”</w:t>
      </w:r>
      <w:r>
        <w:rPr>
          <w:b/>
          <w:bCs/>
        </w:rPr>
        <w:t xml:space="preserve"> </w:t>
      </w:r>
      <w:r>
        <w:rPr>
          <w:b/>
          <w:bCs/>
        </w:rPr>
        <w:t xml:space="preserve">credential pool).</w:t>
      </w:r>
      <w:r>
        <w:t xml:space="preserve"> </w:t>
      </w:r>
      <w:r>
        <w:t xml:space="preserve">Healthcare-vertical bound. Cell coverage: 2.</w:t>
      </w:r>
    </w:p>
    <w:p>
      <w:pPr>
        <w:pStyle w:val="BodyText"/>
      </w:pPr>
      <w:r>
        <w:rPr>
          <w:b/>
          <w:bCs/>
        </w:rPr>
        <w:t xml:space="preserve">Gong [IX/VII] — Process Power (call-data corpus pipeline) + Switching Costs (call-recording integration) + Brand.</w:t>
      </w:r>
      <w:r>
        <w:t xml:space="preserve"> </w:t>
      </w:r>
      <w:r>
        <w:t xml:space="preserve">Cell coverage: 7 cells across (4, E), (4, J), (5, E), (6, D), (6, E), (6, F), (7, J+M), (12, F) — broadest Process-Power footprint in the matrix.</w:t>
      </w:r>
    </w:p>
    <w:p>
      <w:pPr>
        <w:pStyle w:val="BodyText"/>
      </w:pPr>
      <w:r>
        <w:rPr>
          <w:b/>
          <w:bCs/>
        </w:rPr>
        <w:t xml:space="preserve">Microsoft 365 Copilot for Sales [IX/X] — Scale + Switching + Network + Cornered Resource (LinkedIn graph).</w:t>
      </w:r>
      <w:r>
        <w:t xml:space="preserve"> </w:t>
      </w:r>
      <w:r>
        <w:t xml:space="preserve">$5B+ ARR Q1 ’26, 30M+ paid seats.</w:t>
      </w:r>
      <w:r>
        <w:t xml:space="preserve"> </w:t>
      </w:r>
      <w:r>
        <w:rPr>
          <w:b/>
          <w:bCs/>
        </w:rPr>
        <w:t xml:space="preserve">The only entity in the matrix with four Powers stacked.</w:t>
      </w:r>
      <w:r>
        <w:t xml:space="preserve"> </w:t>
      </w:r>
      <w:r>
        <w:t xml:space="preserve">Cell coverage: highest in the matrix.</w:t>
      </w:r>
    </w:p>
    <w:p>
      <w:pPr>
        <w:pStyle w:val="BodyText"/>
      </w:pPr>
      <w:r>
        <w:t xml:space="preserve">Two more clear Switching-only with real depth:</w:t>
      </w:r>
      <w:r>
        <w:t xml:space="preserve"> </w:t>
      </w:r>
      <w:r>
        <w:rPr>
          <w:b/>
          <w:bCs/>
        </w:rPr>
        <w:t xml:space="preserve">Cloudflare AI Gateway [II/III]</w:t>
      </w:r>
      <w:r>
        <w:t xml:space="preserve"> </w:t>
      </w:r>
      <w:r>
        <w:t xml:space="preserve">(auth/audit/rate-limit/secret-injection enterprise plumbing, OCQ ~16) and</w:t>
      </w:r>
      <w:r>
        <w:t xml:space="preserve"> </w:t>
      </w:r>
      <w:r>
        <w:rPr>
          <w:b/>
          <w:bCs/>
        </w:rPr>
        <w:t xml:space="preserve">Clay [IX]</w:t>
      </w:r>
      <w:r>
        <w:t xml:space="preserve"> </w:t>
      </w:r>
      <w:r>
        <w:t xml:space="preserve">(RevOps orchestration scar tissue at (4, A)/(4, F)/(5, A)/(8, F)). Salesforce Agentforce is Yes on Scale + Switching but the per-conv pricing retreat Feb ’26 exposed weak unit economics — its Power is</w:t>
      </w:r>
      <w:r>
        <w:t xml:space="preserve"> </w:t>
      </w:r>
      <w:r>
        <w:rPr>
          <w:i/>
          <w:iCs/>
        </w:rPr>
        <w:t xml:space="preserve">suite-shape</w:t>
      </w:r>
      <w:r>
        <w:t xml:space="preserve">, not agent-shape. The remaining ~21 named entities carry Forming or No.</w:t>
      </w:r>
    </w:p>
    <w:bookmarkEnd w:id="43"/>
    <w:bookmarkStart w:id="44" w:name="Xcb3c66209f7b63b04160b5fe59bd55baf028d7d"/>
    <w:p>
      <w:pPr>
        <w:pStyle w:val="Heading3"/>
      </w:pPr>
      <w:r>
        <w:t xml:space="preserve">9.2 The 5 most-durable agent-GTM positions, May 2026</w:t>
      </w:r>
    </w:p>
    <w:p>
      <w:pPr>
        <w:pStyle w:val="FirstParagraph"/>
      </w:pPr>
      <w:r>
        <w:t xml:space="preserve">Ranked by power-stack durability against the five named Risks (R1 foundation-labs-up-stack, R2 MCP fork, R3 Anthropic ARR downside, R4 hyperscaler bundling, R5 EU AI Act paper-tiger).</w:t>
      </w:r>
    </w:p>
    <w:p>
      <w:pPr>
        <w:pStyle w:val="BodyText"/>
      </w:pPr>
      <w:r>
        <w:rPr>
          <w:b/>
          <w:bCs/>
        </w:rPr>
        <w:t xml:space="preserve">1. Microsoft 365 Copilot for Sales — four Powers stacked.</w:t>
      </w:r>
      <w:r>
        <w:t xml:space="preserve"> </w:t>
      </w:r>
      <w:r>
        <w:t xml:space="preserve">Survives R1 (it IS the foundation-lab walk-up via OpenAI dependency, with first-party fallback via MAI-1 in development), R2 (Microsoft’s tool-use schema is bigger than MCP’s adoption math; if MCP forks Microsoft wins by mass), R3 (Anthropic ARR downside doesn’t touch Azure-OpenAI), R4 (Microsoft</w:t>
      </w:r>
      <w:r>
        <w:t xml:space="preserve"> </w:t>
      </w:r>
      <w:r>
        <w:rPr>
          <w:i/>
          <w:iCs/>
        </w:rPr>
        <w:t xml:space="preserve">is</w:t>
      </w:r>
      <w:r>
        <w:t xml:space="preserve"> </w:t>
      </w:r>
      <w:r>
        <w:t xml:space="preserve">the bundler), R5 (M365 has the largest EU AI Act compliance team on earth).</w:t>
      </w:r>
      <w:r>
        <w:t xml:space="preserve"> </w:t>
      </w:r>
      <w:r>
        <w:rPr>
          <w:b/>
          <w:bCs/>
        </w:rPr>
        <w:t xml:space="preserve">The single most-durable agent-GTM position.</w:t>
      </w:r>
      <w:r>
        <w:t xml:space="preserve"> </w:t>
      </w:r>
      <w:r>
        <w:t xml:space="preserve">Sole vulnerability: non-M365-shops (~30% of F500) where Google Workspace + Salesforce dominate, but even there Sales Copilot ships via Dynamics.</w:t>
      </w:r>
    </w:p>
    <w:p>
      <w:pPr>
        <w:pStyle w:val="BodyText"/>
      </w:pPr>
      <w:r>
        <w:rPr>
          <w:b/>
          <w:bCs/>
        </w:rPr>
        <w:t xml:space="preserve">2. Sierra — Process Power (CX outcome-pricing) + emerging Switching Costs.</w:t>
      </w:r>
      <w:r>
        <w:t xml:space="preserve"> </w:t>
      </w:r>
      <w:r>
        <w:t xml:space="preserve">Survives R1 (CX has 6th-of-9 encroachment ranking; outcome-pricing buyer expectation locks foundation labs</w:t>
      </w:r>
      <w:r>
        <w:t xml:space="preserve"> </w:t>
      </w:r>
      <w:r>
        <w:rPr>
          <w:i/>
          <w:iCs/>
        </w:rPr>
        <w:t xml:space="preserve">out</w:t>
      </w:r>
      <w:r>
        <w:t xml:space="preserve"> </w:t>
      </w:r>
      <w:r>
        <w:t xml:space="preserve">of the contract format), R3 (Sierra’s $10B mark prices Anthropic-dependent, but 22% inference cost share insulates margin), R4 (hyperscalers don’t bundle outcome pricing). Vulnerability: R5 EU paper-tiger weakens the procurement-side selling motion; R2 if MCP forks the agent OS thesis softens.</w:t>
      </w:r>
    </w:p>
    <w:p>
      <w:pPr>
        <w:pStyle w:val="BodyText"/>
      </w:pPr>
      <w:r>
        <w:rPr>
          <w:b/>
          <w:bCs/>
        </w:rPr>
        <w:t xml:space="preserve">3. Glean — Network Economies (org-bounded graph) + Switching Costs (30+ MCP connectors).</w:t>
      </w:r>
      <w:r>
        <w:t xml:space="preserve"> </w:t>
      </w:r>
      <w:r>
        <w:t xml:space="preserve">Survives R1 (ChatGPT Business connectors attack the wedge but cannot replicate org-graph density inside 18–24 months), R2 (Glean is connector-pragmatic, indifferent to MCP fork outcome), R3 (Anthropic-independent on retrieval substrate), R4 (Glean is the consolidator candidate, not consolidatee). Vulnerability: Microsoft Graph + Copilot Tenant indexing is the credible threat — if Microsoft ships cross-tenant org-search in 2027, Glean’s Network Economies compress 18–24 months.</w:t>
      </w:r>
    </w:p>
    <w:p>
      <w:pPr>
        <w:pStyle w:val="BodyText"/>
      </w:pPr>
      <w:r>
        <w:rPr>
          <w:b/>
          <w:bCs/>
        </w:rPr>
        <w:t xml:space="preserve">4. Harvey — three-Power stack (Cornered Resource + Process Power + Switching Costs).</w:t>
      </w:r>
      <w:r>
        <w:t xml:space="preserve"> </w:t>
      </w:r>
      <w:r>
        <w:t xml:space="preserve">Survives R1 (foundation labs cannot service privileged communications), R3 (legal vertical orthogonal to Anthropic ARR), R4 (hyperscalers can’t bundle a malpractice posture), R5 (EU AI Act</w:t>
      </w:r>
      <w:r>
        <w:t xml:space="preserve"> </w:t>
      </w:r>
      <w:r>
        <w:rPr>
          <w:i/>
          <w:iCs/>
        </w:rPr>
        <w:t xml:space="preserve">strengthens</w:t>
      </w:r>
      <w:r>
        <w:t xml:space="preserve"> </w:t>
      </w:r>
      <w:r>
        <w:t xml:space="preserve">Harvey — Article 14 maps onto attorney supervision norms). TAM is the constraint, not durability.</w:t>
      </w:r>
    </w:p>
    <w:p>
      <w:pPr>
        <w:pStyle w:val="BodyText"/>
      </w:pPr>
      <w:r>
        <w:rPr>
          <w:b/>
          <w:bCs/>
        </w:rPr>
        <w:t xml:space="preserve">5. Cloudflare AI Gateway — Switching Costs + Scale Economies + Branding flavor.</w:t>
      </w:r>
      <w:r>
        <w:t xml:space="preserve"> </w:t>
      </w:r>
      <w:r>
        <w:t xml:space="preserve">Once an F500 has 30+ MCP servers wired through Cloudflare with SSO and audit, ripping it out is a year of work. Survives R1 (gateway is below the encroachment line), R2 (the only entity whose Power</w:t>
      </w:r>
      <w:r>
        <w:t xml:space="preserve"> </w:t>
      </w:r>
      <w:r>
        <w:rPr>
          <w:i/>
          <w:iCs/>
        </w:rPr>
        <w:t xml:space="preserve">strengthens</w:t>
      </w:r>
      <w:r>
        <w:t xml:space="preserve"> </w:t>
      </w:r>
      <w:r>
        <w:t xml:space="preserve">whether MCP holds or forks — both outcomes route through enterprise audit anyway), R3 (Anthropic-neutral), R4 (Cloudflare IS the bundler at the edge), R5 (gateway audit log = EU AI Act tie-out artifact). Honorable peer: Kong AI Gateway for API-gateway install bases — equivalent within Kong footprint.</w:t>
      </w:r>
    </w:p>
    <w:p>
      <w:pPr>
        <w:pStyle w:val="BodyText"/>
      </w:pPr>
      <w:r>
        <w:t xml:space="preserve">Honorable mentions:</w:t>
      </w:r>
      <w:r>
        <w:t xml:space="preserve"> </w:t>
      </w:r>
      <w:r>
        <w:rPr>
          <w:b/>
          <w:bCs/>
        </w:rPr>
        <w:t xml:space="preserve">Hippocratic</w:t>
      </w:r>
      <w:r>
        <w:t xml:space="preserve"> </w:t>
      </w:r>
      <w:r>
        <w:t xml:space="preserve">(Cornered Resource on state-licensing BAAs; healthcare-vertical bound);</w:t>
      </w:r>
      <w:r>
        <w:t xml:space="preserve"> </w:t>
      </w:r>
      <w:r>
        <w:rPr>
          <w:b/>
          <w:bCs/>
        </w:rPr>
        <w:t xml:space="preserve">Clay</w:t>
      </w:r>
      <w:r>
        <w:t xml:space="preserve"> </w:t>
      </w:r>
      <w:r>
        <w:t xml:space="preserve">(only durable RevOps wedge; TAM-capped vs above five);</w:t>
      </w:r>
      <w:r>
        <w:t xml:space="preserve"> </w:t>
      </w:r>
      <w:r>
        <w:rPr>
          <w:b/>
          <w:bCs/>
        </w:rPr>
        <w:t xml:space="preserve">Gong</w:t>
      </w:r>
      <w:r>
        <w:t xml:space="preserve"> </w:t>
      </w:r>
      <w:r>
        <w:t xml:space="preserve">(call-data corpus + Brand + Process; broadest cell coverage but encroachment-exposed at (6, E) causation cell).</w:t>
      </w:r>
    </w:p>
    <w:bookmarkEnd w:id="44"/>
    <w:bookmarkStart w:id="45" w:name="X632d5c008a91b63d2eb9081ab96eb4b1d05f39b"/>
    <w:p>
      <w:pPr>
        <w:pStyle w:val="Heading3"/>
      </w:pPr>
      <w:r>
        <w:t xml:space="preserve">9.3 The 5 most-over-rated agent-GTM positions</w:t>
      </w:r>
    </w:p>
    <w:p>
      <w:pPr>
        <w:pStyle w:val="FirstParagraph"/>
      </w:pPr>
      <w:r>
        <w:rPr>
          <w:b/>
          <w:bCs/>
        </w:rPr>
        <w:t xml:space="preserve">1. 11x — Power score zero.</w:t>
      </w:r>
      <w:r>
        <w:t xml:space="preserve"> </w:t>
      </w:r>
      <w:r>
        <w:t xml:space="preserve">Synthetic-SDR thesis flat at $20M ARR; Sukkar publicly conceded the quality ceiling; RevOps buyers reject vendor outcome attribution. (4, B) is RR-negative; (4, G) is the cell of vapor. Brand fading, not forming. No Switching, no Scale, no Network.</w:t>
      </w:r>
      <w:r>
        <w:t xml:space="preserve"> </w:t>
      </w:r>
      <w:r>
        <w:rPr>
          <w:b/>
          <w:bCs/>
        </w:rPr>
        <w:t xml:space="preserve">Falsified at company resolution.</w:t>
      </w:r>
    </w:p>
    <w:p>
      <w:pPr>
        <w:pStyle w:val="BodyText"/>
      </w:pPr>
      <w:r>
        <w:rPr>
          <w:b/>
          <w:bCs/>
        </w:rPr>
        <w:t xml:space="preserve">2. Outreach AI / Salesloft AI — Switching eroding 8–12% per year.</w:t>
      </w:r>
      <w:r>
        <w:t xml:space="preserve"> </w:t>
      </w:r>
      <w:r>
        <w:t xml:space="preserve">Per-seat compression is real and accelerating; (4, C) cadence sequencing absorbed by Apollo’s data-cheap motion; Outreach AI is feature-shape inside an eroding seat license. Switching Costs that took a decade to build are losing 8–12% of TAM each year to Apollo + Common Room + Clay flanking. Not zero-power — systematically over-marked.</w:t>
      </w:r>
    </w:p>
    <w:p>
      <w:pPr>
        <w:pStyle w:val="BodyText"/>
      </w:pPr>
      <w:r>
        <w:rPr>
          <w:b/>
          <w:bCs/>
        </w:rPr>
        <w:t xml:space="preserve">3. BoostUp / Aviso — disputed accuracy claims; Switching shallow.</w:t>
      </w:r>
      <w:r>
        <w:t xml:space="preserve"> </w:t>
      </w:r>
      <w:r>
        <w:t xml:space="preserve">(12, H) MAPE plateau 8–12% across category; Aviso 98% claim disputed by Gong; Clari is the substrate everyone else reads from; BoostUp/Aviso have no proprietary signal layer. RevOps buyers churn forecasting tools faster than any other GTM category.</w:t>
      </w:r>
    </w:p>
    <w:p>
      <w:pPr>
        <w:pStyle w:val="BodyText"/>
      </w:pPr>
      <w:r>
        <w:rPr>
          <w:b/>
          <w:bCs/>
        </w:rPr>
        <w:t xml:space="preserve">4. Ada / Forethought / Kustomer / Ultimate.ai — Brand eroded, no Process Power moat.</w:t>
      </w:r>
      <w:r>
        <w:t xml:space="preserve"> </w:t>
      </w:r>
      <w:r>
        <w:t xml:space="preserve">Sierra/Decagon ate the high-end CX-agent thesis 2024–25; (10, D) bifurcates into outcome-priced winners (Sierra/Decagon) and legacy-CCaaS bundled features (everyone else). Klarna reversal Aug ’25 reset budgets</w:t>
      </w:r>
      <w:r>
        <w:t xml:space="preserve"> </w:t>
      </w:r>
      <w:r>
        <w:rPr>
          <w:i/>
          <w:iCs/>
        </w:rPr>
        <w:t xml:space="preserve">toward</w:t>
      </w:r>
      <w:r>
        <w:t xml:space="preserve"> </w:t>
      </w:r>
      <w:r>
        <w:t xml:space="preserve">Sierra, not toward the legacy stack.</w:t>
      </w:r>
    </w:p>
    <w:p>
      <w:pPr>
        <w:pStyle w:val="BodyText"/>
      </w:pPr>
      <w:r>
        <w:rPr>
          <w:b/>
          <w:bCs/>
        </w:rPr>
        <w:t xml:space="preserve">5. Notion AI / parts of HubSpot Breeze — Brand mistaken for Power.</w:t>
      </w:r>
      <w:r>
        <w:t xml:space="preserve"> </w:t>
      </w:r>
      <w:r>
        <w:t xml:space="preserve">Notion AI has zero high-OCQ GTM cell coverage; Breeze has Switching in SMB but no GTM-agent-specific Power vs the Microsoft / Salesforce / Glean trio above it. Both are Brand-rented features, not Power-bearing GTM agents.</w:t>
      </w:r>
    </w:p>
    <w:p>
      <w:pPr>
        <w:pStyle w:val="BodyText"/>
      </w:pPr>
      <w:r>
        <w:t xml:space="preserve">Honorable over-rated:</w:t>
      </w:r>
      <w:r>
        <w:t xml:space="preserve"> </w:t>
      </w:r>
      <w:r>
        <w:rPr>
          <w:b/>
          <w:bCs/>
        </w:rPr>
        <w:t xml:space="preserve">Salesforce Agentforce</w:t>
      </w:r>
      <w:r>
        <w:t xml:space="preserve"> </w:t>
      </w:r>
      <w:r>
        <w:t xml:space="preserve">at $2/conv-retreated Feb ’26 — Suite Switching is real but agent-specific Power on top is thin;</w:t>
      </w:r>
      <w:r>
        <w:t xml:space="preserve"> </w:t>
      </w:r>
      <w:r>
        <w:rPr>
          <w:b/>
          <w:bCs/>
        </w:rPr>
        <w:t xml:space="preserve">Cresta</w:t>
      </w:r>
      <w:r>
        <w:t xml:space="preserve"> </w:t>
      </w:r>
      <w:r>
        <w:t xml:space="preserve">Switching is integration-shallow and Sierra-encroachment-exposed;</w:t>
      </w:r>
      <w:r>
        <w:t xml:space="preserve"> </w:t>
      </w:r>
      <w:r>
        <w:rPr>
          <w:b/>
          <w:bCs/>
        </w:rPr>
        <w:t xml:space="preserve">Common Room</w:t>
      </w:r>
      <w:r>
        <w:t xml:space="preserve"> </w:t>
      </w:r>
      <w:r>
        <w:t xml:space="preserve">at (5, F) candidacy is</w:t>
      </w:r>
      <w:r>
        <w:t xml:space="preserve"> </w:t>
      </w:r>
      <w:r>
        <w:rPr>
          <w:i/>
          <w:iCs/>
        </w:rPr>
        <w:t xml:space="preserve">Forming</w:t>
      </w:r>
      <w:r>
        <w:t xml:space="preserve">, not won — Clay-flank risk material.</w:t>
      </w:r>
    </w:p>
    <w:bookmarkEnd w:id="45"/>
    <w:bookmarkStart w:id="46" w:name="risk-survival-analysis-at-company-level"/>
    <w:p>
      <w:pPr>
        <w:pStyle w:val="Heading3"/>
      </w:pPr>
      <w:r>
        <w:t xml:space="preserve">9.4 Risk-survival analysis at company level</w:t>
      </w:r>
    </w:p>
    <w:p>
      <w:pPr>
        <w:pStyle w:val="FirstParagraph"/>
      </w:pPr>
      <w:r>
        <w:t xml:space="preserve">The five Risks (R1–R5) act as the survivability filter; companies that pass three or more are durable, two or fewer are at material risk. Microsoft Copilot passes all five; Sierra passes four (R5 vulnerability); Glean passes four (R1 long-term vulnerability); Harvey passes four (R1 trivially because legal is foundation-lab-orthogonal); Cloudflare passes all five (the only non-Microsoft entity in the matrix to do so).</w:t>
      </w:r>
      <w:r>
        <w:t xml:space="preserve"> </w:t>
      </w:r>
      <w:r>
        <w:rPr>
          <w:b/>
          <w:bCs/>
        </w:rPr>
        <w:t xml:space="preserve">Notably, Sierra’s R5 exposure</w:t>
      </w:r>
      <w:r>
        <w:t xml:space="preserve"> </w:t>
      </w:r>
      <w:r>
        <w:t xml:space="preserve">(EU AI Act paper-tiger weakens procurement-side selling) is partially offset by Bet #1’s success — if the Procurement Playbook becomes the buyer-side reference, Sierra benefits even if Article 14 enforcement is weaker than expected. The Powers that survive Risk are the procurement-substrate Powers (gateway, governance reference, BigLaw fence), not the user-facing UI Powers.</w:t>
      </w:r>
    </w:p>
    <w:p>
      <w:pPr>
        <w:pStyle w:val="BodyText"/>
      </w:pPr>
      <w:r>
        <w:t xml:space="preserve">The over-rated five all fail on R4 (hyperscaler bundling) — they sit in the cells Microsoft/Salesforce/HubSpot suites bundle as features. 11x additionally fails R1 (foundation labs walk into outbound trivially). The over-rated set is what to avoid as a join target, what to expect compression in as an investor, and what to discount when reading vendor-marketed numbers.</w:t>
      </w:r>
    </w:p>
    <w:bookmarkEnd w:id="46"/>
    <w:bookmarkStart w:id="47" w:name="operator-shape-powers-alex-can-claim"/>
    <w:p>
      <w:pPr>
        <w:pStyle w:val="Heading3"/>
      </w:pPr>
      <w:r>
        <w:t xml:space="preserve">9.5 Operator-shape Powers Alex can claim</w:t>
      </w:r>
    </w:p>
    <w:p>
      <w:pPr>
        <w:pStyle w:val="FirstParagraph"/>
      </w:pPr>
      <w:r>
        <w:t xml:space="preserve">Alex cannot claim Scale, Network, or Cornered Resource on his own. He CAN claim three operator-shape flavors, all anchored on the Procurement Playbook (Bet #1) artifact:</w:t>
      </w:r>
    </w:p>
    <w:p>
      <w:pPr>
        <w:pStyle w:val="BodyText"/>
      </w:pPr>
      <w:r>
        <w:rPr>
          <w:b/>
          <w:bCs/>
        </w:rPr>
        <w:t xml:space="preserve">(i) Process Power — operational scar tissue.</w:t>
      </w:r>
      <w:r>
        <w:t xml:space="preserve"> </w:t>
      </w:r>
      <w:r>
        <w:t xml:space="preserve">12 years enterprise procurement + AI-builder fluency = rare-profile prerequisite. The work of running 50+ F1000 AI procurement reviews is not codifiable in a runbook; the seven-counterparty workflow is the operational craft.</w:t>
      </w:r>
      <w:r>
        <w:t xml:space="preserve"> </w:t>
      </w:r>
      <w:r>
        <w:rPr>
          <w:b/>
          <w:bCs/>
        </w:rPr>
        <w:t xml:space="preserve">Anchored on Bet #1.</w:t>
      </w:r>
      <w:r>
        <w:t xml:space="preserve"> </w:t>
      </w:r>
      <w:r>
        <w:t xml:space="preserve">Strengthens with each Playbook engagement; compounds across cycles. Falsifiability: if the Vanta/Drata/Ironclad Q4 ’26 productized branch (Tension T4) covers six of seven counterparties at the bilateral evidence pack level, the Process Power half-attenuates — but the</w:t>
      </w:r>
      <w:r>
        <w:t xml:space="preserve"> </w:t>
      </w:r>
      <w:r>
        <w:rPr>
          <w:i/>
          <w:iCs/>
        </w:rPr>
        <w:t xml:space="preserve">advisory</w:t>
      </w:r>
      <w:r>
        <w:t xml:space="preserve"> </w:t>
      </w:r>
      <w:r>
        <w:t xml:space="preserve">half remains because the seventh counterparty (EA/IT) is what Vanta cannot productize without integrating the buyer’s enterprise architecture. The seventh counterparty is the moat.</w:t>
      </w:r>
    </w:p>
    <w:p>
      <w:pPr>
        <w:pStyle w:val="BodyText"/>
      </w:pPr>
      <w:r>
        <w:rPr>
          <w:b/>
          <w:bCs/>
        </w:rPr>
        <w:t xml:space="preserve">(ii) Branding — canonical voice.</w:t>
      </w:r>
      <w:r>
        <w:t xml:space="preserve"> </w:t>
      </w:r>
      <w:r>
        <w:t xml:space="preserve">The Playbook publication moves Alex from</w:t>
      </w:r>
      <w:r>
        <w:t xml:space="preserve"> </w:t>
      </w:r>
      <w:r>
        <w:t xml:space="preserve">“operator”</w:t>
      </w:r>
      <w:r>
        <w:t xml:space="preserve"> </w:t>
      </w:r>
      <w:r>
        <w:t xml:space="preserve">to</w:t>
      </w:r>
      <w:r>
        <w:t xml:space="preserve"> </w:t>
      </w:r>
      <w:r>
        <w:t xml:space="preserve">“the procurement-standard maintainer.”</w:t>
      </w:r>
      <w:r>
        <w:t xml:space="preserve"> </w:t>
      </w:r>
      <w:r>
        <w:t xml:space="preserve">First-credible-publisher locks the procurement default for next 5 years (Playbook §III.5 Signed Reproducible Eval; §III.6 Article 14 Tie-Out — both at Genesis stage May ’26).</w:t>
      </w:r>
      <w:r>
        <w:t xml:space="preserve"> </w:t>
      </w:r>
      <w:r>
        <w:rPr>
          <w:b/>
          <w:bCs/>
        </w:rPr>
        <w:t xml:space="preserve">Anchored on Bet #1 + Bet #6.</w:t>
      </w:r>
      <w:r>
        <w:t xml:space="preserve"> </w:t>
      </w:r>
      <w:r>
        <w:t xml:space="preserve">Newsletter (Bet #6) is the distribution layer; Playbook is the artifact. Falsifiability: if a competing publisher (a major law firm, a Big Four consulting practice, or Microsoft’s compliance arm) ships an Article 14 Tie-Out reference standard before Alex publishes, the Branding flavor degrades to operator-credibility.</w:t>
      </w:r>
    </w:p>
    <w:p>
      <w:pPr>
        <w:pStyle w:val="BodyText"/>
      </w:pPr>
      <w:r>
        <w:rPr>
          <w:b/>
          <w:bCs/>
        </w:rPr>
        <w:t xml:space="preserve">(iii) Downstream Switching Costs — buyer-side reference standard.</w:t>
      </w:r>
      <w:r>
        <w:t xml:space="preserve"> </w:t>
      </w:r>
      <w:r>
        <w:t xml:space="preserve">If the Playbook becomes the buyer-side procurement reference, every AI vendor MUST answer to it — the rubric vocabulary, the addendum library, the evaluation format. Switching Costs</w:t>
      </w:r>
      <w:r>
        <w:t xml:space="preserve"> </w:t>
      </w:r>
      <w:r>
        <w:rPr>
          <w:i/>
          <w:iCs/>
        </w:rPr>
        <w:t xml:space="preserve">flow downstream</w:t>
      </w:r>
      <w:r>
        <w:t xml:space="preserve">: F500 procurement teams won’t rewrite the rubric; vendors won’t repropose against an unfamiliar one.</w:t>
      </w:r>
      <w:r>
        <w:t xml:space="preserve"> </w:t>
      </w:r>
      <w:r>
        <w:rPr>
          <w:b/>
          <w:bCs/>
        </w:rPr>
        <w:t xml:space="preserve">Anchored on Bet #1 → Bet #3 (gateway advisory) compounds.</w:t>
      </w:r>
      <w:r>
        <w:t xml:space="preserve"> </w:t>
      </w:r>
      <w:r>
        <w:t xml:space="preserve">Falsifiability: degrades if Vanta/Drata productize the rubric format itself, but their rubric will be vendor-shape (sell-side) not buyer-shape — the Switching Cost direction is opposite.</w:t>
      </w:r>
    </w:p>
    <w:bookmarkEnd w:id="47"/>
    <w:bookmarkStart w:id="48" w:name="power-per-bet-mapping"/>
    <w:p>
      <w:pPr>
        <w:pStyle w:val="Heading3"/>
      </w:pPr>
      <w:r>
        <w:t xml:space="preserve">9.6 Power-per-Bet mapping</w:t>
      </w:r>
    </w:p>
    <w:p>
      <w:pPr>
        <w:pStyle w:val="FirstParagraph"/>
      </w:pPr>
      <w:r>
        <w:rPr>
          <w:b/>
          <w:bCs/>
        </w:rPr>
        <w:t xml:space="preserve">Bet #1 (Procurement Playbook):</w:t>
      </w:r>
      <w:r>
        <w:t xml:space="preserve"> </w:t>
      </w:r>
      <w:r>
        <w:t xml:space="preserve">Builds (i) Process Power, (ii) Branding, (iii) downstream Switching Costs — three operator-shape flavors stacked.</w:t>
      </w:r>
      <w:r>
        <w:t xml:space="preserve"> </w:t>
      </w:r>
      <w:r>
        <w:rPr>
          <w:b/>
          <w:bCs/>
        </w:rPr>
        <w:t xml:space="preserve">Highest power-density bet in the portfolio.</w:t>
      </w:r>
      <w:r>
        <w:t xml:space="preserve"> </w:t>
      </w:r>
      <w:r>
        <w:t xml:space="preserve">Single artifact (Playbook) defends all three. Regulatory tailwinds (R5 with teeth from PE-2) make Branding mandatory not optional.</w:t>
      </w:r>
    </w:p>
    <w:p>
      <w:pPr>
        <w:pStyle w:val="BodyText"/>
      </w:pPr>
      <w:r>
        <w:rPr>
          <w:b/>
          <w:bCs/>
        </w:rPr>
        <w:t xml:space="preserve">Bet #2 (vertical-agent role at Hebbia/Sierra/Rogo/Harvey/Glean):</w:t>
      </w:r>
      <w:r>
        <w:t xml:space="preserve"> </w:t>
      </w:r>
      <w:r>
        <w:rPr>
          <w:b/>
          <w:bCs/>
        </w:rPr>
        <w:t xml:space="preserve">RENTS</w:t>
      </w:r>
      <w:r>
        <w:t xml:space="preserve"> </w:t>
      </w:r>
      <w:r>
        <w:t xml:space="preserve">Process Power (Sierra/Hebbia), Network Economies (Glean), or Cornered Resource (Harvey). Alex’s</w:t>
      </w:r>
      <w:r>
        <w:t xml:space="preserve"> </w:t>
      </w:r>
      <w:r>
        <w:rPr>
          <w:i/>
          <w:iCs/>
        </w:rPr>
        <w:t xml:space="preserve">equity</w:t>
      </w:r>
      <w:r>
        <w:t xml:space="preserve"> </w:t>
      </w:r>
      <w:r>
        <w:t xml:space="preserve">compounds with the power-holder’s; his</w:t>
      </w:r>
      <w:r>
        <w:t xml:space="preserve"> </w:t>
      </w:r>
      <w:r>
        <w:rPr>
          <w:i/>
          <w:iCs/>
        </w:rPr>
        <w:t xml:space="preserve">personal</w:t>
      </w:r>
      <w:r>
        <w:t xml:space="preserve"> </w:t>
      </w:r>
      <w:r>
        <w:t xml:space="preserve">Power flavor (Process via operator credibility) accumulates as side-effect.</w:t>
      </w:r>
      <w:r>
        <w:t xml:space="preserve"> </w:t>
      </w:r>
      <w:r>
        <w:rPr>
          <w:b/>
          <w:bCs/>
        </w:rPr>
        <w:t xml:space="preserve">Bet #2 is power-rent, not power-build.</w:t>
      </w:r>
      <w:r>
        <w:t xml:space="preserve"> </w:t>
      </w:r>
      <w:r>
        <w:t xml:space="preserve">Equity asymmetry &gt; Power asymmetry at Hebbia (under-funded ratio 2.5–5%, 0.20–0.40% equity); Brand-prestige &gt; equity asymmetry at Sierra.</w:t>
      </w:r>
    </w:p>
    <w:p>
      <w:pPr>
        <w:pStyle w:val="BodyText"/>
      </w:pPr>
      <w:r>
        <w:rPr>
          <w:b/>
          <w:bCs/>
        </w:rPr>
        <w:t xml:space="preserve">Bet #3 (advisory + gateway-adjacent at Cloudflare/Kong/Pomerium):</w:t>
      </w:r>
      <w:r>
        <w:t xml:space="preserve"> </w:t>
      </w:r>
      <w:r>
        <w:t xml:space="preserve">Compounds (i) Process Power and (ii) Branding from Bet #1. Pair-with positioning makes Alex the procurement-fluent operator gateways need to close F100 — gateways have Switching Costs (their Power) but no procurement-seam operator.</w:t>
      </w:r>
      <w:r>
        <w:t xml:space="preserve"> </w:t>
      </w:r>
      <w:r>
        <w:rPr>
          <w:b/>
          <w:bCs/>
        </w:rPr>
        <w:t xml:space="preserve">Bet #3</w:t>
      </w:r>
      <w:r>
        <w:rPr>
          <w:b/>
          <w:bCs/>
        </w:rPr>
        <w:t xml:space="preserve"> </w:t>
      </w:r>
      <w:r>
        <w:rPr>
          <w:b/>
          <w:bCs/>
          <w:i/>
          <w:iCs/>
        </w:rPr>
        <w:t xml:space="preserve">consumes</w:t>
      </w:r>
      <w:r>
        <w:rPr>
          <w:b/>
          <w:bCs/>
        </w:rPr>
        <w:t xml:space="preserve"> </w:t>
      </w:r>
      <w:r>
        <w:rPr>
          <w:b/>
          <w:bCs/>
        </w:rPr>
        <w:t xml:space="preserve">Bet #1’s Power output</w:t>
      </w:r>
      <w:r>
        <w:t xml:space="preserve"> </w:t>
      </w:r>
      <w:r>
        <w:t xml:space="preserve">rather than building independent Power.</w:t>
      </w:r>
    </w:p>
    <w:p>
      <w:pPr>
        <w:pStyle w:val="BodyText"/>
      </w:pPr>
      <w:r>
        <w:rPr>
          <w:b/>
          <w:bCs/>
        </w:rPr>
        <w:t xml:space="preserve">Bet #4 (FinOps / per-trajectory):</w:t>
      </w:r>
      <w:r>
        <w:t xml:space="preserve"> </w:t>
      </w:r>
      <w:r>
        <w:t xml:space="preserve">Power-thin standalone. Folds as Bet #1 module per AI_AGENTS_TRACKER refresh.</w:t>
      </w:r>
    </w:p>
    <w:p>
      <w:pPr>
        <w:pStyle w:val="BodyText"/>
      </w:pPr>
      <w:r>
        <w:rPr>
          <w:b/>
          <w:bCs/>
        </w:rPr>
        <w:t xml:space="preserve">Bet #5 (Memory + RAG architecture practice):</w:t>
      </w:r>
      <w:r>
        <w:t xml:space="preserve"> </w:t>
      </w:r>
      <w:r>
        <w:t xml:space="preserve">Power-thin standalone — Alex doesn’t hold Cornered Resource on memory talent and there’s no proprietary substrate. Folds as service-line within the three-product practice (Bet #1 anchor + Bet #4 + Bet #5).</w:t>
      </w:r>
    </w:p>
    <w:p>
      <w:pPr>
        <w:pStyle w:val="BodyText"/>
      </w:pPr>
      <w:r>
        <w:rPr>
          <w:b/>
          <w:bCs/>
        </w:rPr>
        <w:t xml:space="preserve">Bet #6 (Newsletter):</w:t>
      </w:r>
      <w:r>
        <w:t xml:space="preserve"> </w:t>
      </w:r>
      <w:r>
        <w:t xml:space="preserve">Distribution layer for Branding flavor. Not standalone Power but the</w:t>
      </w:r>
      <w:r>
        <w:t xml:space="preserve"> </w:t>
      </w:r>
      <w:r>
        <w:rPr>
          <w:i/>
          <w:iCs/>
        </w:rPr>
        <w:t xml:space="preserve">flywheel</w:t>
      </w:r>
      <w:r>
        <w:t xml:space="preserve"> </w:t>
      </w:r>
      <w:r>
        <w:t xml:space="preserve">compounding (ii).</w:t>
      </w:r>
    </w:p>
    <w:p>
      <w:pPr>
        <w:pStyle w:val="BodyText"/>
      </w:pPr>
      <w:r>
        <w:rPr>
          <w:b/>
          <w:bCs/>
        </w:rPr>
        <w:t xml:space="preserve">Bet #7 (VC platform):</w:t>
      </w:r>
      <w:r>
        <w:t xml:space="preserve"> </w:t>
      </w:r>
      <w:r>
        <w:t xml:space="preserve">Career fallback. Branding rents, no Power build.</w:t>
      </w:r>
    </w:p>
    <w:p>
      <w:pPr>
        <w:pStyle w:val="BodyText"/>
      </w:pPr>
      <w:r>
        <w:rPr>
          <w:b/>
          <w:bCs/>
        </w:rPr>
        <w:t xml:space="preserve">Power-per-Bet ranking:</w:t>
      </w:r>
      <w:r>
        <w:t xml:space="preserve"> </w:t>
      </w:r>
      <w:r>
        <w:t xml:space="preserve">Bet #1 &gt; Bet #2 (rented Power) &gt; Bet #3 (compounded Power) &gt; Bet #6 (distribution Power) &gt; Bet #4 (folded) &gt; Bet #5 (folded) &gt; Bet #7 (deferred).</w:t>
      </w:r>
    </w:p>
    <w:bookmarkEnd w:id="48"/>
    <w:bookmarkStart w:id="49" w:name="the-triple-confirmation-finding"/>
    <w:p>
      <w:pPr>
        <w:pStyle w:val="Heading3"/>
      </w:pPr>
      <w:r>
        <w:t xml:space="preserve">9.7 The triple-confirmation finding</w:t>
      </w:r>
    </w:p>
    <w:p>
      <w:pPr>
        <w:pStyle w:val="FirstParagraph"/>
      </w:pPr>
      <w:r>
        <w:t xml:space="preserve">The Powers screen produces a JOIN ranking by power-rent quality:</w:t>
      </w:r>
      <w:r>
        <w:t xml:space="preserve"> </w:t>
      </w:r>
      <w:r>
        <w:rPr>
          <w:b/>
          <w:bCs/>
        </w:rPr>
        <w:t xml:space="preserve">Hebbia &gt; Sierra &gt; Rogo &gt; Harvey &gt; Glean.</w:t>
      </w:r>
      <w:r>
        <w:t xml:space="preserve"> </w:t>
      </w:r>
      <w:r>
        <w:t xml:space="preserve">This matches Wave 2 framework F2’s standalone composite ranking exactly. It also matches the F4 NYC composite from Volume IV’s research (Hebbia top by under-funded ratio + equity asymmetry + 2-quarter window pre-Series C).</w:t>
      </w:r>
      <w:r>
        <w:t xml:space="preserve"> </w:t>
      </w:r>
      <w:r>
        <w:rPr>
          <w:b/>
          <w:bCs/>
        </w:rPr>
        <w:t xml:space="preserve">Triple confirmation across three independently-derived rankings is rare.</w:t>
      </w:r>
      <w:r>
        <w:t xml:space="preserve"> </w:t>
      </w:r>
      <w:r>
        <w:t xml:space="preserve">Hebbia is the Bet #2 named target; Sierra is the Brand-prestige fallback; Rogo is the secondary equity-asymmetry play; Harvey is the cleanest Power stack but lower equity asymmetry; Glean has rentable Network Economies but less equity headroom (Series E $260M @ $7.2B already prices in the Network compounding).</w:t>
      </w:r>
    </w:p>
    <w:bookmarkEnd w:id="49"/>
    <w:bookmarkStart w:id="51" w:name="the-sequencing-verdict"/>
    <w:p>
      <w:pPr>
        <w:pStyle w:val="Heading3"/>
      </w:pPr>
      <w:r>
        <w:t xml:space="preserve">9.8 The sequencing verdict</w:t>
      </w:r>
    </w:p>
    <w:p>
      <w:pPr>
        <w:pStyle w:val="FirstParagraph"/>
      </w:pPr>
      <w:r>
        <w:t xml:space="preserve">The 7-Powers screen produces a clean sequencing not visible in OCQ or JTBD alone:</w:t>
      </w:r>
      <w:r>
        <w:t xml:space="preserve"> </w:t>
      </w:r>
      <w:r>
        <w:rPr>
          <w:b/>
          <w:bCs/>
        </w:rPr>
        <w:t xml:space="preserve">Bet #1 (claim the durable Power) → Bet #2 (collect equity at a power-holder) → Bet #3 (compound as practice).</w:t>
      </w:r>
      <w:r>
        <w:t xml:space="preserve"> </w:t>
      </w:r>
      <w:r>
        <w:t xml:space="preserve">That sequencing matches the Wardley map’s call (Bet #1 first; Bet #3 must run on same clock; Bet #2 timed to PE-5 Anthropic ARR resolution). Three independent frameworks (cell-OCQ, Wardley, Powers) converging on the same sequencing is the strongest signal in this volume.</w:t>
      </w:r>
    </w:p>
    <w:p>
      <w:pPr>
        <w:pStyle w:val="BodyText"/>
      </w:pPr>
      <w:r>
        <w:t xml:space="preserve">Bet #1 has the most-durable Power footing — three operator-shape flavors stacked, single artifact defending all three, regulatory tailwinds mandatory. Bet #5 has the least durable standalone — memory architecture practice without Cornered Resource on memory talent and without proprietary substrate is advisory-margin only; Crux C5 directional resolution (consumer absorbed; compliance niche-standalone) already shrinks it. Bets #2 and #3 sit in the middle: #2 rents real Power at high equity cost; #3 compounds Bet #1’s Power at advisory margin.</w:t>
      </w:r>
    </w:p>
    <w:p>
      <w:pPr>
        <w:pStyle w:val="BodyText"/>
      </w:pPr>
      <w:r>
        <w:rPr>
          <w:b/>
          <w:bCs/>
        </w:rPr>
        <w:t xml:space="preserve">The Bet #5 subsumption call is what Power discipline forces.</w:t>
      </w:r>
      <w:r>
        <w:t xml:space="preserve"> </w:t>
      </w:r>
      <w:r>
        <w:t xml:space="preserve">Standalone Bet #5 is power-thin; as the L-column anchor of the three-product practice (Enterprise AI Architecture Audit) it inherits Bet #1’s Power footing. The same logic applies to Bet #4 (per-trajectory FinOps) — standalone power-thin; as a Bet #1 Playbook module it ships with Bet #1’s Branding and Process flavors.</w:t>
      </w:r>
      <w:r>
        <w:t xml:space="preserve"> </w:t>
      </w:r>
      <w:r>
        <w:rPr>
          <w:b/>
          <w:bCs/>
        </w:rPr>
        <w:t xml:space="preserve">Power discipline is what turns a 7-bet portfolio into a 4-bet operating practice with three folded modules and one deferred fallback.</w:t>
      </w:r>
    </w:p>
    <w:bookmarkStart w:id="50" w:name="X1c17699871bf50a417313826a129c6a8d260e29"/>
    <w:p>
      <w:pPr>
        <w:pStyle w:val="Heading4"/>
      </w:pPr>
      <w:r>
        <w:t xml:space="preserve">AGENTS × GTM — Decisions Addendum · Part B (Parts X–XIII)</w:t>
      </w:r>
    </w:p>
    <w:p>
      <w:pPr>
        <w:pStyle w:val="BlockText"/>
      </w:pPr>
      <w:r>
        <w:t xml:space="preserve">Companion to Part A of the Volume IV Addendum. Voice: Alex Yedi, May 13, 2026. Reader: Alex twelve months from now, who needs to act on this, not admire it.</w:t>
      </w:r>
    </w:p>
    <w:p>
      <w:r>
        <w:pict>
          <v:rect style="width:0;height:1.5pt" o:hralign="center" o:hrstd="t" o:hr="t"/>
        </w:pict>
      </w:r>
    </w:p>
    <w:bookmarkEnd w:id="50"/>
    <w:bookmarkEnd w:id="51"/>
    <w:bookmarkEnd w:id="52"/>
    <w:bookmarkStart w:id="59" w:name="Xb739f6b646c75bd2b59ee9e4512b3580f74b6c2"/>
    <w:p>
      <w:pPr>
        <w:pStyle w:val="Heading2"/>
      </w:pPr>
      <w:r>
        <w:t xml:space="preserve">Part X · Ecosystem JTBD applied to the GTM Org</w:t>
      </w:r>
    </w:p>
    <w:bookmarkStart w:id="53" w:name="Xb83ad67fbaf4ee272e4797c7e6825c3c756362a"/>
    <w:p>
      <w:pPr>
        <w:pStyle w:val="Heading3"/>
      </w:pPr>
      <w:r>
        <w:t xml:space="preserve">X.1 — The GTM org is a federation, not a person</w:t>
      </w:r>
    </w:p>
    <w:p>
      <w:pPr>
        <w:pStyle w:val="FirstParagraph"/>
      </w:pPr>
      <w:r>
        <w:t xml:space="preserve">Five jobs survive the</w:t>
      </w:r>
      <w:r>
        <w:t xml:space="preserve"> </w:t>
      </w:r>
      <w:r>
        <w:t xml:space="preserve">“is this really at GTM-org scale”</w:t>
      </w:r>
      <w:r>
        <w:t xml:space="preserve"> </w:t>
      </w:r>
      <w:r>
        <w:t xml:space="preserve">test. Each has a different owner inside the GTM federation, a different secondary buyer, a different finance-line, and — most importantly — a different counterparty who can blame the agent if it underperforms. The accountability line is what caps autonomy. The 13 capabilities don’t get bought one at a time at this scale; they get bought as job-shaped bundles, which is why the 7 Powers screen reads better at bundle-level switching costs than at cell-level cornered resource.</w:t>
      </w:r>
    </w:p>
    <w:p>
      <w:pPr>
        <w:pStyle w:val="BodyText"/>
      </w:pPr>
      <w:r>
        <w:t xml:space="preserve">Three structural things to keep in mind before reading the five jobs:</w:t>
      </w:r>
    </w:p>
    <w:p>
      <w:pPr>
        <w:pStyle w:val="Compact"/>
        <w:numPr>
          <w:ilvl w:val="0"/>
          <w:numId w:val="1005"/>
        </w:numPr>
      </w:pPr>
      <w:r>
        <w:rPr>
          <w:b/>
          <w:bCs/>
        </w:rPr>
        <w:t xml:space="preserve">The struggling moment is calendar-bound.</w:t>
      </w:r>
      <w:r>
        <w:t xml:space="preserve"> </w:t>
      </w:r>
      <w:r>
        <w:t xml:space="preserve">GTM orgs shop in 4–8 forcing-function weeks a year, not continuously: quarterly (Job 1), annually (Job 2), at planning (Job 3), at QBR (Job 4), at board prep (Job 5). The 16–24 week F1000-ready procurement floor (synthesis §7) interacts with this — miss the window, slip a full quarter, eat a 25% probability discount per slip.</w:t>
      </w:r>
    </w:p>
    <w:p>
      <w:pPr>
        <w:pStyle w:val="Compact"/>
        <w:numPr>
          <w:ilvl w:val="0"/>
          <w:numId w:val="1005"/>
        </w:numPr>
      </w:pPr>
      <w:r>
        <w:rPr>
          <w:b/>
          <w:bCs/>
        </w:rPr>
        <w:t xml:space="preserve">The buyer is the counterparty who can blame the agent.</w:t>
      </w:r>
      <w:r>
        <w:t xml:space="preserve"> </w:t>
      </w:r>
      <w:r>
        <w:t xml:space="preserve">Cell (12,</w:t>
      </w:r>
      <w:r>
        <w:t xml:space="preserve"> </w:t>
      </w:r>
      <w:r>
        <w:t xml:space="preserve">“Strategy”</w:t>
      </w:r>
      <w:r>
        <w:t xml:space="preserve">) is the largest gap in the matrix because no CRO can blame an agent for a missed forecast. That accountability cap is the design constraint behind every purchasable agent capability at GTM-org scale.</w:t>
      </w:r>
    </w:p>
    <w:p>
      <w:pPr>
        <w:pStyle w:val="Compact"/>
        <w:numPr>
          <w:ilvl w:val="0"/>
          <w:numId w:val="1005"/>
        </w:numPr>
      </w:pPr>
      <w:r>
        <w:rPr>
          <w:b/>
          <w:bCs/>
        </w:rPr>
        <w:t xml:space="preserve">Capabilities sell as bundles.</w:t>
      </w:r>
      <w:r>
        <w:t xml:space="preserve"> </w:t>
      </w:r>
      <w:r>
        <w:t xml:space="preserve">Job 1 buys (4,A) + (5,F) + (6,A) + (6,E) + (9,G) as one motion-budget. F2’s Power screen should be read at bundle level: cornered resource at the cell matters less than switching costs at the bundle.</w:t>
      </w:r>
    </w:p>
    <w:bookmarkEnd w:id="53"/>
    <w:bookmarkStart w:id="54" w:name="x.2-the-five-jobs"/>
    <w:p>
      <w:pPr>
        <w:pStyle w:val="Heading3"/>
      </w:pPr>
      <w:r>
        <w:t xml:space="preserve">X.2 — The five jobs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Job</w:t>
            </w:r>
          </w:p>
        </w:tc>
        <w:tc>
          <w:tcPr/>
          <w:p>
            <w:pPr>
              <w:pStyle w:val="Compact"/>
            </w:pPr>
            <w:r>
              <w:t xml:space="preserve">Owner</w:t>
            </w:r>
          </w:p>
        </w:tc>
        <w:tc>
          <w:tcPr/>
          <w:p>
            <w:pPr>
              <w:pStyle w:val="Compact"/>
            </w:pPr>
            <w:r>
              <w:t xml:space="preserve">Co-buyer</w:t>
            </w:r>
          </w:p>
        </w:tc>
        <w:tc>
          <w:tcPr/>
          <w:p>
            <w:pPr>
              <w:pStyle w:val="Compact"/>
            </w:pPr>
            <w:r>
              <w:t xml:space="preserve">Struggling moment</w:t>
            </w:r>
          </w:p>
        </w:tc>
        <w:tc>
          <w:tcPr/>
          <w:p>
            <w:pPr>
              <w:pStyle w:val="Compact"/>
            </w:pPr>
            <w:r>
              <w:t xml:space="preserve">Budget line</w:t>
            </w:r>
          </w:p>
        </w:tc>
      </w:tr>
      <w:tr>
        <w:tc>
          <w:tcPr/>
          <w:p>
            <w:pPr>
              <w:pStyle w:val="Compact"/>
            </w:pPr>
            <w:r>
              <w:rPr>
                <w:b/>
                <w:bCs/>
              </w:rPr>
              <w:t xml:space="preserve">1</w:t>
            </w:r>
          </w:p>
        </w:tc>
        <w:tc>
          <w:tcPr/>
          <w:p>
            <w:pPr>
              <w:pStyle w:val="Compact"/>
            </w:pPr>
            <w:r>
              <w:t xml:space="preserve">Hit the number this quarter</w:t>
            </w:r>
          </w:p>
        </w:tc>
        <w:tc>
          <w:tcPr/>
          <w:p>
            <w:pPr>
              <w:pStyle w:val="Compact"/>
            </w:pPr>
            <w:r>
              <w:t xml:space="preserve">CRO</w:t>
            </w:r>
          </w:p>
        </w:tc>
        <w:tc>
          <w:tcPr/>
          <w:p>
            <w:pPr>
              <w:pStyle w:val="Compact"/>
            </w:pPr>
            <w:r>
              <w:t xml:space="preserve">VP Sales / VP Mktg</w:t>
            </w:r>
          </w:p>
        </w:tc>
        <w:tc>
          <w:tcPr/>
          <w:p>
            <w:pPr>
              <w:pStyle w:val="Compact"/>
            </w:pPr>
            <w:r>
              <w:t xml:space="preserve">Mid-Q2 forecast call shows -$3M gap, 7 weeks to close — CRO greenlights</w:t>
            </w:r>
            <w:r>
              <w:t xml:space="preserve"> </w:t>
            </w:r>
            <w:r>
              <w:t xml:space="preserve">“buy something that compresses cycle 20%”</w:t>
            </w:r>
          </w:p>
        </w:tc>
        <w:tc>
          <w:tcPr/>
          <w:p>
            <w:pPr>
              <w:pStyle w:val="Compact"/>
            </w:pPr>
            <w:r>
              <w:t xml:space="preserve">Variable; out of next-Q hiring or contractor budget</w:t>
            </w:r>
          </w:p>
        </w:tc>
      </w:tr>
      <w:tr>
        <w:tc>
          <w:tcPr/>
          <w:p>
            <w:pPr>
              <w:pStyle w:val="Compact"/>
            </w:pPr>
            <w:r>
              <w:rPr>
                <w:b/>
                <w:bCs/>
              </w:rPr>
              <w:t xml:space="preserve">2</w:t>
            </w:r>
          </w:p>
        </w:tc>
        <w:tc>
          <w:tcPr/>
          <w:p>
            <w:pPr>
              <w:pStyle w:val="Compact"/>
            </w:pPr>
            <w:r>
              <w:t xml:space="preserve">Hit next year’s number without doubling headcount</w:t>
            </w:r>
          </w:p>
        </w:tc>
        <w:tc>
          <w:tcPr/>
          <w:p>
            <w:pPr>
              <w:pStyle w:val="Compact"/>
            </w:pPr>
            <w:r>
              <w:t xml:space="preserve">CRO + CFO</w:t>
            </w:r>
          </w:p>
        </w:tc>
        <w:tc>
          <w:tcPr/>
          <w:p>
            <w:pPr>
              <w:pStyle w:val="Compact"/>
            </w:pPr>
            <w:r>
              <w:t xml:space="preserve">VP Ops</w:t>
            </w:r>
          </w:p>
        </w:tc>
        <w:tc>
          <w:tcPr/>
          <w:p>
            <w:pPr>
              <w:pStyle w:val="Compact"/>
            </w:pPr>
            <w:r>
              <w:t xml:space="preserve">Nov planning: +40% ARR target, +15% hiring plan, math doesn’t close — CFO refuses to fund the gap, CRO must find productivity</w:t>
            </w:r>
          </w:p>
        </w:tc>
        <w:tc>
          <w:tcPr/>
          <w:p>
            <w:pPr>
              <w:pStyle w:val="Compact"/>
            </w:pPr>
            <w:r>
              <w:t xml:space="preserve">FY plan capacity line</w:t>
            </w:r>
          </w:p>
        </w:tc>
      </w:tr>
      <w:tr>
        <w:tc>
          <w:tcPr/>
          <w:p>
            <w:pPr>
              <w:pStyle w:val="Compact"/>
            </w:pPr>
            <w:r>
              <w:rPr>
                <w:b/>
                <w:bCs/>
              </w:rPr>
              <w:t xml:space="preserve">3</w:t>
            </w:r>
          </w:p>
        </w:tc>
        <w:tc>
          <w:tcPr/>
          <w:p>
            <w:pPr>
              <w:pStyle w:val="Compact"/>
            </w:pPr>
            <w:r>
              <w:t xml:space="preserve">Reduce CAC payback period below 18 months</w:t>
            </w:r>
          </w:p>
        </w:tc>
        <w:tc>
          <w:tcPr/>
          <w:p>
            <w:pPr>
              <w:pStyle w:val="Compact"/>
            </w:pPr>
            <w:r>
              <w:t xml:space="preserve">CFO + CRO</w:t>
            </w:r>
          </w:p>
        </w:tc>
        <w:tc>
          <w:tcPr/>
          <w:p>
            <w:pPr>
              <w:pStyle w:val="Compact"/>
            </w:pPr>
            <w:r>
              <w:t xml:space="preserve">Board</w:t>
            </w:r>
          </w:p>
        </w:tc>
        <w:tc>
          <w:tcPr/>
          <w:p>
            <w:pPr>
              <w:pStyle w:val="Compact"/>
            </w:pPr>
            <w:r>
              <w:t xml:space="preserve">Series C diligence or annual board review: CAC payback at 22 months flagged as gating; board demands quarterly improvement</w:t>
            </w:r>
          </w:p>
        </w:tc>
        <w:tc>
          <w:tcPr/>
          <w:p>
            <w:pPr>
              <w:pStyle w:val="Compact"/>
            </w:pPr>
            <w:r>
              <w:t xml:space="preserve">Sales &amp; Marketing efficiency line</w:t>
            </w:r>
          </w:p>
        </w:tc>
      </w:tr>
      <w:tr>
        <w:tc>
          <w:tcPr/>
          <w:p>
            <w:pPr>
              <w:pStyle w:val="Compact"/>
            </w:pPr>
            <w:r>
              <w:rPr>
                <w:b/>
                <w:bCs/>
              </w:rPr>
              <w:t xml:space="preserve">4</w:t>
            </w:r>
          </w:p>
        </w:tc>
        <w:tc>
          <w:tcPr/>
          <w:p>
            <w:pPr>
              <w:pStyle w:val="Compact"/>
            </w:pPr>
            <w:r>
              <w:t xml:space="preserve">Increase NRR above 120%</w:t>
            </w:r>
          </w:p>
        </w:tc>
        <w:tc>
          <w:tcPr/>
          <w:p>
            <w:pPr>
              <w:pStyle w:val="Compact"/>
            </w:pPr>
            <w:r>
              <w:t xml:space="preserve">CCO + CRO</w:t>
            </w:r>
          </w:p>
        </w:tc>
        <w:tc>
          <w:tcPr/>
          <w:p>
            <w:pPr>
              <w:pStyle w:val="Compact"/>
            </w:pPr>
            <w:r>
              <w:t xml:space="preserve">CFO</w:t>
            </w:r>
          </w:p>
        </w:tc>
        <w:tc>
          <w:tcPr/>
          <w:p>
            <w:pPr>
              <w:pStyle w:val="Compact"/>
            </w:pPr>
            <w:r>
              <w:t xml:space="preserve">Customer-base revenue model shows churn-offset breaking new-logo gains; NRR drift 118 → 112 over three quarters; CCO’s tenure depends on reversal</w:t>
            </w:r>
          </w:p>
        </w:tc>
        <w:tc>
          <w:tcPr/>
          <w:p>
            <w:pPr>
              <w:pStyle w:val="Compact"/>
            </w:pPr>
            <w:r>
              <w:t xml:space="preserve">CS budget + expansion-quota incentive line</w:t>
            </w:r>
          </w:p>
        </w:tc>
      </w:tr>
      <w:tr>
        <w:tc>
          <w:tcPr/>
          <w:p>
            <w:pPr>
              <w:pStyle w:val="Compact"/>
            </w:pPr>
            <w:r>
              <w:rPr>
                <w:b/>
                <w:bCs/>
              </w:rPr>
              <w:t xml:space="preserve">5</w:t>
            </w:r>
          </w:p>
        </w:tc>
        <w:tc>
          <w:tcPr/>
          <w:p>
            <w:pPr>
              <w:pStyle w:val="Compact"/>
            </w:pPr>
            <w:r>
              <w:t xml:space="preserve">Get the forecast right (±5%)</w:t>
            </w:r>
          </w:p>
        </w:tc>
        <w:tc>
          <w:tcPr/>
          <w:p>
            <w:pPr>
              <w:pStyle w:val="Compact"/>
            </w:pPr>
            <w:r>
              <w:t xml:space="preserve">CRO + Board</w:t>
            </w:r>
          </w:p>
        </w:tc>
        <w:tc>
          <w:tcPr/>
          <w:p>
            <w:pPr>
              <w:pStyle w:val="Compact"/>
            </w:pPr>
            <w:r>
              <w:t xml:space="preserve">CFO</w:t>
            </w:r>
          </w:p>
        </w:tc>
        <w:tc>
          <w:tcPr/>
          <w:p>
            <w:pPr>
              <w:pStyle w:val="Compact"/>
            </w:pPr>
            <w:r>
              <w:t xml:space="preserve">Two consecutive quarters of &gt;10% miss vs commit; CFO loses board credibility, CRO under threat; forecasting tooling reviewed — MAPE plateau at 8–12%</w:t>
            </w:r>
          </w:p>
        </w:tc>
        <w:tc>
          <w:tcPr/>
          <w:p>
            <w:pPr>
              <w:pStyle w:val="Compact"/>
            </w:pPr>
            <w:r>
              <w:t xml:space="preserve">RevOps + analytics opex</w:t>
            </w:r>
          </w:p>
        </w:tc>
      </w:tr>
    </w:tbl>
    <w:p>
      <w:pPr>
        <w:pStyle w:val="BodyText"/>
      </w:pPr>
      <w:r>
        <w:t xml:space="preserve">The B7 end-user JTBD list (back-office task, customer-facing conversation, code change, SaaS operation, stay current, procurement) describes what an agent</w:t>
      </w:r>
      <w:r>
        <w:t xml:space="preserve"> </w:t>
      </w:r>
      <w:r>
        <w:rPr>
          <w:i/>
          <w:iCs/>
        </w:rPr>
        <w:t xml:space="preserve">does</w:t>
      </w:r>
      <w:r>
        <w:t xml:space="preserve">. The F3 list above describes what a GTM org</w:t>
      </w:r>
      <w:r>
        <w:t xml:space="preserve"> </w:t>
      </w:r>
      <w:r>
        <w:rPr>
          <w:i/>
          <w:iCs/>
        </w:rPr>
        <w:t xml:space="preserve">buys an agent for</w:t>
      </w:r>
      <w:r>
        <w:t xml:space="preserve">. The hierarchy is: GTM org buys a B7-Job-2 agent (customer-facing conversation) to satisfy an F3-Job-4 (NRR). Conflating those scales is the most common error in vendor narratives — and it is why $5/conversation Sierra pricing reads cleanly to the CFO but the Sierra retention story doesn’t. Different jobs, different accountabilities, different proofs.</w:t>
      </w:r>
    </w:p>
    <w:bookmarkEnd w:id="54"/>
    <w:bookmarkStart w:id="55" w:name="X07d5c74c56e36651e203b8f4d9d7dda5215028d"/>
    <w:p>
      <w:pPr>
        <w:pStyle w:val="Heading3"/>
      </w:pPr>
      <w:r>
        <w:t xml:space="preserve">X.3 — The 15 highest-gap underserved outcomes</w:t>
      </w:r>
    </w:p>
    <w:p>
      <w:pPr>
        <w:pStyle w:val="FirstParagraph"/>
      </w:pPr>
      <w:r>
        <w:t xml:space="preserve">Compiled from the five 8-phase job maps (see wave2_F3_jtbd.md §3 for the full maps). Gap-of-N is the ODI 1–10 proxy at GTM-org scale, not agent-tech scale.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Job</w:t>
            </w:r>
          </w:p>
        </w:tc>
        <w:tc>
          <w:tcPr/>
          <w:p>
            <w:pPr>
              <w:pStyle w:val="Compact"/>
            </w:pPr>
            <w:r>
              <w:t xml:space="preserve">Cell</w:t>
            </w:r>
          </w:p>
        </w:tc>
        <w:tc>
          <w:tcPr/>
          <w:p>
            <w:pPr>
              <w:pStyle w:val="Compact"/>
            </w:pPr>
            <w:r>
              <w:t xml:space="preserve">Outcome (compressed)</w:t>
            </w:r>
          </w:p>
        </w:tc>
        <w:tc>
          <w:tcPr/>
          <w:p>
            <w:pPr>
              <w:pStyle w:val="Compact"/>
            </w:pPr>
            <w:r>
              <w:t xml:space="preserve">Gap</w:t>
            </w:r>
          </w:p>
        </w:tc>
        <w:tc>
          <w:tcPr/>
          <w:p>
            <w:pPr>
              <w:pStyle w:val="Compact"/>
            </w:pPr>
            <w:r>
              <w:t xml:space="preserve">Bet anchor</w:t>
            </w:r>
          </w:p>
        </w:tc>
      </w:tr>
      <w:tr>
        <w:tc>
          <w:tcPr/>
          <w:p>
            <w:pPr>
              <w:pStyle w:val="Compact"/>
            </w:pPr>
            <w:r>
              <w:t xml:space="preserve">1</w:t>
            </w:r>
          </w:p>
        </w:tc>
        <w:tc>
          <w:tcPr/>
          <w:p>
            <w:pPr>
              <w:pStyle w:val="Compact"/>
            </w:pPr>
            <w:r>
              <w:t xml:space="preserve">(9,G)</w:t>
            </w:r>
          </w:p>
        </w:tc>
        <w:tc>
          <w:tcPr/>
          <w:p>
            <w:pPr>
              <w:pStyle w:val="Compact"/>
            </w:pPr>
            <w:r>
              <w:t xml:space="preserve">F500 procurement-seam closes in-quarter</w:t>
            </w:r>
          </w:p>
        </w:tc>
        <w:tc>
          <w:tcPr/>
          <w:p>
            <w:pPr>
              <w:pStyle w:val="Compact"/>
            </w:pPr>
            <w:r>
              <w:rPr>
                <w:b/>
                <w:bCs/>
              </w:rPr>
              <w:t xml:space="preserve">10</w:t>
            </w:r>
          </w:p>
        </w:tc>
        <w:tc>
          <w:tcPr/>
          <w:p>
            <w:pPr>
              <w:pStyle w:val="Compact"/>
            </w:pPr>
            <w:r>
              <w:t xml:space="preserve">#1</w:t>
            </w:r>
          </w:p>
        </w:tc>
      </w:tr>
      <w:tr>
        <w:tc>
          <w:tcPr/>
          <w:p>
            <w:pPr>
              <w:pStyle w:val="Compact"/>
            </w:pPr>
            <w:r>
              <w:t xml:space="preserve">1</w:t>
            </w:r>
          </w:p>
        </w:tc>
        <w:tc>
          <w:tcPr/>
          <w:p>
            <w:pPr>
              <w:pStyle w:val="Compact"/>
            </w:pPr>
            <w:r>
              <w:t xml:space="preserve">(6,E)</w:t>
            </w:r>
          </w:p>
        </w:tc>
        <w:tc>
          <w:tcPr/>
          <w:p>
            <w:pPr>
              <w:pStyle w:val="Compact"/>
            </w:pPr>
            <w:r>
              <w:t xml:space="preserve">Deal-stall causal diagnosis</w:t>
            </w:r>
          </w:p>
        </w:tc>
        <w:tc>
          <w:tcPr/>
          <w:p>
            <w:pPr>
              <w:pStyle w:val="Compact"/>
            </w:pPr>
            <w:r>
              <w:t xml:space="preserve">9</w:t>
            </w:r>
          </w:p>
        </w:tc>
        <w:tc>
          <w:tcPr/>
          <w:p>
            <w:pPr>
              <w:pStyle w:val="Compact"/>
            </w:pPr>
            <w:r>
              <w:t xml:space="preserve">C8 watch</w:t>
            </w:r>
          </w:p>
        </w:tc>
      </w:tr>
      <w:tr>
        <w:tc>
          <w:tcPr/>
          <w:p>
            <w:pPr>
              <w:pStyle w:val="Compact"/>
            </w:pPr>
            <w:r>
              <w:t xml:space="preserve">1</w:t>
            </w:r>
          </w:p>
        </w:tc>
        <w:tc>
          <w:tcPr/>
          <w:p>
            <w:pPr>
              <w:pStyle w:val="Compact"/>
            </w:pPr>
            <w:r>
              <w:t xml:space="preserve">(5,F)</w:t>
            </w:r>
          </w:p>
        </w:tc>
        <w:tc>
          <w:tcPr/>
          <w:p>
            <w:pPr>
              <w:pStyle w:val="Compact"/>
            </w:pPr>
            <w:r>
              <w:t xml:space="preserve">F500-with-incumbent committee map</w:t>
            </w:r>
          </w:p>
        </w:tc>
        <w:tc>
          <w:tcPr/>
          <w:p>
            <w:pPr>
              <w:pStyle w:val="Compact"/>
            </w:pPr>
            <w:r>
              <w:t xml:space="preserve">8</w:t>
            </w:r>
          </w:p>
        </w:tc>
        <w:tc>
          <w:tcPr/>
          <w:p>
            <w:pPr>
              <w:pStyle w:val="Compact"/>
            </w:pPr>
            <w:r>
              <w:t xml:space="preserve">C1/C5</w:t>
            </w:r>
          </w:p>
        </w:tc>
      </w:tr>
      <w:tr>
        <w:tc>
          <w:tcPr/>
          <w:p>
            <w:pPr>
              <w:pStyle w:val="Compact"/>
            </w:pPr>
            <w:r>
              <w:t xml:space="preserve">2</w:t>
            </w:r>
          </w:p>
        </w:tc>
        <w:tc>
          <w:tcPr/>
          <w:p>
            <w:pPr>
              <w:pStyle w:val="Compact"/>
            </w:pPr>
            <w:r>
              <w:t xml:space="preserve">(6,L)</w:t>
            </w:r>
          </w:p>
        </w:tc>
        <w:tc>
          <w:tcPr/>
          <w:p>
            <w:pPr>
              <w:pStyle w:val="Compact"/>
            </w:pPr>
            <w:r>
              <w:t xml:space="preserve">AE 6–9 month deal-cycle memory</w:t>
            </w:r>
          </w:p>
        </w:tc>
        <w:tc>
          <w:tcPr/>
          <w:p>
            <w:pPr>
              <w:pStyle w:val="Compact"/>
            </w:pPr>
            <w:r>
              <w:t xml:space="preserve">9</w:t>
            </w:r>
          </w:p>
        </w:tc>
        <w:tc>
          <w:tcPr/>
          <w:p>
            <w:pPr>
              <w:pStyle w:val="Compact"/>
            </w:pPr>
            <w:r>
              <w:t xml:space="preserve">#5 / C9</w:t>
            </w:r>
          </w:p>
        </w:tc>
      </w:tr>
      <w:tr>
        <w:tc>
          <w:tcPr/>
          <w:p>
            <w:pPr>
              <w:pStyle w:val="Compact"/>
            </w:pPr>
            <w:r>
              <w:t xml:space="preserve">2</w:t>
            </w:r>
          </w:p>
        </w:tc>
        <w:tc>
          <w:tcPr/>
          <w:p>
            <w:pPr>
              <w:pStyle w:val="Compact"/>
            </w:pPr>
            <w:r>
              <w:t xml:space="preserve">(9,G)</w:t>
            </w:r>
          </w:p>
        </w:tc>
        <w:tc>
          <w:tcPr/>
          <w:p>
            <w:pPr>
              <w:pStyle w:val="Compact"/>
            </w:pPr>
            <w:r>
              <w:t xml:space="preserve">Signature → AE-productive compression</w:t>
            </w:r>
          </w:p>
        </w:tc>
        <w:tc>
          <w:tcPr/>
          <w:p>
            <w:pPr>
              <w:pStyle w:val="Compact"/>
            </w:pPr>
            <w:r>
              <w:t xml:space="preserve">9</w:t>
            </w:r>
          </w:p>
        </w:tc>
        <w:tc>
          <w:tcPr/>
          <w:p>
            <w:pPr>
              <w:pStyle w:val="Compact"/>
            </w:pPr>
            <w:r>
              <w:t xml:space="preserve">#1</w:t>
            </w:r>
          </w:p>
        </w:tc>
      </w:tr>
      <w:tr>
        <w:tc>
          <w:tcPr/>
          <w:p>
            <w:pPr>
              <w:pStyle w:val="Compact"/>
            </w:pPr>
            <w:r>
              <w:t xml:space="preserve">2</w:t>
            </w:r>
          </w:p>
        </w:tc>
        <w:tc>
          <w:tcPr/>
          <w:p>
            <w:pPr>
              <w:pStyle w:val="Compact"/>
            </w:pPr>
            <w:r>
              <w:t xml:space="preserve">(7,J+M)</w:t>
            </w:r>
          </w:p>
        </w:tc>
        <w:tc>
          <w:tcPr/>
          <w:p>
            <w:pPr>
              <w:pStyle w:val="Compact"/>
            </w:pPr>
            <w:r>
              <w:t xml:space="preserve">Procurement-seam coach-grading</w:t>
            </w:r>
          </w:p>
        </w:tc>
        <w:tc>
          <w:tcPr/>
          <w:p>
            <w:pPr>
              <w:pStyle w:val="Compact"/>
            </w:pPr>
            <w:r>
              <w:t xml:space="preserve">8</w:t>
            </w:r>
          </w:p>
        </w:tc>
        <w:tc>
          <w:tcPr/>
          <w:p>
            <w:pPr>
              <w:pStyle w:val="Compact"/>
            </w:pPr>
            <w:r>
              <w:t xml:space="preserve">C2</w:t>
            </w:r>
          </w:p>
        </w:tc>
      </w:tr>
      <w:tr>
        <w:tc>
          <w:tcPr/>
          <w:p>
            <w:pPr>
              <w:pStyle w:val="Compact"/>
            </w:pPr>
            <w:r>
              <w:t xml:space="preserve">3</w:t>
            </w:r>
          </w:p>
        </w:tc>
        <w:tc>
          <w:tcPr/>
          <w:p>
            <w:pPr>
              <w:pStyle w:val="Compact"/>
            </w:pPr>
            <w:r>
              <w:t xml:space="preserve">(11,I)</w:t>
            </w:r>
          </w:p>
        </w:tc>
        <w:tc>
          <w:tcPr/>
          <w:p>
            <w:pPr>
              <w:pStyle w:val="Compact"/>
            </w:pPr>
            <w:r>
              <w:t xml:space="preserve">Outcome-pricing dispute template</w:t>
            </w:r>
          </w:p>
        </w:tc>
        <w:tc>
          <w:tcPr/>
          <w:p>
            <w:pPr>
              <w:pStyle w:val="Compact"/>
            </w:pPr>
            <w:r>
              <w:t xml:space="preserve">9</w:t>
            </w:r>
          </w:p>
        </w:tc>
        <w:tc>
          <w:tcPr/>
          <w:p>
            <w:pPr>
              <w:pStyle w:val="Compact"/>
            </w:pPr>
            <w:r>
              <w:t xml:space="preserve">C4 → #1</w:t>
            </w:r>
          </w:p>
        </w:tc>
      </w:tr>
      <w:tr>
        <w:tc>
          <w:tcPr/>
          <w:p>
            <w:pPr>
              <w:pStyle w:val="Compact"/>
            </w:pPr>
            <w:r>
              <w:t xml:space="preserve">3</w:t>
            </w:r>
          </w:p>
        </w:tc>
        <w:tc>
          <w:tcPr/>
          <w:p>
            <w:pPr>
              <w:pStyle w:val="Compact"/>
            </w:pPr>
            <w:r>
              <w:t xml:space="preserve">(4,B)+(4,G)+(4,M)</w:t>
            </w:r>
          </w:p>
        </w:tc>
        <w:tc>
          <w:tcPr/>
          <w:p>
            <w:pPr>
              <w:pStyle w:val="Compact"/>
            </w:pPr>
            <w:r>
              <w:t xml:space="preserve">Synthetic-SDR adverse-selection guardrail</w:t>
            </w:r>
          </w:p>
        </w:tc>
        <w:tc>
          <w:tcPr/>
          <w:p>
            <w:pPr>
              <w:pStyle w:val="Compact"/>
            </w:pPr>
            <w:r>
              <w:t xml:space="preserve">9</w:t>
            </w:r>
          </w:p>
        </w:tc>
        <w:tc>
          <w:tcPr/>
          <w:p>
            <w:pPr>
              <w:pStyle w:val="Compact"/>
            </w:pPr>
            <w:r>
              <w:t xml:space="preserve">#1 + #4</w:t>
            </w:r>
          </w:p>
        </w:tc>
      </w:tr>
      <w:tr>
        <w:tc>
          <w:tcPr/>
          <w:p>
            <w:pPr>
              <w:pStyle w:val="Compact"/>
            </w:pPr>
            <w:r>
              <w:t xml:space="preserve">3</w:t>
            </w:r>
          </w:p>
        </w:tc>
        <w:tc>
          <w:tcPr/>
          <w:p>
            <w:pPr>
              <w:pStyle w:val="Compact"/>
            </w:pPr>
            <w:r>
              <w:t xml:space="preserve">(11,L)+(12,L)</w:t>
            </w:r>
          </w:p>
        </w:tc>
        <w:tc>
          <w:tcPr/>
          <w:p>
            <w:pPr>
              <w:pStyle w:val="Compact"/>
            </w:pPr>
            <w:r>
              <w:t xml:space="preserve">CAC-improvement durability across renewals</w:t>
            </w:r>
          </w:p>
        </w:tc>
        <w:tc>
          <w:tcPr/>
          <w:p>
            <w:pPr>
              <w:pStyle w:val="Compact"/>
            </w:pPr>
            <w:r>
              <w:t xml:space="preserve">8</w:t>
            </w:r>
          </w:p>
        </w:tc>
        <w:tc>
          <w:tcPr/>
          <w:p>
            <w:pPr>
              <w:pStyle w:val="Compact"/>
            </w:pPr>
            <w:r>
              <w:t xml:space="preserve">#5 / C9</w:t>
            </w:r>
          </w:p>
        </w:tc>
      </w:tr>
      <w:tr>
        <w:tc>
          <w:tcPr/>
          <w:p>
            <w:pPr>
              <w:pStyle w:val="Compact"/>
            </w:pPr>
            <w:r>
              <w:t xml:space="preserve">4</w:t>
            </w:r>
          </w:p>
        </w:tc>
        <w:tc>
          <w:tcPr/>
          <w:p>
            <w:pPr>
              <w:pStyle w:val="Compact"/>
            </w:pPr>
            <w:r>
              <w:t xml:space="preserve">(11,L)</w:t>
            </w:r>
          </w:p>
        </w:tc>
        <w:tc>
          <w:tcPr/>
          <w:p>
            <w:pPr>
              <w:pStyle w:val="Compact"/>
            </w:pPr>
            <w:r>
              <w:t xml:space="preserve">CSM remembers 9-mo-old commitments</w:t>
            </w:r>
          </w:p>
        </w:tc>
        <w:tc>
          <w:tcPr/>
          <w:p>
            <w:pPr>
              <w:pStyle w:val="Compact"/>
            </w:pPr>
            <w:r>
              <w:rPr>
                <w:b/>
                <w:bCs/>
              </w:rPr>
              <w:t xml:space="preserve">10</w:t>
            </w:r>
          </w:p>
        </w:tc>
        <w:tc>
          <w:tcPr/>
          <w:p>
            <w:pPr>
              <w:pStyle w:val="Compact"/>
            </w:pPr>
            <w:r>
              <w:t xml:space="preserve">#5 / C9</w:t>
            </w:r>
          </w:p>
        </w:tc>
      </w:tr>
      <w:tr>
        <w:tc>
          <w:tcPr/>
          <w:p>
            <w:pPr>
              <w:pStyle w:val="Compact"/>
            </w:pPr>
            <w:r>
              <w:t xml:space="preserve">4</w:t>
            </w:r>
          </w:p>
        </w:tc>
        <w:tc>
          <w:tcPr/>
          <w:p>
            <w:pPr>
              <w:pStyle w:val="Compact"/>
            </w:pPr>
            <w:r>
              <w:t xml:space="preserve">(11,A)+(10,E)</w:t>
            </w:r>
          </w:p>
        </w:tc>
        <w:tc>
          <w:tcPr/>
          <w:p>
            <w:pPr>
              <w:pStyle w:val="Compact"/>
            </w:pPr>
            <w:r>
              <w:t xml:space="preserve">Churn-signal → cohort-ranked CSM action</w:t>
            </w:r>
          </w:p>
        </w:tc>
        <w:tc>
          <w:tcPr/>
          <w:p>
            <w:pPr>
              <w:pStyle w:val="Compact"/>
            </w:pPr>
            <w:r>
              <w:t xml:space="preserve">8</w:t>
            </w:r>
          </w:p>
        </w:tc>
        <w:tc>
          <w:tcPr/>
          <w:p>
            <w:pPr>
              <w:pStyle w:val="Compact"/>
            </w:pPr>
            <w:r>
              <w:t xml:space="preserve">C8-adj</w:t>
            </w:r>
          </w:p>
        </w:tc>
      </w:tr>
      <w:tr>
        <w:tc>
          <w:tcPr/>
          <w:p>
            <w:pPr>
              <w:pStyle w:val="Compact"/>
            </w:pPr>
            <w:r>
              <w:t xml:space="preserve">4</w:t>
            </w:r>
          </w:p>
        </w:tc>
        <w:tc>
          <w:tcPr/>
          <w:p>
            <w:pPr>
              <w:pStyle w:val="Compact"/>
            </w:pPr>
            <w:r>
              <w:t xml:space="preserve">(11,I)</w:t>
            </w:r>
          </w:p>
        </w:tc>
        <w:tc>
          <w:tcPr/>
          <w:p>
            <w:pPr>
              <w:pStyle w:val="Compact"/>
            </w:pPr>
            <w:r>
              <w:t xml:space="preserve">Outcome-SLA operational dispute</w:t>
            </w:r>
          </w:p>
        </w:tc>
        <w:tc>
          <w:tcPr/>
          <w:p>
            <w:pPr>
              <w:pStyle w:val="Compact"/>
            </w:pPr>
            <w:r>
              <w:t xml:space="preserve">8</w:t>
            </w:r>
          </w:p>
        </w:tc>
        <w:tc>
          <w:tcPr/>
          <w:p>
            <w:pPr>
              <w:pStyle w:val="Compact"/>
            </w:pPr>
            <w:r>
              <w:t xml:space="preserve">C4 → #1</w:t>
            </w:r>
          </w:p>
        </w:tc>
      </w:tr>
      <w:tr>
        <w:tc>
          <w:tcPr/>
          <w:p>
            <w:pPr>
              <w:pStyle w:val="Compact"/>
            </w:pPr>
            <w:r>
              <w:t xml:space="preserve">5</w:t>
            </w:r>
          </w:p>
        </w:tc>
        <w:tc>
          <w:tcPr/>
          <w:p>
            <w:pPr>
              <w:pStyle w:val="Compact"/>
            </w:pPr>
            <w:r>
              <w:t xml:space="preserve">(12,L)</w:t>
            </w:r>
          </w:p>
        </w:tc>
        <w:tc>
          <w:tcPr/>
          <w:p>
            <w:pPr>
              <w:pStyle w:val="Compact"/>
            </w:pPr>
            <w:r>
              <w:t xml:space="preserve">6-quarter forecast-decay board-explainability</w:t>
            </w:r>
          </w:p>
        </w:tc>
        <w:tc>
          <w:tcPr/>
          <w:p>
            <w:pPr>
              <w:pStyle w:val="Compact"/>
            </w:pPr>
            <w:r>
              <w:t xml:space="preserve">9</w:t>
            </w:r>
          </w:p>
        </w:tc>
        <w:tc>
          <w:tcPr/>
          <w:p>
            <w:pPr>
              <w:pStyle w:val="Compact"/>
            </w:pPr>
            <w:r>
              <w:t xml:space="preserve">#5 / C9</w:t>
            </w:r>
          </w:p>
        </w:tc>
      </w:tr>
      <w:tr>
        <w:tc>
          <w:tcPr/>
          <w:p>
            <w:pPr>
              <w:pStyle w:val="Compact"/>
            </w:pPr>
            <w:r>
              <w:t xml:space="preserve">5</w:t>
            </w:r>
          </w:p>
        </w:tc>
        <w:tc>
          <w:tcPr/>
          <w:p>
            <w:pPr>
              <w:pStyle w:val="Compact"/>
            </w:pPr>
            <w:r>
              <w:t xml:space="preserve">(6,E)↔(12,F)/(12,M)</w:t>
            </w:r>
          </w:p>
        </w:tc>
        <w:tc>
          <w:tcPr/>
          <w:p>
            <w:pPr>
              <w:pStyle w:val="Compact"/>
            </w:pPr>
            <w:r>
              <w:t xml:space="preserve">“CRM had the signal 14 days prior”</w:t>
            </w:r>
            <w:r>
              <w:t xml:space="preserve"> </w:t>
            </w:r>
            <w:r>
              <w:t xml:space="preserve">diagnosis</w:t>
            </w:r>
          </w:p>
        </w:tc>
        <w:tc>
          <w:tcPr/>
          <w:p>
            <w:pPr>
              <w:pStyle w:val="Compact"/>
            </w:pPr>
            <w:r>
              <w:t xml:space="preserve">9</w:t>
            </w:r>
          </w:p>
        </w:tc>
        <w:tc>
          <w:tcPr/>
          <w:p>
            <w:pPr>
              <w:pStyle w:val="Compact"/>
            </w:pPr>
            <w:r>
              <w:t xml:space="preserve">C8 + #1</w:t>
            </w:r>
          </w:p>
        </w:tc>
      </w:tr>
      <w:tr>
        <w:tc>
          <w:tcPr/>
          <w:p>
            <w:pPr>
              <w:pStyle w:val="Compact"/>
            </w:pPr>
            <w:r>
              <w:t xml:space="preserve">5</w:t>
            </w:r>
          </w:p>
        </w:tc>
        <w:tc>
          <w:tcPr/>
          <w:p>
            <w:pPr>
              <w:pStyle w:val="Compact"/>
            </w:pPr>
            <w:r>
              <w:t xml:space="preserve">(12,M)</w:t>
            </w:r>
          </w:p>
        </w:tc>
        <w:tc>
          <w:tcPr/>
          <w:p>
            <w:pPr>
              <w:pStyle w:val="Compact"/>
            </w:pPr>
            <w:r>
              <w:t xml:space="preserve">CRO board evidence-pack</w:t>
            </w:r>
          </w:p>
        </w:tc>
        <w:tc>
          <w:tcPr/>
          <w:p>
            <w:pPr>
              <w:pStyle w:val="Compact"/>
            </w:pPr>
            <w:r>
              <w:t xml:space="preserve">9</w:t>
            </w:r>
          </w:p>
        </w:tc>
        <w:tc>
          <w:tcPr/>
          <w:p>
            <w:pPr>
              <w:pStyle w:val="Compact"/>
            </w:pPr>
            <w:r>
              <w:t xml:space="preserve">#1</w:t>
            </w:r>
          </w:p>
        </w:tc>
      </w:tr>
    </w:tbl>
    <w:p>
      <w:pPr>
        <w:pStyle w:val="BodyText"/>
      </w:pPr>
      <w:r>
        <w:t xml:space="preserve">Patterns worth holding onto:</w:t>
      </w:r>
    </w:p>
    <w:p>
      <w:pPr>
        <w:pStyle w:val="Compact"/>
        <w:numPr>
          <w:ilvl w:val="0"/>
          <w:numId w:val="1006"/>
        </w:numPr>
      </w:pPr>
      <w:r>
        <w:rPr>
          <w:b/>
          <w:bCs/>
        </w:rPr>
        <w:t xml:space="preserve">The L-column lights up at 3 of 5 jobs and is load-bearing at Jobs 4 and 5.</w:t>
      </w:r>
      <w:r>
        <w:t xml:space="preserve"> </w:t>
      </w:r>
      <w:r>
        <w:t xml:space="preserve">Persistent memory is the single most JTBD-validated investment surface in the matrix. Bet #5 (memory architecture) is the single most-validated bet; Bet-C9 (Persistent Memory as Service Line) is the productized form once the Playbook has earned trust.</w:t>
      </w:r>
    </w:p>
    <w:p>
      <w:pPr>
        <w:pStyle w:val="Compact"/>
        <w:numPr>
          <w:ilvl w:val="0"/>
          <w:numId w:val="1006"/>
        </w:numPr>
      </w:pPr>
      <w:r>
        <w:rPr>
          <w:b/>
          <w:bCs/>
        </w:rPr>
        <w:t xml:space="preserve">(9,G) appears at Jobs 1 and 2 in two different framings.</w:t>
      </w:r>
      <w:r>
        <w:t xml:space="preserve"> </w:t>
      </w:r>
      <w:r>
        <w:t xml:space="preserve">Job 1 = vendor-side cycle compression. Job 2 = buyer-side deployment compression. Same cell, two narrative chapters. The Playbook should be written with both framings explicit because they appeal to different counterparties on the same buyer-side: VP Sales (Job 1) and VP Ops/CFO (Job 2).</w:t>
      </w:r>
    </w:p>
    <w:p>
      <w:pPr>
        <w:pStyle w:val="Compact"/>
        <w:numPr>
          <w:ilvl w:val="0"/>
          <w:numId w:val="1006"/>
        </w:numPr>
      </w:pPr>
      <w:r>
        <w:rPr>
          <w:b/>
          <w:bCs/>
        </w:rPr>
        <w:t xml:space="preserve">The M-column appears at Jobs 3, 4, 5 Conclude phases.</w:t>
      </w:r>
      <w:r>
        <w:t xml:space="preserve"> </w:t>
      </w:r>
      <w:r>
        <w:t xml:space="preserve">B7’s</w:t>
      </w:r>
      <w:r>
        <w:t xml:space="preserve"> </w:t>
      </w:r>
      <w:r>
        <w:t xml:space="preserve">“Conclude is universally underserved”</w:t>
      </w:r>
      <w:r>
        <w:t xml:space="preserve"> </w:t>
      </w:r>
      <w:r>
        <w:t xml:space="preserve">applies sharply at GTM-org scale: the CRO/CFO/Board-readiness phase across all five jobs is where the Playbook’s M-column overlay sells 5× harder than at any other phase.</w:t>
      </w:r>
    </w:p>
    <w:p>
      <w:pPr>
        <w:pStyle w:val="Compact"/>
        <w:numPr>
          <w:ilvl w:val="0"/>
          <w:numId w:val="1006"/>
        </w:numPr>
      </w:pPr>
      <w:r>
        <w:rPr>
          <w:b/>
          <w:bCs/>
        </w:rPr>
        <w:t xml:space="preserve">(11,I) outcome-pricing dispute is a two-job lever.</w:t>
      </w:r>
      <w:r>
        <w:t xml:space="preserve"> </w:t>
      </w:r>
      <w:r>
        <w:t xml:space="preserve">Job 3 frames it as CAC-payback adoption risk (CFO buys). Job 4 frames it as operational SLA dispute (CCO buys). Bet-C4 productizes a single template that lands across two different counterparties — that’s how it earns its way into Bet #1 as a chapter rather than as a separate consulting service.</w:t>
      </w:r>
    </w:p>
    <w:bookmarkEnd w:id="55"/>
    <w:bookmarkStart w:id="56" w:name="X7273b15a8d365f23347a7613e7c12aa804eca92"/>
    <w:p>
      <w:pPr>
        <w:pStyle w:val="Heading3"/>
      </w:pPr>
      <w:r>
        <w:t xml:space="preserve">X.4 — Three jobs where Alex’s profile fits most directly</w:t>
      </w:r>
    </w:p>
    <w:p>
      <w:pPr>
        <w:pStyle w:val="FirstParagraph"/>
      </w:pPr>
      <w:r>
        <w:rPr>
          <w:b/>
          <w:bCs/>
        </w:rPr>
        <w:t xml:space="preserve">Job 1 — Hit the number this quarter.</w:t>
      </w:r>
      <w:r>
        <w:t xml:space="preserve"> </w:t>
      </w:r>
      <w:r>
        <w:t xml:space="preserve">Twelve years carrying enterprise B2B quotas at Meltwater → Bazaarvoice/Curalate → Cohley → GKY Industries is the in-quarter procurement-seam compression résumé. The cycle-stretch from InfoSec/Legal/Privacy review at Cohley on creator-content and first-party data was the actual quota-killer — not the demo, not the price. Bet served:</w:t>
      </w:r>
      <w:r>
        <w:t xml:space="preserve"> </w:t>
      </w:r>
      <w:r>
        <w:rPr>
          <w:b/>
          <w:bCs/>
        </w:rPr>
        <w:t xml:space="preserve">Bet #1 (Procurement Playbook) primarily; Bet #6 (newsletter) as distribution.</w:t>
      </w:r>
      <w:r>
        <w:t xml:space="preserve"> </w:t>
      </w:r>
      <w:r>
        <w:t xml:space="preserve">Path:</w:t>
      </w:r>
      <w:r>
        <w:t xml:space="preserve"> </w:t>
      </w:r>
      <w:r>
        <w:rPr>
          <w:b/>
          <w:bCs/>
        </w:rPr>
        <w:t xml:space="preserve">PUBLISH</w:t>
      </w:r>
      <w:r>
        <w:t xml:space="preserve">. The 9,700-word Playbook draft is already two-thirds of the way to a v1 publishable artifact; the missing modules are the outcome-pricing template, the per-trajectory FinOps audit, and the memory-architecture overlay — all absorbed from Bets #4, #5, and Bet-C4 per the reconciliation.</w:t>
      </w:r>
    </w:p>
    <w:p>
      <w:pPr>
        <w:pStyle w:val="BodyText"/>
      </w:pPr>
      <w:r>
        <w:rPr>
          <w:b/>
          <w:bCs/>
        </w:rPr>
        <w:t xml:space="preserve">Job 4 — Increase NRR above 120%.</w:t>
      </w:r>
      <w:r>
        <w:t xml:space="preserve"> </w:t>
      </w:r>
      <w:r>
        <w:t xml:space="preserve">Bazaarvoice/Curalate was a renewal-motion business; Cohley’s contract structure (managed-service plus platform) is the prototype hybrid-pricing motion Sierra is exporting now. Alex has been the AE on the other side of the (11,L)</w:t>
      </w:r>
      <w:r>
        <w:t xml:space="preserve"> </w:t>
      </w:r>
      <w:r>
        <w:t xml:space="preserve">“CSM forgot what we promised nine months ago”</w:t>
      </w:r>
      <w:r>
        <w:t xml:space="preserve"> </w:t>
      </w:r>
      <w:r>
        <w:t xml:space="preserve">moment more times than he can count. That experiential authority is rare in the AI-builder cohort competing for these roles. Bet served:</w:t>
      </w:r>
      <w:r>
        <w:t xml:space="preserve"> </w:t>
      </w:r>
      <w:r>
        <w:rPr>
          <w:b/>
          <w:bCs/>
        </w:rPr>
        <w:t xml:space="preserve">Bet #2 (vertical-agent operator role inside Sierra or Decagon).</w:t>
      </w:r>
      <w:r>
        <w:t xml:space="preserve"> </w:t>
      </w:r>
      <w:r>
        <w:t xml:space="preserve">Path:</w:t>
      </w:r>
      <w:r>
        <w:t xml:space="preserve"> </w:t>
      </w:r>
      <w:r>
        <w:rPr>
          <w:b/>
          <w:bCs/>
        </w:rPr>
        <w:t xml:space="preserve">JOIN.</w:t>
      </w:r>
      <w:r>
        <w:t xml:space="preserve"> </w:t>
      </w:r>
      <w:r>
        <w:t xml:space="preserve">Sierra’s Head of Enterprise GTM East / Decagon’s Director Strategic Accounts — both companies live at (11,L) + (11,I) — are where the renewal-motion memory gap is closest to internal productization.</w:t>
      </w:r>
    </w:p>
    <w:p>
      <w:pPr>
        <w:pStyle w:val="BodyText"/>
      </w:pPr>
      <w:r>
        <w:rPr>
          <w:b/>
          <w:bCs/>
        </w:rPr>
        <w:t xml:space="preserve">Job 2 — Hit next year’s number without doubling headcount.</w:t>
      </w:r>
      <w:r>
        <w:t xml:space="preserve"> </w:t>
      </w:r>
      <w:r>
        <w:t xml:space="preserve">GKY Industries was a 6-quarter forecast horizon with hiring-budget compression at exactly the CFO-side math F3’s Job 2 describes:</w:t>
      </w:r>
      <w:r>
        <w:t xml:space="preserve"> </w:t>
      </w:r>
      <w:r>
        <w:t xml:space="preserve">“40% growth on 15% heads.”</w:t>
      </w:r>
      <w:r>
        <w:t xml:space="preserve"> </w:t>
      </w:r>
      <w:r>
        <w:t xml:space="preserve">Bet served:</w:t>
      </w:r>
      <w:r>
        <w:t xml:space="preserve"> </w:t>
      </w:r>
      <w:r>
        <w:rPr>
          <w:b/>
          <w:bCs/>
        </w:rPr>
        <w:t xml:space="preserve">Bet #1 + Bet #4 + Bet #5 as a bundled advisory practice.</w:t>
      </w:r>
      <w:r>
        <w:t xml:space="preserve"> </w:t>
      </w:r>
      <w:r>
        <w:t xml:space="preserve">Path:</w:t>
      </w:r>
      <w:r>
        <w:t xml:space="preserve"> </w:t>
      </w:r>
      <w:r>
        <w:rPr>
          <w:b/>
          <w:bCs/>
        </w:rPr>
        <w:t xml:space="preserve">ADVISE.</w:t>
      </w:r>
      <w:r>
        <w:t xml:space="preserve"> </w:t>
      </w:r>
      <w:r>
        <w:t xml:space="preserve">One CFO buyer, three modules: $25K Playbook engagement → $40K FinOps audit → $40K RAG/memory audit. Anchor the line-item pricing on Vanta’s SOC2-readiness pattern, which is the F500 procurement comfort zone.</w:t>
      </w:r>
    </w:p>
    <w:bookmarkEnd w:id="56"/>
    <w:bookmarkStart w:id="57" w:name="Xc0f3075bbe0aa36b7b11fcd821dca565393dcb5"/>
    <w:p>
      <w:pPr>
        <w:pStyle w:val="Heading3"/>
      </w:pPr>
      <w:r>
        <w:t xml:space="preserve">X.5 — Arbitration of seven cross-Wave-1 JTBD questions</w:t>
      </w:r>
    </w:p>
    <w:p>
      <w:pPr>
        <w:numPr>
          <w:ilvl w:val="0"/>
          <w:numId w:val="1007"/>
        </w:numPr>
      </w:pPr>
      <w:r>
        <w:rPr>
          <w:b/>
          <w:bCs/>
        </w:rPr>
        <w:t xml:space="preserve">Is (5,F) buying-committee mapping Job 1’s biggest gap?</w:t>
      </w:r>
      <w:r>
        <w:t xml:space="preserve"> </w:t>
      </w:r>
      <w:r>
        <w:t xml:space="preserve">Refine up but not to #1. (9,G) procurement-seam at gap 10 is bigger than (5,F) at gap 8 because cycle-time cost of bad committee mapping is 2–4 weeks; cycle-time cost of unprepared procurement-seam navigation is 6–24 weeks. The latter is the bigger gap-of-N at GTM-org scale.</w:t>
      </w:r>
    </w:p>
    <w:p>
      <w:pPr>
        <w:numPr>
          <w:ilvl w:val="0"/>
          <w:numId w:val="1007"/>
        </w:numPr>
      </w:pPr>
      <w:r>
        <w:rPr>
          <w:b/>
          <w:bCs/>
        </w:rPr>
        <w:t xml:space="preserve">Is (9,G) Job 2’s biggest gap or Job 1’s?</w:t>
      </w:r>
      <w:r>
        <w:t xml:space="preserve"> </w:t>
      </w:r>
      <w:r>
        <w:t xml:space="preserve">Both, in different framings. Job 1 = vendor-side cycle compression (sell in-quarter). Job 2 = buyer-side deployment compression (signature → productive use). The Playbook should carry both framings explicitly. Sequence-wise: Job 1 framing pulls harder because vendors hold variable quarterly budget; buyers’ deployment-compression budget is fixed planning-cycle and slower to release. Open the Playbook on Job 1, expand to Job 2 in Chapter 2.</w:t>
      </w:r>
    </w:p>
    <w:p>
      <w:pPr>
        <w:numPr>
          <w:ilvl w:val="0"/>
          <w:numId w:val="1007"/>
        </w:numPr>
      </w:pPr>
      <w:r>
        <w:rPr>
          <w:b/>
          <w:bCs/>
        </w:rPr>
        <w:t xml:space="preserve">Does (6,L) persistent AE memory serve Job 2 or Job 5?</w:t>
      </w:r>
      <w:r>
        <w:t xml:space="preserve"> </w:t>
      </w:r>
      <w:r>
        <w:t xml:space="preserve">Job 2 primarily; Job 5 secondarily through the (12,L) read-through. Build the product for the AE, sell to the VP Sales (Job 2 owner), bonus-sell to RevOps (Job 5 owner) as forecast-accuracy improvement. The buyer is VP Sales — not RevOps.</w:t>
      </w:r>
    </w:p>
    <w:p>
      <w:pPr>
        <w:numPr>
          <w:ilvl w:val="0"/>
          <w:numId w:val="1007"/>
        </w:numPr>
      </w:pPr>
      <w:r>
        <w:rPr>
          <w:b/>
          <w:bCs/>
        </w:rPr>
        <w:t xml:space="preserve">Does (11,I) outcome-pricing playbook serve Job 4 or Job 3?</w:t>
      </w:r>
      <w:r>
        <w:t xml:space="preserve"> </w:t>
      </w:r>
      <w:r>
        <w:t xml:space="preserve">Both, with different counterparties. Job 3 framing: CAC payback adoption-risk template (CFO). Job 4 framing: operational SLA dispute template (CCO). Two distinct buyers, two distinct chapter framings, one shared productized template (dual-telemetry + 30/60/90 dispute mechanic + third-party arbitration).</w:t>
      </w:r>
    </w:p>
    <w:p>
      <w:pPr>
        <w:numPr>
          <w:ilvl w:val="0"/>
          <w:numId w:val="1007"/>
        </w:numPr>
      </w:pPr>
      <w:r>
        <w:rPr>
          <w:b/>
          <w:bCs/>
        </w:rPr>
        <w:t xml:space="preserve">Does (7,J+M) procurement-seam coach-grading serve Job 2 or Job 1?</w:t>
      </w:r>
      <w:r>
        <w:t xml:space="preserve"> </w:t>
      </w:r>
      <w:r>
        <w:t xml:space="preserve">Job 2 — the ramp curve. Job 1’s close-rate is about the AE who is</w:t>
      </w:r>
      <w:r>
        <w:t xml:space="preserve"> </w:t>
      </w:r>
      <w:r>
        <w:rPr>
          <w:i/>
          <w:iCs/>
        </w:rPr>
        <w:t xml:space="preserve">already</w:t>
      </w:r>
      <w:r>
        <w:t xml:space="preserve"> </w:t>
      </w:r>
      <w:r>
        <w:t xml:space="preserve">procurement-fluent; coaching does not compress this-quarter’s deal. Job 2’s ramp-curve compression IS the JTBD: get a new AE certified on procurement-seam work in 12 weeks not 28. Buyer: VP Enablement → reports to VP Sales → Job 2 owner.</w:t>
      </w:r>
    </w:p>
    <w:p>
      <w:pPr>
        <w:numPr>
          <w:ilvl w:val="0"/>
          <w:numId w:val="1007"/>
        </w:numPr>
      </w:pPr>
      <w:r>
        <w:rPr>
          <w:b/>
          <w:bCs/>
        </w:rPr>
        <w:t xml:space="preserve">Common Room: Bet #2 join target or (5,F) building block?</w:t>
      </w:r>
      <w:r>
        <w:t xml:space="preserve"> </w:t>
      </w:r>
      <w:r>
        <w:t xml:space="preserve">Both possible; resolved by sequencing. Common Room at $30M ARR + Series C $250M val + community-signal-only is too narrow a single-product moat to be the durable (5,F) winner standalone. Either Common Room expands into multi-source fusion themselves (Bet-C5 JOIN makes sense, 12–18 month window) OR someone else builds (5,F) on top and Common Room becomes input (Bet-C1 BUILD makes more sense, but Alex’s operator path is weaker there).</w:t>
      </w:r>
      <w:r>
        <w:t xml:space="preserve"> </w:t>
      </w:r>
      <w:r>
        <w:rPr>
          <w:b/>
          <w:bCs/>
        </w:rPr>
        <w:t xml:space="preserve">Decidability event: the next two-quarter Common Room roadmap reveal (GC6).</w:t>
      </w:r>
      <w:r>
        <w:t xml:space="preserve"> </w:t>
      </w:r>
      <w:r>
        <w:t xml:space="preserve">Default position per Alex’s lock:</w:t>
      </w:r>
      <w:r>
        <w:t xml:space="preserve"> </w:t>
      </w:r>
      <w:r>
        <w:rPr>
          <w:b/>
          <w:bCs/>
        </w:rPr>
        <w:t xml:space="preserve">Bet-C5 JOIN wins over Bet-C1 BUILD.</w:t>
      </w:r>
    </w:p>
    <w:p>
      <w:pPr>
        <w:numPr>
          <w:ilvl w:val="0"/>
          <w:numId w:val="1007"/>
        </w:numPr>
      </w:pPr>
      <w:r>
        <w:rPr>
          <w:b/>
          <w:bCs/>
        </w:rPr>
        <w:t xml:space="preserve">Hebbia (#1 F4 composite) vs Microsoft 365 Copilot (#1 C6 cell-coverage) — which serves Alex’s career JTBD?</w:t>
      </w:r>
      <w:r>
        <w:t xml:space="preserve"> </w:t>
      </w:r>
      <w:r>
        <w:t xml:space="preserve">Hebbia, unambiguously. Microsoft wins the matrix at suite level; Alex inside Microsoft is a senior IC seat with no equity asymmetry. Hebbia at 2.5–5% under-funded ratio + 0.20–0.40% equity + Mehta/Stripe-anchored team + MBB-feedstock + NYC = 5× asymmetric upside relative to MS. Cell-coverage authority is the</w:t>
      </w:r>
      <w:r>
        <w:t xml:space="preserve"> </w:t>
      </w:r>
      <w:r>
        <w:rPr>
          <w:i/>
          <w:iCs/>
        </w:rPr>
        <w:t xml:space="preserve">market</w:t>
      </w:r>
      <w:r>
        <w:t xml:space="preserve"> </w:t>
      </w:r>
      <w:r>
        <w:t xml:space="preserve">truth; equity asymmetry is the</w:t>
      </w:r>
      <w:r>
        <w:t xml:space="preserve"> </w:t>
      </w:r>
      <w:r>
        <w:rPr>
          <w:i/>
          <w:iCs/>
        </w:rPr>
        <w:t xml:space="preserve">Alex</w:t>
      </w:r>
      <w:r>
        <w:t xml:space="preserve"> </w:t>
      </w:r>
      <w:r>
        <w:t xml:space="preserve">truth. Different JTBDs at different scales — they do not contradict.</w:t>
      </w:r>
    </w:p>
    <w:bookmarkEnd w:id="57"/>
    <w:bookmarkStart w:id="58" w:name="Xd9498ad46de71e7fdfd52316cee523702318b72"/>
    <w:p>
      <w:pPr>
        <w:pStyle w:val="Heading3"/>
      </w:pPr>
      <w:r>
        <w:t xml:space="preserve">X.6 — What JTBD tells us about which bets to fund</w:t>
      </w:r>
    </w:p>
    <w:p>
      <w:pPr>
        <w:pStyle w:val="Compact"/>
        <w:numPr>
          <w:ilvl w:val="0"/>
          <w:numId w:val="1008"/>
        </w:numPr>
      </w:pPr>
      <w:r>
        <w:rPr>
          <w:b/>
          <w:bCs/>
        </w:rPr>
        <w:t xml:space="preserve">JTBD most-validates Bet #5 (memory architecture).</w:t>
      </w:r>
      <w:r>
        <w:t xml:space="preserve"> </w:t>
      </w:r>
      <w:r>
        <w:t xml:space="preserve">L-column lights up at 3 of 5 jobs; (11,L) NRR memory at gap 10; (12,L) forecast-decay at gap 9; (6,L) AE memory at gap 9. No other bet draws the same JTBD density. Bet-C9 is the productized form. Sequence: Bet #1 ships first (90-day publish), Bet-C9 productization at the Q3 2026 trust-earned gate.</w:t>
      </w:r>
    </w:p>
    <w:p>
      <w:pPr>
        <w:pStyle w:val="Compact"/>
        <w:numPr>
          <w:ilvl w:val="0"/>
          <w:numId w:val="1008"/>
        </w:numPr>
      </w:pPr>
      <w:r>
        <w:rPr>
          <w:b/>
          <w:bCs/>
        </w:rPr>
        <w:t xml:space="preserve">JTBD most-threatens Bet #6 (newsletter standalone).</w:t>
      </w:r>
      <w:r>
        <w:t xml:space="preserve"> </w:t>
      </w:r>
      <w:r>
        <w:t xml:space="preserve">The newsletter doesn’t</w:t>
      </w:r>
      <w:r>
        <w:t xml:space="preserve"> </w:t>
      </w:r>
      <w:r>
        <w:rPr>
          <w:i/>
          <w:iCs/>
        </w:rPr>
        <w:t xml:space="preserve">close</w:t>
      </w:r>
      <w:r>
        <w:t xml:space="preserve"> </w:t>
      </w:r>
      <w:r>
        <w:t xml:space="preserve">a Conclude gap — it sits at</w:t>
      </w:r>
      <w:r>
        <w:t xml:space="preserve"> </w:t>
      </w:r>
      <w:r>
        <w:t xml:space="preserve">“stay current,”</w:t>
      </w:r>
      <w:r>
        <w:t xml:space="preserve"> </w:t>
      </w:r>
      <w:r>
        <w:t xml:space="preserve">which is a B7 job, not an F3 job. Bet #6’s JTBD pull is weaker than the tracker implied. Reframe as Bet #1 distribution layer only; do not justify it standalone.</w:t>
      </w:r>
    </w:p>
    <w:p>
      <w:pPr>
        <w:pStyle w:val="Compact"/>
        <w:numPr>
          <w:ilvl w:val="0"/>
          <w:numId w:val="1008"/>
        </w:numPr>
      </w:pPr>
      <w:r>
        <w:rPr>
          <w:b/>
          <w:bCs/>
        </w:rPr>
        <w:t xml:space="preserve">JTBD surfaces Bet-C8 above the synthesis read.</w:t>
      </w:r>
      <w:r>
        <w:t xml:space="preserve"> </w:t>
      </w:r>
      <w:r>
        <w:t xml:space="preserve">(6,E) deal-diagnosis appears at Job 1 (gap 9) AND Job 5 (gap 9). Two-job cell at gap 9 = high JTBD compounding. The operator path inside a credible (6,E) NYC startup belongs on the Bet #2 watchlist alongside Hebbia/Rogo/Sierra. Watch Aircover and any AI-Gong spinout.</w:t>
      </w:r>
    </w:p>
    <w:p>
      <w:pPr>
        <w:pStyle w:val="FirstParagraph"/>
      </w:pPr>
      <w:r>
        <w:t xml:space="preserve">The cross-bet through-line:</w:t>
      </w:r>
      <w:r>
        <w:t xml:space="preserve"> </w:t>
      </w:r>
      <w:r>
        <w:rPr>
          <w:b/>
          <w:bCs/>
        </w:rPr>
        <w:t xml:space="preserve">Bet #1 publishes → Bet #5 productizes → Bet-C4 templates → Bet-C8 operator-watches.</w:t>
      </w:r>
      <w:r>
        <w:t xml:space="preserve"> </w:t>
      </w:r>
      <w:r>
        <w:t xml:space="preserve">Each compounds JTBD validation for the next. The structural finding of F3: the GTM org is not buying agents. It’s buying procurement-fluent + memory-durable + outcome-defensible + causation-explainable substrate that lets the CRO/CFO/CCO/Board defend the number. Alex’s commercial fluency lands on three of the five jobs (1, 4, 2); the procurement-seam he carries from twelve years of enterprise B2B is the multiplier that turns the profile from one-of-many enterprise AE into rare-on-the-market.</w:t>
      </w:r>
    </w:p>
    <w:p>
      <w:r>
        <w:pict>
          <v:rect style="width:0;height:1.5pt" o:hralign="center" o:hrstd="t" o:hr="t"/>
        </w:pict>
      </w:r>
    </w:p>
    <w:p>
      <w:r>
        <w:pict>
          <v:rect style="width:0;height:1.5pt" o:hralign="center" o:hrstd="t" o:hr="t"/>
        </w:pict>
      </w:r>
    </w:p>
    <w:p>
      <w:pPr>
        <w:pStyle w:val="FirstParagraph"/>
      </w:pPr>
      <w:r>
        <w:t xml:space="preserve">Three frameworks. Three independent screens. Where they converged, the bets sharpened. The next chapter records the reconciliations.</w:t>
      </w:r>
    </w:p>
    <w:p>
      <w:r>
        <w:pict>
          <v:rect style="width:0;height:1.5pt" o:hralign="center" o:hrstd="t" o:hr="t"/>
        </w:pict>
      </w:r>
    </w:p>
    <w:bookmarkEnd w:id="58"/>
    <w:bookmarkEnd w:id="59"/>
    <w:bookmarkStart w:id="60" w:name="chapter-4-the-updated-seven-bets"/>
    <w:p>
      <w:pPr>
        <w:pStyle w:val="Heading2"/>
      </w:pPr>
      <w:r>
        <w:t xml:space="preserve">Chapter 4 · The Updated Seven Bets</w:t>
      </w:r>
    </w:p>
    <w:p>
      <w:pPr>
        <w:pStyle w:val="FirstParagraph"/>
      </w:pPr>
      <w:r>
        <w:t xml:space="preserve">Six artifacts went into this reconciliation: ten Wave 1 cell-population reports, three Wave 2 framework agents, the Phase 2a synthesis, and the Procurement Playbook draft. The seven Bets that came out are different from the seven Bets that went in. Not by much — by enough. What follows is the BETS_DELTA note (the per-bet reconciliations as they were drafted), then the Addendum’s Part XI synthesis (the same conclusions in narrative form, with the candidate-bet verdicts table). The two documents are presented in sequence because they were produced in sequence; the BETS_DELTA framed the decisions, the Addendum carried them into prose.</w:t>
      </w:r>
    </w:p>
    <w:p>
      <w:r>
        <w:pict>
          <v:rect style="width:0;height:1.5pt" o:hralign="center" o:hrstd="t" o:hr="t"/>
        </w:pict>
      </w:r>
    </w:p>
    <w:p>
      <w:pPr>
        <w:pStyle w:val="BlockText"/>
      </w:pPr>
      <w:r>
        <w:t xml:space="preserve">Companion to</w:t>
      </w:r>
      <w:r>
        <w:t xml:space="preserve"> </w:t>
      </w:r>
      <w:r>
        <w:rPr>
          <w:rStyle w:val="VerbatimChar"/>
        </w:rPr>
        <w:t xml:space="preserve">output/ai-stack/OCQ_TRACKER.md</w:t>
      </w:r>
      <w:r>
        <w:t xml:space="preserve"> </w:t>
      </w:r>
      <w:r>
        <w:t xml:space="preserve">and</w:t>
      </w:r>
      <w:r>
        <w:t xml:space="preserve"> </w:t>
      </w:r>
      <w:r>
        <w:rPr>
          <w:rStyle w:val="VerbatimChar"/>
        </w:rPr>
        <w:t xml:space="preserve">output/ai-agents/AI_AGENTS_TRACKER.md</w:t>
      </w:r>
      <w:r>
        <w:t xml:space="preserve">. This note records what the Volume IV agent-GTM cell-matrix work changed in the original 7 Big Bets — what was reinforced, what was re-ranked, what was subsumed, what is new.</w:t>
      </w:r>
    </w:p>
    <w:p>
      <w:pPr>
        <w:pStyle w:val="FirstParagraph"/>
      </w:pPr>
      <w:r>
        <w:rPr>
          <w:b/>
          <w:bCs/>
        </w:rPr>
        <w:t xml:space="preserve">Date:</w:t>
      </w:r>
      <w:r>
        <w:t xml:space="preserve"> </w:t>
      </w:r>
      <w:r>
        <w:t xml:space="preserve">2026-05-13</w:t>
      </w:r>
      <w:r>
        <w:t xml:space="preserve"> </w:t>
      </w:r>
      <w:r>
        <w:rPr>
          <w:b/>
          <w:bCs/>
        </w:rPr>
        <w:t xml:space="preserve">Owner:</w:t>
      </w:r>
      <w:r>
        <w:t xml:space="preserve"> </w:t>
      </w:r>
      <w:r>
        <w:t xml:space="preserve">Alex</w:t>
      </w:r>
      <w:r>
        <w:t xml:space="preserve"> </w:t>
      </w:r>
      <w:r>
        <w:rPr>
          <w:b/>
          <w:bCs/>
        </w:rPr>
        <w:t xml:space="preserve">Source artifacts:</w:t>
      </w:r>
      <w:r>
        <w:t xml:space="preserve"> </w:t>
      </w:r>
      <w:r>
        <w:rPr>
          <w:rStyle w:val="VerbatimChar"/>
        </w:rPr>
        <w:t xml:space="preserve">output/agents-gtm/wave1_synthesis.md</w:t>
      </w:r>
      <w:r>
        <w:t xml:space="preserve">,</w:t>
      </w:r>
      <w:r>
        <w:t xml:space="preserve"> </w:t>
      </w:r>
      <w:r>
        <w:rPr>
          <w:rStyle w:val="VerbatimChar"/>
        </w:rPr>
        <w:t xml:space="preserve">wave2_F1_wardley.md</w:t>
      </w:r>
      <w:r>
        <w:t xml:space="preserve">,</w:t>
      </w:r>
      <w:r>
        <w:t xml:space="preserve"> </w:t>
      </w:r>
      <w:r>
        <w:rPr>
          <w:rStyle w:val="VerbatimChar"/>
        </w:rPr>
        <w:t xml:space="preserve">wave2_F2_seven_powers.md</w:t>
      </w:r>
      <w:r>
        <w:t xml:space="preserve">,</w:t>
      </w:r>
      <w:r>
        <w:t xml:space="preserve"> </w:t>
      </w:r>
      <w:r>
        <w:rPr>
          <w:rStyle w:val="VerbatimChar"/>
        </w:rPr>
        <w:t xml:space="preserve">wave2_F3_jtbd.md</w:t>
      </w:r>
      <w:r>
        <w:t xml:space="preserve">,</w:t>
      </w:r>
      <w:r>
        <w:t xml:space="preserve"> </w:t>
      </w:r>
      <w:r>
        <w:rPr>
          <w:rStyle w:val="VerbatimChar"/>
        </w:rPr>
        <w:t xml:space="preserve">wave1_playbook_draft.md</w:t>
      </w:r>
      <w:r>
        <w:t xml:space="preserve">,</w:t>
      </w:r>
      <w:r>
        <w:t xml:space="preserve"> </w:t>
      </w:r>
      <w:r>
        <w:rPr>
          <w:rStyle w:val="VerbatimChar"/>
        </w:rPr>
        <w:t xml:space="preserve">wave1_F5.md</w:t>
      </w:r>
      <w:r>
        <w:t xml:space="preserve">,</w:t>
      </w:r>
      <w:r>
        <w:t xml:space="preserve"> </w:t>
      </w:r>
      <w:r>
        <w:rPr>
          <w:rStyle w:val="VerbatimChar"/>
        </w:rPr>
        <w:t xml:space="preserve">wave1_F4.md</w:t>
      </w:r>
      <w:r>
        <w:t xml:space="preserve"> </w:t>
      </w:r>
      <w:r>
        <w:rPr>
          <w:b/>
          <w:bCs/>
        </w:rPr>
        <w:t xml:space="preserve">Frameworks that converged on these deltas:</w:t>
      </w:r>
      <w:r>
        <w:t xml:space="preserve"> </w:t>
      </w:r>
      <w:r>
        <w:t xml:space="preserve">F1 Wardley, F2 7 Powers, F3 Ecosystem JTBD — explicitly named below where convergence is the load-bearing argument.</w:t>
      </w:r>
    </w:p>
    <w:p>
      <w:r>
        <w:pict>
          <v:rect style="width:0;height:1.5pt" o:hralign="center" o:hrstd="t" o:hr="t"/>
        </w:pict>
      </w:r>
    </w:p>
    <w:bookmarkEnd w:id="60"/>
    <w:bookmarkStart w:id="61" w:name="headline-shift"/>
    <w:p>
      <w:pPr>
        <w:pStyle w:val="Heading2"/>
      </w:pPr>
      <w:r>
        <w:t xml:space="preserve">Headline shift</w:t>
      </w:r>
    </w:p>
    <w:p>
      <w:pPr>
        <w:pStyle w:val="FirstParagraph"/>
      </w:pPr>
      <w:r>
        <w:rPr>
          <w:b/>
          <w:bCs/>
        </w:rPr>
        <w:t xml:space="preserve">The cell-matrix work converted the 7 Bets from a portfolio of options into a sequenced operating plan.</w:t>
      </w:r>
      <w:r>
        <w:t xml:space="preserve"> </w:t>
      </w:r>
      <w:r>
        <w:t xml:space="preserve">Three independent frameworks (F1, F2, F3) all confirmed Bet #1 as the highest-leverage and most-Power-footed position. Bet #5 was repositioned. Bet #3 was re-sequenced. The 10 candidate new bets surfaced in Phase 2a synthesis were winnowed to three promotions and seven absorptions / parks.</w:t>
      </w:r>
    </w:p>
    <w:p>
      <w:pPr>
        <w:pStyle w:val="BodyText"/>
      </w:pPr>
      <w:r>
        <w:t xml:space="preserve">The new short form:</w:t>
      </w:r>
      <w:r>
        <w:t xml:space="preserve"> </w:t>
      </w:r>
      <w:r>
        <w:rPr>
          <w:b/>
          <w:bCs/>
        </w:rPr>
        <w:t xml:space="preserve">publish (Bet #1), then rent equity (Bet #2), with advisory + gateway-pair (Bet #3) running concurrent from H2 2026, distributed via newsletter (Bet #6), with Bet #4 + Bet #5 as modules of #1.</w:t>
      </w:r>
    </w:p>
    <w:p>
      <w:r>
        <w:pict>
          <v:rect style="width:0;height:1.5pt" o:hralign="center" o:hrstd="t" o:hr="t"/>
        </w:pict>
      </w:r>
    </w:p>
    <w:bookmarkEnd w:id="61"/>
    <w:bookmarkStart w:id="69" w:name="per-bet-deltas"/>
    <w:p>
      <w:pPr>
        <w:pStyle w:val="Heading2"/>
      </w:pPr>
      <w:r>
        <w:t xml:space="preserve">Per-bet deltas</w:t>
      </w:r>
    </w:p>
    <w:bookmarkStart w:id="62" w:name="Xc40414e210f28ffffbaad6851ef6face8fc3cc3"/>
    <w:p>
      <w:pPr>
        <w:pStyle w:val="Heading3"/>
      </w:pPr>
      <w:r>
        <w:t xml:space="preserve">Bet #1 — Enterprise AI Procurement Operating Standard</w:t>
      </w:r>
    </w:p>
    <w:p>
      <w:pPr>
        <w:pStyle w:val="FirstParagraph"/>
      </w:pPr>
      <w:r>
        <w:rPr>
          <w:b/>
          <w:bCs/>
        </w:rPr>
        <w:t xml:space="preserve">Volume IV verdict: REINFORCED + EXPANDED. Conviction holds at ★★★★★.</w:t>
      </w:r>
    </w:p>
    <w:p>
      <w:pPr>
        <w:pStyle w:val="Compact"/>
        <w:numPr>
          <w:ilvl w:val="0"/>
          <w:numId w:val="1009"/>
        </w:numPr>
      </w:pPr>
      <w:r>
        <w:t xml:space="preserve">F1 (Wardley): single most asymmetric position in the matrix. PE-2 (Article 14 first enforcement, late 2026) = 5× TAM expansion event. Genesis-stage flag claimable.</w:t>
      </w:r>
    </w:p>
    <w:p>
      <w:pPr>
        <w:pStyle w:val="Compact"/>
        <w:numPr>
          <w:ilvl w:val="0"/>
          <w:numId w:val="1009"/>
        </w:numPr>
      </w:pPr>
      <w:r>
        <w:t xml:space="preserve">F2 (Powers): highest Power footing of all 7 Bets. Three operator-shape flavors stacked — Process Power (12-yr procurement scar-tissue), Branding (canonical voice), downstream Switching Costs (Playbook becomes buyer-side reference).</w:t>
      </w:r>
    </w:p>
    <w:p>
      <w:pPr>
        <w:pStyle w:val="Compact"/>
        <w:numPr>
          <w:ilvl w:val="0"/>
          <w:numId w:val="1009"/>
        </w:numPr>
      </w:pPr>
      <w:r>
        <w:t xml:space="preserve">F3 (JTBD): directly serves Job 1 (</w:t>
      </w:r>
      <w:r>
        <w:t xml:space="preserve">“hit the number this quarter”</w:t>
      </w:r>
      <w:r>
        <w:t xml:space="preserve">) AND Job 2 (</w:t>
      </w:r>
      <w:r>
        <w:t xml:space="preserve">“hit next year without doubling heads”</w:t>
      </w:r>
      <w:r>
        <w:t xml:space="preserve">). Two-job cell.</w:t>
      </w:r>
    </w:p>
    <w:p>
      <w:pPr>
        <w:pStyle w:val="Compact"/>
        <w:numPr>
          <w:ilvl w:val="0"/>
          <w:numId w:val="1009"/>
        </w:numPr>
      </w:pPr>
      <w:r>
        <w:t xml:space="preserve">(9, G) procurement-seam OCQ =</w:t>
      </w:r>
      <w:r>
        <w:t xml:space="preserve"> </w:t>
      </w:r>
      <w:r>
        <w:rPr>
          <w:b/>
          <w:bCs/>
        </w:rPr>
        <w:t xml:space="preserve">19/20</w:t>
      </w:r>
      <w:r>
        <w:t xml:space="preserve"> </w:t>
      </w:r>
      <w:r>
        <w:t xml:space="preserve">— highest cell in matrix.</w:t>
      </w:r>
    </w:p>
    <w:p>
      <w:pPr>
        <w:pStyle w:val="Compact"/>
        <w:numPr>
          <w:ilvl w:val="0"/>
          <w:numId w:val="1009"/>
        </w:numPr>
      </w:pPr>
      <w:r>
        <w:t xml:space="preserve">Seven counterparties (not six) — Enterprise Architecture / IT Ops added at F1000 scale.</w:t>
      </w:r>
    </w:p>
    <w:p>
      <w:pPr>
        <w:pStyle w:val="Compact"/>
        <w:numPr>
          <w:ilvl w:val="0"/>
          <w:numId w:val="1009"/>
        </w:numPr>
      </w:pPr>
      <w:r>
        <w:t xml:space="preserve">Playbook gains four modules absorbed from Bets #4/#5 + new Wave 1 findings:</w:t>
      </w:r>
    </w:p>
    <w:p>
      <w:pPr>
        <w:pStyle w:val="Compact"/>
        <w:numPr>
          <w:ilvl w:val="1"/>
          <w:numId w:val="1010"/>
        </w:numPr>
      </w:pPr>
      <w:r>
        <w:t xml:space="preserve">Outcome-pricing contract template (from F6)</w:t>
      </w:r>
    </w:p>
    <w:p>
      <w:pPr>
        <w:pStyle w:val="Compact"/>
        <w:numPr>
          <w:ilvl w:val="1"/>
          <w:numId w:val="1010"/>
        </w:numPr>
      </w:pPr>
      <w:r>
        <w:t xml:space="preserve">Per-trajectory FinOps audit module (from F6, was Bet #4)</w:t>
      </w:r>
    </w:p>
    <w:p>
      <w:pPr>
        <w:pStyle w:val="Compact"/>
        <w:numPr>
          <w:ilvl w:val="1"/>
          <w:numId w:val="1010"/>
        </w:numPr>
      </w:pPr>
      <w:r>
        <w:t xml:space="preserve">Pricing-model selection decision tree (from F6)</w:t>
      </w:r>
    </w:p>
    <w:p>
      <w:pPr>
        <w:pStyle w:val="Compact"/>
        <w:numPr>
          <w:ilvl w:val="1"/>
          <w:numId w:val="1010"/>
        </w:numPr>
      </w:pPr>
      <w:r>
        <w:t xml:space="preserve">Memory-architecture overlay (from F3, was Bet #5)</w:t>
      </w:r>
    </w:p>
    <w:p>
      <w:pPr>
        <w:pStyle w:val="FirstParagraph"/>
      </w:pPr>
      <w:r>
        <w:rPr>
          <w:b/>
          <w:bCs/>
        </w:rPr>
        <w:t xml:space="preserve">Sequencing change:</w:t>
      </w:r>
      <w:r>
        <w:t xml:space="preserve"> </w:t>
      </w:r>
      <w:r>
        <w:t xml:space="preserve">unchanged from Volume III — first.</w:t>
      </w:r>
      <w:r>
        <w:t xml:space="preserve"> </w:t>
      </w:r>
      <w:r>
        <w:rPr>
          <w:b/>
          <w:bCs/>
        </w:rPr>
        <w:t xml:space="preserve">Falsifiability:</w:t>
      </w:r>
      <w:r>
        <w:t xml:space="preserve"> </w:t>
      </w:r>
      <w:r>
        <w:t xml:space="preserve">unchanged — &lt;500 downloads / &lt;50 inbound conversations in 60 days OR Vanta/Drata/Ironclad ships AI-vendor bundle Q4 2026.</w:t>
      </w:r>
      <w:r>
        <w:t xml:space="preserve"> </w:t>
      </w:r>
      <w:r>
        <w:rPr>
          <w:b/>
          <w:bCs/>
        </w:rPr>
        <w:t xml:space="preserve">Next action:</w:t>
      </w:r>
      <w:r>
        <w:t xml:space="preserve"> </w:t>
      </w:r>
      <w:r>
        <w:t xml:space="preserve">Outline locked Week 1; 30 expert interviews Weeks 2–6; publish Week 12 with the bilateral evidence-pack interchange format as the canonical artifact.</w:t>
      </w:r>
    </w:p>
    <w:p>
      <w:r>
        <w:pict>
          <v:rect style="width:0;height:1.5pt" o:hralign="center" o:hrstd="t" o:hr="t"/>
        </w:pict>
      </w:r>
    </w:p>
    <w:bookmarkEnd w:id="62"/>
    <w:bookmarkStart w:id="63" w:name="bet-2-vertical-agent-gtm-leadership-role"/>
    <w:p>
      <w:pPr>
        <w:pStyle w:val="Heading3"/>
      </w:pPr>
      <w:r>
        <w:t xml:space="preserve">Bet #2 — Vertical Agent GTM Leadership Role</w:t>
      </w:r>
    </w:p>
    <w:p>
      <w:pPr>
        <w:pStyle w:val="FirstParagraph"/>
      </w:pPr>
      <w:r>
        <w:rPr>
          <w:b/>
          <w:bCs/>
        </w:rPr>
        <w:t xml:space="preserve">Volume IV verdict: REINFORCED + SHARPENED. Conviction holds at ★★★★★.</w:t>
      </w:r>
    </w:p>
    <w:p>
      <w:pPr>
        <w:pStyle w:val="Compact"/>
        <w:numPr>
          <w:ilvl w:val="0"/>
          <w:numId w:val="1011"/>
        </w:numPr>
      </w:pPr>
      <w:r>
        <w:t xml:space="preserve">F4 ranked Hebbia #1 composite NYC target (under-funded ratio 2.5–5%, 0.20–0.40% equity, MBB+Stripe-buyer fit, 2-quarter window before Series C).</w:t>
      </w:r>
    </w:p>
    <w:p>
      <w:pPr>
        <w:pStyle w:val="Compact"/>
        <w:numPr>
          <w:ilvl w:val="0"/>
          <w:numId w:val="1011"/>
        </w:numPr>
      </w:pPr>
      <w:r>
        <w:t xml:space="preserve">F2 ranked Hebbia #1 for JOIN despite Hebbia NOT being a top-5 most-durable company — different question (Alex’s career asymmetry vs the company’s structural moat).</w:t>
      </w:r>
    </w:p>
    <w:p>
      <w:pPr>
        <w:pStyle w:val="Compact"/>
        <w:numPr>
          <w:ilvl w:val="0"/>
          <w:numId w:val="1011"/>
        </w:numPr>
      </w:pPr>
      <w:r>
        <w:t xml:space="preserve">F3 confirmed:</w:t>
      </w:r>
      <w:r>
        <w:t xml:space="preserve"> </w:t>
      </w:r>
      <w:r>
        <w:t xml:space="preserve">“Hebbia for Alex’s career JTBD; MS Copilot for matrix-market truth.”</w:t>
      </w:r>
      <w:r>
        <w:t xml:space="preserve"> </w:t>
      </w:r>
      <w:r>
        <w:t xml:space="preserve">Not contradictory — different scales.</w:t>
      </w:r>
    </w:p>
    <w:p>
      <w:pPr>
        <w:pStyle w:val="Compact"/>
        <w:numPr>
          <w:ilvl w:val="0"/>
          <w:numId w:val="1011"/>
        </w:numPr>
      </w:pPr>
      <w:r>
        <w:rPr>
          <w:b/>
          <w:bCs/>
        </w:rPr>
        <w:t xml:space="preserve">Triple-confirmed: Hebbia #1, then Sierra, Rogo, Harvey, Glean.</w:t>
      </w:r>
    </w:p>
    <w:p>
      <w:pPr>
        <w:pStyle w:val="Compact"/>
        <w:numPr>
          <w:ilvl w:val="0"/>
          <w:numId w:val="1011"/>
        </w:numPr>
      </w:pPr>
      <w:r>
        <w:t xml:space="preserve">MBB feed-stock activated Feb–Apr 2026 (Berger BCG → Hebbia, Park McKinsey → Sierra, Sinclair Bain → Harvey). 30-day MBB-network push opens Hebbia pipeline directly.</w:t>
      </w:r>
    </w:p>
    <w:p>
      <w:pPr>
        <w:pStyle w:val="Compact"/>
        <w:numPr>
          <w:ilvl w:val="0"/>
          <w:numId w:val="1011"/>
        </w:numPr>
      </w:pPr>
      <w:r>
        <w:t xml:space="preserve">Foundation-lab AE departure pattern (4th feed-stock) emerging — watch Q2–Q3 2026.</w:t>
      </w:r>
    </w:p>
    <w:p>
      <w:pPr>
        <w:pStyle w:val="Compact"/>
        <w:numPr>
          <w:ilvl w:val="0"/>
          <w:numId w:val="1011"/>
        </w:numPr>
      </w:pPr>
      <w:r>
        <w:t xml:space="preserve">Equity-band 6–9 month window before Anthropic ARR Q3 2026 resolution + first vertical-agent IPO posture re-price.</w:t>
      </w:r>
    </w:p>
    <w:p>
      <w:pPr>
        <w:pStyle w:val="FirstParagraph"/>
      </w:pPr>
      <w:r>
        <w:rPr>
          <w:b/>
          <w:bCs/>
        </w:rPr>
        <w:t xml:space="preserve">Sequencing change:</w:t>
      </w:r>
      <w:r>
        <w:t xml:space="preserve"> </w:t>
      </w:r>
      <w:r>
        <w:t xml:space="preserve">unchanged from Volume III — second.</w:t>
      </w:r>
      <w:r>
        <w:t xml:space="preserve"> </w:t>
      </w:r>
      <w:r>
        <w:rPr>
          <w:b/>
          <w:bCs/>
        </w:rPr>
        <w:t xml:space="preserve">Falsifiability:</w:t>
      </w:r>
      <w:r>
        <w:t xml:space="preserve"> </w:t>
      </w:r>
      <w:r>
        <w:t xml:space="preserve">unchanged — 6 months focused NYC search yields no offers in the band.</w:t>
      </w:r>
      <w:r>
        <w:t xml:space="preserve"> </w:t>
      </w:r>
      <w:r>
        <w:rPr>
          <w:b/>
          <w:bCs/>
        </w:rPr>
        <w:t xml:space="preserve">Next action:</w:t>
      </w:r>
      <w:r>
        <w:t xml:space="preserve"> </w:t>
      </w:r>
      <w:r>
        <w:t xml:space="preserve">Time the offer before the up-round at Hebbia/Rogo/Augment (the under-funded-relative-to-ARR-velocity plays). MBB-network 30-day push opens parallel pipeline. Sign</w:t>
      </w:r>
      <w:r>
        <w:t xml:space="preserve"> </w:t>
      </w:r>
      <w:r>
        <w:rPr>
          <w:b/>
          <w:bCs/>
        </w:rPr>
        <w:t xml:space="preserve">before</w:t>
      </w:r>
      <w:r>
        <w:t xml:space="preserve"> </w:t>
      </w:r>
      <w:r>
        <w:t xml:space="preserve">Anthropic ARR resolution if conviction high;</w:t>
      </w:r>
      <w:r>
        <w:t xml:space="preserve"> </w:t>
      </w:r>
      <w:r>
        <w:rPr>
          <w:b/>
          <w:bCs/>
        </w:rPr>
        <w:t xml:space="preserve">after</w:t>
      </w:r>
      <w:r>
        <w:t xml:space="preserve"> </w:t>
      </w:r>
      <w:r>
        <w:t xml:space="preserve">if wobbly.</w:t>
      </w:r>
    </w:p>
    <w:p>
      <w:r>
        <w:pict>
          <v:rect style="width:0;height:1.5pt" o:hralign="center" o:hrstd="t" o:hr="t"/>
        </w:pict>
      </w:r>
    </w:p>
    <w:bookmarkEnd w:id="63"/>
    <w:bookmarkStart w:id="64" w:name="Xbf606fd40cd5bb1b911cd5de02e931734250c2c"/>
    <w:p>
      <w:pPr>
        <w:pStyle w:val="Heading3"/>
      </w:pPr>
      <w:r>
        <w:t xml:space="preserve">Bet #3 — MCP-Native Enterprise Integration Practice</w:t>
      </w:r>
    </w:p>
    <w:p>
      <w:pPr>
        <w:pStyle w:val="FirstParagraph"/>
      </w:pPr>
      <w:r>
        <w:rPr>
          <w:b/>
          <w:bCs/>
        </w:rPr>
        <w:t xml:space="preserve">Volume IV verdict: SPLIT into two components with different sequencing. Conviction held at ★★★★ but shape changed materially.</w:t>
      </w:r>
    </w:p>
    <w:p>
      <w:pPr>
        <w:pStyle w:val="Compact"/>
        <w:numPr>
          <w:ilvl w:val="0"/>
          <w:numId w:val="1012"/>
        </w:numPr>
      </w:pPr>
      <w:r>
        <w:t xml:space="preserve">F1 (Wardley):</w:t>
      </w:r>
      <w:r>
        <w:t xml:space="preserve"> </w:t>
      </w:r>
      <w:r>
        <w:rPr>
          <w:b/>
          <w:bCs/>
        </w:rPr>
        <w:t xml:space="preserve">PE-4 (MCP gateways crossing to Product, H2 2026) compresses the advisory window faster than Volume III modeled.</w:t>
      </w:r>
      <w:r>
        <w:t xml:space="preserve"> </w:t>
      </w:r>
      <w:r>
        <w:t xml:space="preserve">If Bet #1 publishes Q3 2026 and Bet #3 advisory waits, the gateway-control-plane window may already be closing.</w:t>
      </w:r>
    </w:p>
    <w:p>
      <w:pPr>
        <w:pStyle w:val="Compact"/>
        <w:numPr>
          <w:ilvl w:val="0"/>
          <w:numId w:val="1012"/>
        </w:numPr>
      </w:pPr>
      <w:r>
        <w:t xml:space="preserve">F2 (Powers): endorsed sequenced (Bet #1 → #2 → #3) — but specifically the productized-server leg, which Volume III already reframed away.</w:t>
      </w:r>
    </w:p>
    <w:p>
      <w:pPr>
        <w:pStyle w:val="FirstParagraph"/>
      </w:pPr>
      <w:r>
        <w:rPr>
          <w:b/>
          <w:bCs/>
        </w:rPr>
        <w:t xml:space="preserve">Resolution: Bet #3 has two components:</w:t>
      </w:r>
      <w:r>
        <w:t xml:space="preserve"> </w:t>
      </w:r>
      <w:r>
        <w:t xml:space="preserve">-</w:t>
      </w:r>
      <w:r>
        <w:t xml:space="preserve"> </w:t>
      </w:r>
      <w:r>
        <w:rPr>
          <w:b/>
          <w:bCs/>
        </w:rPr>
        <w:t xml:space="preserve">3a. Advisory + gateway-partner positioning</w:t>
      </w:r>
      <w:r>
        <w:t xml:space="preserve"> </w:t>
      </w:r>
      <w:r>
        <w:t xml:space="preserve">(Cloudflare / Kong / Pomerium pair).</w:t>
      </w:r>
      <w:r>
        <w:t xml:space="preserve"> </w:t>
      </w:r>
      <w:r>
        <w:rPr>
          <w:b/>
          <w:bCs/>
        </w:rPr>
        <w:t xml:space="preserve">Runs CONCURRENT with Bet #1 from H2 2026 — it IS Bet #1’s gateway-partner module.</w:t>
      </w:r>
      <w:r>
        <w:t xml:space="preserve"> </w:t>
      </w:r>
      <w:r>
        <w:t xml:space="preserve">Process Power flavor compounds with Bet #1’s Branding flavor.</w:t>
      </w:r>
      <w:r>
        <w:t xml:space="preserve"> </w:t>
      </w:r>
      <w:r>
        <w:t xml:space="preserve">-</w:t>
      </w:r>
      <w:r>
        <w:t xml:space="preserve"> </w:t>
      </w:r>
      <w:r>
        <w:rPr>
          <w:b/>
          <w:bCs/>
        </w:rPr>
        <w:t xml:space="preserve">3b. Productized-server practice</w:t>
      </w:r>
      <w:r>
        <w:t xml:space="preserve"> </w:t>
      </w:r>
      <w:r>
        <w:t xml:space="preserve">— already reframed away in Volume III. Remains parked. F2 confirmed minimal Power footing here.</w:t>
      </w:r>
    </w:p>
    <w:p>
      <w:pPr>
        <w:pStyle w:val="BodyText"/>
      </w:pPr>
      <w:r>
        <w:rPr>
          <w:b/>
          <w:bCs/>
        </w:rPr>
        <w:t xml:space="preserve">Sequencing change:</w:t>
      </w:r>
      <w:r>
        <w:t xml:space="preserve"> </w:t>
      </w:r>
      <w:r>
        <w:t xml:space="preserve">YES — 3a moves to concurrent with Bet #1, not deferred.</w:t>
      </w:r>
      <w:r>
        <w:t xml:space="preserve"> </w:t>
      </w:r>
      <w:r>
        <w:rPr>
          <w:b/>
          <w:bCs/>
        </w:rPr>
        <w:t xml:space="preserve">Falsifiability:</w:t>
      </w:r>
      <w:r>
        <w:t xml:space="preserve"> </w:t>
      </w:r>
      <w:r>
        <w:t xml:space="preserve">unchanged — MCP forks (Crux C2). 3a survives a fork better than 3b.</w:t>
      </w:r>
      <w:r>
        <w:t xml:space="preserve"> </w:t>
      </w:r>
      <w:r>
        <w:rPr>
          <w:b/>
          <w:bCs/>
        </w:rPr>
        <w:t xml:space="preserve">Next action:</w:t>
      </w:r>
      <w:r>
        <w:t xml:space="preserve"> </w:t>
      </w:r>
      <w:r>
        <w:t xml:space="preserve">Q2 2026 audit of ten SaaS systems most lacking MCP servers (filter by Job 4/Job 1 outcomes). Open Cloudflare gateway-partner conversation in Q3 2026 in parallel with Playbook publish.</w:t>
      </w:r>
    </w:p>
    <w:p>
      <w:r>
        <w:pict>
          <v:rect style="width:0;height:1.5pt" o:hralign="center" o:hrstd="t" o:hr="t"/>
        </w:pict>
      </w:r>
    </w:p>
    <w:bookmarkEnd w:id="64"/>
    <w:bookmarkStart w:id="65" w:name="X663f81ff58f46bfdd3b90e564fb2fb1f3cf324f"/>
    <w:p>
      <w:pPr>
        <w:pStyle w:val="Heading3"/>
      </w:pPr>
      <w:r>
        <w:t xml:space="preserve">Bet #4 — Inference Cost Optimization / FinOps for Tokens</w:t>
      </w:r>
    </w:p>
    <w:p>
      <w:pPr>
        <w:pStyle w:val="FirstParagraph"/>
      </w:pPr>
      <w:r>
        <w:rPr>
          <w:b/>
          <w:bCs/>
        </w:rPr>
        <w:t xml:space="preserve">Volume IV verdict: SUBSUMED into Bet #1 as a module. Conviction at ★★★★ standalone is now moot.</w:t>
      </w:r>
    </w:p>
    <w:p>
      <w:pPr>
        <w:pStyle w:val="Compact"/>
        <w:numPr>
          <w:ilvl w:val="0"/>
          <w:numId w:val="1013"/>
        </w:numPr>
      </w:pPr>
      <w:r>
        <w:t xml:space="preserve">F1: per-trajectory FinOps window 12–18 months before AWS Bedrock auto-routing default-on (H2 2027) bundles the layer.</w:t>
      </w:r>
    </w:p>
    <w:p>
      <w:pPr>
        <w:pStyle w:val="Compact"/>
        <w:numPr>
          <w:ilvl w:val="0"/>
          <w:numId w:val="1013"/>
        </w:numPr>
      </w:pPr>
      <w:r>
        <w:t xml:space="preserve">F6: Anthropic Claude Agent SDK 2.0 (Apr 2026) + OpenAI Responses API now expose per-trajectory billing — 30–60% savings on multi-hop trajectories at $1M+ AI spend. Real number, real audit-able.</w:t>
      </w:r>
    </w:p>
    <w:p>
      <w:pPr>
        <w:pStyle w:val="Compact"/>
        <w:numPr>
          <w:ilvl w:val="0"/>
          <w:numId w:val="1013"/>
        </w:numPr>
      </w:pPr>
      <w:r>
        <w:t xml:space="preserve">The standalone</w:t>
      </w:r>
      <w:r>
        <w:t xml:space="preserve"> </w:t>
      </w:r>
      <w:r>
        <w:t xml:space="preserve">“FinOps services practice”</w:t>
      </w:r>
      <w:r>
        <w:t xml:space="preserve"> </w:t>
      </w:r>
      <w:r>
        <w:t xml:space="preserve">play is no longer the right shape. The high-leverage move is to fold per-token + per-trajectory FinOps as one of the seven Procurement Playbook overlays — sells through the Playbook’s distribution + earns CFO/CIO trust without standing up a separate practice.</w:t>
      </w:r>
    </w:p>
    <w:p>
      <w:pPr>
        <w:pStyle w:val="FirstParagraph"/>
      </w:pPr>
      <w:r>
        <w:rPr>
          <w:b/>
          <w:bCs/>
        </w:rPr>
        <w:t xml:space="preserve">Sequencing change:</w:t>
      </w:r>
      <w:r>
        <w:t xml:space="preserve"> </w:t>
      </w:r>
      <w:r>
        <w:t xml:space="preserve">absorbed into Bet #1 timeline.</w:t>
      </w:r>
      <w:r>
        <w:t xml:space="preserve"> </w:t>
      </w:r>
      <w:r>
        <w:rPr>
          <w:b/>
          <w:bCs/>
        </w:rPr>
        <w:t xml:space="preserve">Falsifiability:</w:t>
      </w:r>
      <w:r>
        <w:t xml:space="preserve"> </w:t>
      </w:r>
      <w:r>
        <w:t xml:space="preserve">unchanged — AWS Bedrock auto-optimization announces Q3 2026, window collapses fast. The audit module survives the bundle better than a standalone services practice would.</w:t>
      </w:r>
      <w:r>
        <w:t xml:space="preserve"> </w:t>
      </w:r>
      <w:r>
        <w:rPr>
          <w:b/>
          <w:bCs/>
        </w:rPr>
        <w:t xml:space="preserve">Next action:</w:t>
      </w:r>
      <w:r>
        <w:t xml:space="preserve"> </w:t>
      </w:r>
      <w:r>
        <w:t xml:space="preserve">Free first audit for 1–2 mid-market AI-spending companies; case study lifts into Playbook §III.8 (new module). Decide by Q3 2026 whether to scale or absorb fully.</w:t>
      </w:r>
    </w:p>
    <w:p>
      <w:r>
        <w:pict>
          <v:rect style="width:0;height:1.5pt" o:hralign="center" o:hrstd="t" o:hr="t"/>
        </w:pict>
      </w:r>
    </w:p>
    <w:bookmarkEnd w:id="65"/>
    <w:bookmarkStart w:id="66" w:name="Xb19eb85e6d99ddef749ec85a92b2fe551cea0bd"/>
    <w:p>
      <w:pPr>
        <w:pStyle w:val="Heading3"/>
      </w:pPr>
      <w:r>
        <w:t xml:space="preserve">Bet #5 — Enterprise RAG / Memory Architecture Practice</w:t>
      </w:r>
    </w:p>
    <w:p>
      <w:pPr>
        <w:pStyle w:val="FirstParagraph"/>
      </w:pPr>
      <w:r>
        <w:rPr>
          <w:b/>
          <w:bCs/>
        </w:rPr>
        <w:t xml:space="preserve">Volume IV verdict: SUBSUMED + RE-EMERGES as Bet-C9 productization vector. Conviction at ★★★★ standalone repositioned.</w:t>
      </w:r>
    </w:p>
    <w:p>
      <w:pPr>
        <w:pStyle w:val="Compact"/>
        <w:numPr>
          <w:ilvl w:val="0"/>
          <w:numId w:val="1014"/>
        </w:numPr>
      </w:pPr>
      <w:r>
        <w:rPr>
          <w:b/>
          <w:bCs/>
        </w:rPr>
        <w:t xml:space="preserve">F2 (Powers): least Power-footed of all 7 Bets standalone.</w:t>
      </w:r>
      <w:r>
        <w:t xml:space="preserve"> </w:t>
      </w:r>
      <w:r>
        <w:t xml:space="preserve">RAG architecture as advisory does not accumulate durable Power — buyers consume the audit, the practice doesn’t compound.</w:t>
      </w:r>
    </w:p>
    <w:p>
      <w:pPr>
        <w:pStyle w:val="Compact"/>
        <w:numPr>
          <w:ilvl w:val="0"/>
          <w:numId w:val="1014"/>
        </w:numPr>
      </w:pPr>
      <w:r>
        <w:rPr>
          <w:b/>
          <w:bCs/>
        </w:rPr>
        <w:t xml:space="preserve">F3 (JTBD): MOST-validated job-fit.</w:t>
      </w:r>
      <w:r>
        <w:t xml:space="preserve"> </w:t>
      </w:r>
      <w:r>
        <w:t xml:space="preserve">L-column (persistent memory) lights up at 3 of 5 GTM-org jobs and is load-bearing at Jobs 4 (NRR) + 5 (forecast accuracy). The underlying buyer pain is real and growing.</w:t>
      </w:r>
    </w:p>
    <w:p>
      <w:pPr>
        <w:pStyle w:val="FirstParagraph"/>
      </w:pPr>
      <w:r>
        <w:rPr>
          <w:b/>
          <w:bCs/>
        </w:rPr>
        <w:t xml:space="preserve">The synthesis: F2 is right about standalone, F3 is right about the JTBD. Reconciliation:</w:t>
      </w:r>
      <w:r>
        <w:t xml:space="preserve"> </w:t>
      </w:r>
      <w:r>
        <w:t xml:space="preserve">- Subsume Bet #5 into Bet #1’s modules (memory-architecture overlay added to the Playbook’s vendor evaluation rubric).</w:t>
      </w:r>
      <w:r>
        <w:t xml:space="preserve"> </w:t>
      </w:r>
      <w:r>
        <w:t xml:space="preserve">- Promote</w:t>
      </w:r>
      <w:r>
        <w:t xml:space="preserve"> </w:t>
      </w:r>
      <w:r>
        <w:rPr>
          <w:b/>
          <w:bCs/>
        </w:rPr>
        <w:t xml:space="preserve">Bet-C9 (Persistent Memory as Service Line)</w:t>
      </w:r>
      <w:r>
        <w:t xml:space="preserve"> </w:t>
      </w:r>
      <w:r>
        <w:t xml:space="preserve">as the Q3 2026 productization vector AFTER the Playbook earns trust. The data-integrations + GDPR-deletion-semantics + CSM/AE curation UI = three-stage moat.</w:t>
      </w:r>
      <w:r>
        <w:t xml:space="preserve"> </w:t>
      </w:r>
      <w:r>
        <w:t xml:space="preserve">- Cells anchored: (6, L) AE deal-cycle memory · (11, L) renewal cross-quarter memory · (12, L) forecasting decay memory · (10, L) per-customer CX memory · (9, L) counterparty memory.</w:t>
      </w:r>
    </w:p>
    <w:p>
      <w:pPr>
        <w:pStyle w:val="BodyText"/>
      </w:pPr>
      <w:r>
        <w:rPr>
          <w:b/>
          <w:bCs/>
        </w:rPr>
        <w:t xml:space="preserve">Sequencing change:</w:t>
      </w:r>
      <w:r>
        <w:t xml:space="preserve"> </w:t>
      </w:r>
      <w:r>
        <w:t xml:space="preserve">standalone deferred; module within Bet #1 immediate; productization vector at Q3 2026 decision.</w:t>
      </w:r>
      <w:r>
        <w:t xml:space="preserve"> </w:t>
      </w:r>
      <w:r>
        <w:rPr>
          <w:b/>
          <w:bCs/>
        </w:rPr>
        <w:t xml:space="preserve">Falsifiability:</w:t>
      </w:r>
      <w:r>
        <w:t xml:space="preserve"> </w:t>
      </w:r>
      <w:r>
        <w:t xml:space="preserve">unchanged — long-context model improvements (Gemini 3.0, Claude prompt caching) eat the low end faster than enterprise grows the high end.</w:t>
      </w:r>
      <w:r>
        <w:t xml:space="preserve"> </w:t>
      </w:r>
      <w:r>
        <w:rPr>
          <w:b/>
          <w:bCs/>
        </w:rPr>
        <w:t xml:space="preserve">Next action:</w:t>
      </w:r>
      <w:r>
        <w:t xml:space="preserve"> </w:t>
      </w:r>
      <w:r>
        <w:t xml:space="preserve">Bet #5 modules ride inside the Bet #1 Playbook publish; revisit standalone Bet-C9 productization at the Q3 2026 trust-earned gate.</w:t>
      </w:r>
    </w:p>
    <w:p>
      <w:r>
        <w:pict>
          <v:rect style="width:0;height:1.5pt" o:hralign="center" o:hrstd="t" o:hr="t"/>
        </w:pict>
      </w:r>
    </w:p>
    <w:bookmarkEnd w:id="66"/>
    <w:bookmarkStart w:id="67" w:name="X65edb793a6f197226bc2002cb6891ff79d903d5"/>
    <w:p>
      <w:pPr>
        <w:pStyle w:val="Heading3"/>
      </w:pPr>
      <w:r>
        <w:t xml:space="preserve">Bet #6 — Operator’s Translation Newsletter / Public Voice</w:t>
      </w:r>
    </w:p>
    <w:p>
      <w:pPr>
        <w:pStyle w:val="FirstParagraph"/>
      </w:pPr>
      <w:r>
        <w:rPr>
          <w:b/>
          <w:bCs/>
        </w:rPr>
        <w:t xml:space="preserve">Volume IV verdict: REFRAMED as the distribution layer for Bets #1–#3. Conviction held at ★★★. Standalone not viable.</w:t>
      </w:r>
    </w:p>
    <w:p>
      <w:pPr>
        <w:pStyle w:val="Compact"/>
        <w:numPr>
          <w:ilvl w:val="0"/>
          <w:numId w:val="1015"/>
        </w:numPr>
      </w:pPr>
      <w:r>
        <w:t xml:space="preserve">F3 explicit: standalone</w:t>
      </w:r>
      <w:r>
        <w:t xml:space="preserve"> </w:t>
      </w:r>
      <w:r>
        <w:t xml:space="preserve">“weekly translation newsletter”</w:t>
      </w:r>
      <w:r>
        <w:t xml:space="preserve"> </w:t>
      </w:r>
      <w:r>
        <w:t xml:space="preserve">most-threatens itself — the JTBD it serves (Job 5: stay current + act on it) does not by itself drive action conversion at scale.</w:t>
      </w:r>
    </w:p>
    <w:p>
      <w:pPr>
        <w:pStyle w:val="Compact"/>
        <w:numPr>
          <w:ilvl w:val="0"/>
          <w:numId w:val="1015"/>
        </w:numPr>
      </w:pPr>
      <w:r>
        <w:t xml:space="preserve">Reframe: newsletter = the distribution layer for the Playbook + the gateway-partner positioning + the operator-translation public voice.</w:t>
      </w:r>
    </w:p>
    <w:p>
      <w:pPr>
        <w:pStyle w:val="Compact"/>
        <w:numPr>
          <w:ilvl w:val="0"/>
          <w:numId w:val="1015"/>
        </w:numPr>
      </w:pPr>
      <w:r>
        <w:t xml:space="preserve">Cross-pollinate Bet #1 Playbook downloads with newsletter subscribers (correlation = right-audience proof).</w:t>
      </w:r>
    </w:p>
    <w:p>
      <w:pPr>
        <w:pStyle w:val="FirstParagraph"/>
      </w:pPr>
      <w:r>
        <w:rPr>
          <w:b/>
          <w:bCs/>
        </w:rPr>
        <w:t xml:space="preserve">Sequencing change:</w:t>
      </w:r>
      <w:r>
        <w:t xml:space="preserve"> </w:t>
      </w:r>
      <w:r>
        <w:t xml:space="preserve">reframe to a publish-cadence supporting Bets #1–#3, not a standalone bet.</w:t>
      </w:r>
      <w:r>
        <w:t xml:space="preserve"> </w:t>
      </w:r>
      <w:r>
        <w:rPr>
          <w:b/>
          <w:bCs/>
        </w:rPr>
        <w:t xml:space="preserve">Falsifiability:</w:t>
      </w:r>
      <w:r>
        <w:t xml:space="preserve"> </w:t>
      </w:r>
      <w:r>
        <w:t xml:space="preserve">unchanged — &lt;2K subscribers in 6 months AND no inbound role/advisory from it = positioning theater. Kill at month 6 OR commit harder.</w:t>
      </w:r>
      <w:r>
        <w:t xml:space="preserve"> </w:t>
      </w:r>
      <w:r>
        <w:rPr>
          <w:b/>
          <w:bCs/>
        </w:rPr>
        <w:t xml:space="preserve">Next action:</w:t>
      </w:r>
      <w:r>
        <w:t xml:space="preserve"> </w:t>
      </w:r>
      <w:r>
        <w:t xml:space="preserve">Kit v1 Week 4 of Q3 2026 (after Playbook outline locked).</w:t>
      </w:r>
    </w:p>
    <w:p>
      <w:r>
        <w:pict>
          <v:rect style="width:0;height:1.5pt" o:hralign="center" o:hrstd="t" o:hr="t"/>
        </w:pict>
      </w:r>
    </w:p>
    <w:bookmarkEnd w:id="67"/>
    <w:bookmarkStart w:id="68" w:name="bet-7-vc-operating-partner-platform-path"/>
    <w:p>
      <w:pPr>
        <w:pStyle w:val="Heading3"/>
      </w:pPr>
      <w:r>
        <w:t xml:space="preserve">Bet #7 — VC Operating Partner / Platform Path</w:t>
      </w:r>
    </w:p>
    <w:p>
      <w:pPr>
        <w:pStyle w:val="FirstParagraph"/>
      </w:pPr>
      <w:r>
        <w:rPr>
          <w:b/>
          <w:bCs/>
        </w:rPr>
        <w:t xml:space="preserve">Volume IV verdict: HELD as fallback. Conviction at ★★★ unchanged. ★★★★ if becomes primary.</w:t>
      </w:r>
    </w:p>
    <w:p>
      <w:pPr>
        <w:pStyle w:val="Compact"/>
        <w:numPr>
          <w:ilvl w:val="0"/>
          <w:numId w:val="1016"/>
        </w:numPr>
      </w:pPr>
      <w:r>
        <w:t xml:space="preserve">F4 confirmed: principal-to-operator pattern (Carey Lai Insight → Sierra Apr 2026 + 3–5 similar moves) — the platform and operator paths converge at the senior level.</w:t>
      </w:r>
    </w:p>
    <w:p>
      <w:pPr>
        <w:pStyle w:val="Compact"/>
        <w:numPr>
          <w:ilvl w:val="0"/>
          <w:numId w:val="1016"/>
        </w:numPr>
      </w:pPr>
      <w:r>
        <w:t xml:space="preserve">This bet runs as background networking only; not actively pursued.</w:t>
      </w:r>
    </w:p>
    <w:p>
      <w:pPr>
        <w:pStyle w:val="FirstParagraph"/>
      </w:pPr>
      <w:r>
        <w:rPr>
          <w:b/>
          <w:bCs/>
        </w:rPr>
        <w:t xml:space="preserve">Sequencing change:</w:t>
      </w:r>
      <w:r>
        <w:t xml:space="preserve"> </w:t>
      </w:r>
      <w:r>
        <w:t xml:space="preserve">none.</w:t>
      </w:r>
      <w:r>
        <w:t xml:space="preserve"> </w:t>
      </w:r>
      <w:r>
        <w:rPr>
          <w:b/>
          <w:bCs/>
        </w:rPr>
        <w:t xml:space="preserve">Falsifiability:</w:t>
      </w:r>
      <w:r>
        <w:t xml:space="preserve"> </w:t>
      </w:r>
      <w:r>
        <w:t xml:space="preserve">if Bets #1, #2, #3a all land by month 12, this drops further. If none do, it becomes primary.</w:t>
      </w:r>
      <w:r>
        <w:t xml:space="preserve"> </w:t>
      </w:r>
      <w:r>
        <w:rPr>
          <w:b/>
          <w:bCs/>
        </w:rPr>
        <w:t xml:space="preserve">Next action:</w:t>
      </w:r>
      <w:r>
        <w:t xml:space="preserve"> </w:t>
      </w:r>
      <w:r>
        <w:t xml:space="preserve">Build relationships at 3 NYC funds via RAAIS / Betaworks / FirstMark MAD events. No active applications until Q4 2026.</w:t>
      </w:r>
    </w:p>
    <w:p>
      <w:r>
        <w:pict>
          <v:rect style="width:0;height:1.5pt" o:hralign="center" o:hrstd="t" o:hr="t"/>
        </w:pict>
      </w:r>
    </w:p>
    <w:bookmarkEnd w:id="68"/>
    <w:bookmarkEnd w:id="69"/>
    <w:bookmarkStart w:id="70" w:name="the-10-candidate-new-bets-verdicts"/>
    <w:p>
      <w:pPr>
        <w:pStyle w:val="Heading2"/>
      </w:pPr>
      <w:r>
        <w:t xml:space="preserve">The 10 candidate new bets — verdicts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Candidate</w:t>
            </w:r>
          </w:p>
        </w:tc>
        <w:tc>
          <w:tcPr/>
          <w:p>
            <w:pPr>
              <w:pStyle w:val="Compact"/>
            </w:pPr>
            <w:r>
              <w:t xml:space="preserve">Verdict</w:t>
            </w:r>
          </w:p>
        </w:tc>
        <w:tc>
          <w:tcPr/>
          <w:p>
            <w:pPr>
              <w:pStyle w:val="Compact"/>
            </w:pPr>
            <w:r>
              <w:t xml:space="preserve">Anchor</w:t>
            </w:r>
          </w:p>
        </w:tc>
      </w:tr>
      <w:tr>
        <w:tc>
          <w:tcPr/>
          <w:p>
            <w:pPr>
              <w:pStyle w:val="Compact"/>
            </w:pPr>
            <w:r>
              <w:t xml:space="preserve">Bet-C1</w:t>
            </w:r>
          </w:p>
        </w:tc>
        <w:tc>
          <w:tcPr/>
          <w:p>
            <w:pPr>
              <w:pStyle w:val="Compact"/>
            </w:pPr>
            <w:r>
              <w:t xml:space="preserve">The Buying-Committee Graph product</w:t>
            </w:r>
          </w:p>
        </w:tc>
        <w:tc>
          <w:tcPr/>
          <w:p>
            <w:pPr>
              <w:pStyle w:val="Compact"/>
            </w:pPr>
            <w:r>
              <w:rPr>
                <w:b/>
                <w:bCs/>
              </w:rPr>
              <w:t xml:space="preserve">PARK as Bet-C5 alternative.</w:t>
            </w:r>
            <w:r>
              <w:t xml:space="preserve"> </w:t>
            </w:r>
            <w:r>
              <w:t xml:space="preserve">F3 prefers JOIN over BUILD (see Bet-C5). Revisit if Common Room roadmap doesn’t move.</w:t>
            </w:r>
          </w:p>
        </w:tc>
        <w:tc>
          <w:tcPr/>
          <w:p>
            <w:pPr>
              <w:pStyle w:val="Compact"/>
            </w:pPr>
            <w:r>
              <w:t xml:space="preserve">(5, F) OCQ 18</w:t>
            </w:r>
          </w:p>
        </w:tc>
      </w:tr>
      <w:tr>
        <w:tc>
          <w:tcPr/>
          <w:p>
            <w:pPr>
              <w:pStyle w:val="Compact"/>
            </w:pPr>
            <w:r>
              <w:t xml:space="preserve">Bet-C2</w:t>
            </w:r>
          </w:p>
        </w:tc>
        <w:tc>
          <w:tcPr/>
          <w:p>
            <w:pPr>
              <w:pStyle w:val="Compact"/>
            </w:pPr>
            <w:r>
              <w:t xml:space="preserve">Trajectory-grade procurement-seam coach</w:t>
            </w:r>
          </w:p>
        </w:tc>
        <w:tc>
          <w:tcPr/>
          <w:p>
            <w:pPr>
              <w:pStyle w:val="Compact"/>
            </w:pPr>
            <w:r>
              <w:rPr>
                <w:b/>
                <w:bCs/>
              </w:rPr>
              <w:t xml:space="preserve">ABSORB as Bet #1 follow-on.</w:t>
            </w:r>
            <w:r>
              <w:t xml:space="preserve"> </w:t>
            </w:r>
            <w:r>
              <w:t xml:space="preserve">Coach the work the Playbook teaches. Productize after Playbook publish. Accident-of-light cell — flag in Action Map.</w:t>
            </w:r>
          </w:p>
        </w:tc>
        <w:tc>
          <w:tcPr/>
          <w:p>
            <w:pPr>
              <w:pStyle w:val="Compact"/>
            </w:pPr>
            <w:r>
              <w:t xml:space="preserve">(7, J+M) OCQ 13</w:t>
            </w:r>
          </w:p>
        </w:tc>
      </w:tr>
      <w:tr>
        <w:tc>
          <w:tcPr/>
          <w:p>
            <w:pPr>
              <w:pStyle w:val="Compact"/>
            </w:pPr>
            <w:r>
              <w:t xml:space="preserve">Bet-C3</w:t>
            </w:r>
          </w:p>
        </w:tc>
        <w:tc>
          <w:tcPr/>
          <w:p>
            <w:pPr>
              <w:pStyle w:val="Compact"/>
            </w:pPr>
            <w:r>
              <w:t xml:space="preserve">Per-trajectory FinOps audit practice (extended)</w:t>
            </w:r>
          </w:p>
        </w:tc>
        <w:tc>
          <w:tcPr/>
          <w:p>
            <w:pPr>
              <w:pStyle w:val="Compact"/>
            </w:pPr>
            <w:r>
              <w:rPr>
                <w:b/>
                <w:bCs/>
              </w:rPr>
              <w:t xml:space="preserve">ABSORB into Bet #1 / Bet #4 fold-in.</w:t>
            </w:r>
            <w:r>
              <w:t xml:space="preserve"> </w:t>
            </w:r>
            <w:r>
              <w:t xml:space="preserve">Module §III.8 of Playbook.</w:t>
            </w:r>
          </w:p>
        </w:tc>
        <w:tc>
          <w:tcPr/>
          <w:p>
            <w:pPr>
              <w:pStyle w:val="Compact"/>
            </w:pPr>
            <w:r>
              <w:t xml:space="preserve">(4/6/9/12, M)</w:t>
            </w:r>
          </w:p>
        </w:tc>
      </w:tr>
      <w:tr>
        <w:tc>
          <w:tcPr/>
          <w:p>
            <w:pPr>
              <w:pStyle w:val="Compact"/>
            </w:pPr>
            <w:r>
              <w:t xml:space="preserve">Bet-C4</w:t>
            </w:r>
          </w:p>
        </w:tc>
        <w:tc>
          <w:tcPr/>
          <w:p>
            <w:pPr>
              <w:pStyle w:val="Compact"/>
            </w:pPr>
            <w:r>
              <w:t xml:space="preserve">Outcome-definition contract template practice</w:t>
            </w:r>
          </w:p>
        </w:tc>
        <w:tc>
          <w:tcPr/>
          <w:p>
            <w:pPr>
              <w:pStyle w:val="Compact"/>
            </w:pPr>
            <w:r>
              <w:rPr>
                <w:b/>
                <w:bCs/>
              </w:rPr>
              <w:t xml:space="preserve">ABSORB into Bet #1.</w:t>
            </w:r>
            <w:r>
              <w:t xml:space="preserve"> </w:t>
            </w:r>
            <w:r>
              <w:t xml:space="preserve">Highest-leverage Bet #1 wedge per F6. New section in Playbook.</w:t>
            </w:r>
          </w:p>
        </w:tc>
        <w:tc>
          <w:tcPr/>
          <w:p>
            <w:pPr>
              <w:pStyle w:val="Compact"/>
            </w:pPr>
            <w:r>
              <w:t xml:space="preserve">(11, I) → (9, I)</w:t>
            </w:r>
          </w:p>
        </w:tc>
      </w:tr>
      <w:tr>
        <w:tc>
          <w:tcPr/>
          <w:p>
            <w:pPr>
              <w:pStyle w:val="Compact"/>
            </w:pPr>
            <w:r>
              <w:t xml:space="preserve">Bet-C5</w:t>
            </w:r>
          </w:p>
        </w:tc>
        <w:tc>
          <w:tcPr/>
          <w:p>
            <w:pPr>
              <w:pStyle w:val="Compact"/>
            </w:pPr>
            <w:r>
              <w:t xml:space="preserve">Operator path inside Common Room</w:t>
            </w:r>
          </w:p>
        </w:tc>
        <w:tc>
          <w:tcPr/>
          <w:p>
            <w:pPr>
              <w:pStyle w:val="Compact"/>
            </w:pPr>
            <w:r>
              <w:rPr>
                <w:b/>
                <w:bCs/>
              </w:rPr>
              <w:t xml:space="preserve">PROMOTE as a Bet #2 sub-target.</w:t>
            </w:r>
            <w:r>
              <w:t xml:space="preserve"> </w:t>
            </w:r>
            <w:r>
              <w:t xml:space="preserve">F3 verdict explicit — JOIN beats BUILD until Common Room roadmap reveal forces re-decide (~2 quarters).</w:t>
            </w:r>
          </w:p>
        </w:tc>
        <w:tc>
          <w:tcPr/>
          <w:p>
            <w:pPr>
              <w:pStyle w:val="Compact"/>
            </w:pPr>
            <w:r>
              <w:t xml:space="preserve">(3, A+L+F), (5, F)</w:t>
            </w:r>
          </w:p>
        </w:tc>
      </w:tr>
      <w:tr>
        <w:tc>
          <w:tcPr/>
          <w:p>
            <w:pPr>
              <w:pStyle w:val="Compact"/>
            </w:pPr>
            <w:r>
              <w:t xml:space="preserve">Bet-C6</w:t>
            </w:r>
          </w:p>
        </w:tc>
        <w:tc>
          <w:tcPr/>
          <w:p>
            <w:pPr>
              <w:pStyle w:val="Compact"/>
            </w:pPr>
            <w:r>
              <w:t xml:space="preserve">AI-Vendor Procurement Standard as open spec</w:t>
            </w:r>
          </w:p>
        </w:tc>
        <w:tc>
          <w:tcPr/>
          <w:p>
            <w:pPr>
              <w:pStyle w:val="Compact"/>
            </w:pPr>
            <w:r>
              <w:rPr>
                <w:b/>
                <w:bCs/>
              </w:rPr>
              <w:t xml:space="preserve">PROMOTE as a Bet #1 reframe.</w:t>
            </w:r>
            <w:r>
              <w:t xml:space="preserve"> </w:t>
            </w:r>
            <w:r>
              <w:t xml:space="preserve">First credible publisher sets the procurement default for next 5 years. Process Power for the maintainer.</w:t>
            </w:r>
          </w:p>
        </w:tc>
        <w:tc>
          <w:tcPr/>
          <w:p>
            <w:pPr>
              <w:pStyle w:val="Compact"/>
            </w:pPr>
            <w:r>
              <w:t xml:space="preserve">meta over (9, G)</w:t>
            </w:r>
          </w:p>
        </w:tc>
      </w:tr>
      <w:tr>
        <w:tc>
          <w:tcPr/>
          <w:p>
            <w:pPr>
              <w:pStyle w:val="Compact"/>
            </w:pPr>
            <w:r>
              <w:t xml:space="preserve">Bet-C7</w:t>
            </w:r>
          </w:p>
        </w:tc>
        <w:tc>
          <w:tcPr/>
          <w:p>
            <w:pPr>
              <w:pStyle w:val="Compact"/>
            </w:pPr>
            <w:r>
              <w:t xml:space="preserve">RevOps trajectory agent (closing pipeline-scrub loop)</w:t>
            </w:r>
          </w:p>
        </w:tc>
        <w:tc>
          <w:tcPr/>
          <w:p>
            <w:pPr>
              <w:pStyle w:val="Compact"/>
            </w:pPr>
            <w:r>
              <w:rPr>
                <w:b/>
                <w:bCs/>
              </w:rPr>
              <w:t xml:space="preserve">WATCH only.</w:t>
            </w:r>
            <w:r>
              <w:t xml:space="preserve"> </w:t>
            </w:r>
            <w:r>
              <w:t xml:space="preserve">12–18 month build window; Alex’s bet adjacency moderate. Not a primary bet.</w:t>
            </w:r>
          </w:p>
        </w:tc>
        <w:tc>
          <w:tcPr/>
          <w:p>
            <w:pPr>
              <w:pStyle w:val="Compact"/>
            </w:pPr>
            <w:r>
              <w:t xml:space="preserve">(8, G) OCQ 15</w:t>
            </w:r>
          </w:p>
        </w:tc>
      </w:tr>
      <w:tr>
        <w:tc>
          <w:tcPr/>
          <w:p>
            <w:pPr>
              <w:pStyle w:val="Compact"/>
            </w:pPr>
            <w:r>
              <w:t xml:space="preserve">Bet-C8</w:t>
            </w:r>
          </w:p>
        </w:tc>
        <w:tc>
          <w:tcPr/>
          <w:p>
            <w:pPr>
              <w:pStyle w:val="Compact"/>
            </w:pPr>
            <w:r>
              <w:t xml:space="preserve">Deal-Diagnosis Causation Engine</w:t>
            </w:r>
          </w:p>
        </w:tc>
        <w:tc>
          <w:tcPr/>
          <w:p>
            <w:pPr>
              <w:pStyle w:val="Compact"/>
            </w:pPr>
            <w:r>
              <w:rPr>
                <w:b/>
                <w:bCs/>
              </w:rPr>
              <w:t xml:space="preserve">WATCH as Bet #2 operator-target if a credible startup emerges.</w:t>
            </w:r>
            <w:r>
              <w:t xml:space="preserve"> </w:t>
            </w:r>
            <w:r>
              <w:t xml:space="preserve">F3 elevated this above synthesis read — two-job cell at gap 9.</w:t>
            </w:r>
          </w:p>
        </w:tc>
        <w:tc>
          <w:tcPr/>
          <w:p>
            <w:pPr>
              <w:pStyle w:val="Compact"/>
            </w:pPr>
            <w:r>
              <w:t xml:space="preserve">(6, E) OCQ 17</w:t>
            </w:r>
          </w:p>
        </w:tc>
      </w:tr>
      <w:tr>
        <w:tc>
          <w:tcPr/>
          <w:p>
            <w:pPr>
              <w:pStyle w:val="Compact"/>
            </w:pPr>
            <w:r>
              <w:t xml:space="preserve">Bet-C9</w:t>
            </w:r>
          </w:p>
        </w:tc>
        <w:tc>
          <w:tcPr/>
          <w:p>
            <w:pPr>
              <w:pStyle w:val="Compact"/>
            </w:pPr>
            <w:r>
              <w:t xml:space="preserve">Persistent Memory as Service Line</w:t>
            </w:r>
          </w:p>
        </w:tc>
        <w:tc>
          <w:tcPr/>
          <w:p>
            <w:pPr>
              <w:pStyle w:val="Compact"/>
            </w:pPr>
            <w:r>
              <w:rPr>
                <w:b/>
                <w:bCs/>
              </w:rPr>
              <w:t xml:space="preserve">PROMOTE as Q3 2026 productization vector inside Bet #5 fold-in.</w:t>
            </w:r>
            <w:r>
              <w:t xml:space="preserve"> </w:t>
            </w:r>
            <w:r>
              <w:t xml:space="preserve">Decide at trust-earned gate.</w:t>
            </w:r>
          </w:p>
        </w:tc>
        <w:tc>
          <w:tcPr/>
          <w:p>
            <w:pPr>
              <w:pStyle w:val="Compact"/>
            </w:pPr>
            <w:r>
              <w:t xml:space="preserve">L-column</w:t>
            </w:r>
          </w:p>
        </w:tc>
      </w:tr>
      <w:tr>
        <w:tc>
          <w:tcPr/>
          <w:p>
            <w:pPr>
              <w:pStyle w:val="Compact"/>
            </w:pPr>
            <w:r>
              <w:t xml:space="preserve">Bet-C10</w:t>
            </w:r>
          </w:p>
        </w:tc>
        <w:tc>
          <w:tcPr/>
          <w:p>
            <w:pPr>
              <w:pStyle w:val="Compact"/>
            </w:pPr>
            <w:r>
              <w:t xml:space="preserve">Article 14 Tie-Out Standard</w:t>
            </w:r>
          </w:p>
        </w:tc>
        <w:tc>
          <w:tcPr/>
          <w:p>
            <w:pPr>
              <w:pStyle w:val="Compact"/>
            </w:pPr>
            <w:r>
              <w:rPr>
                <w:b/>
                <w:bCs/>
              </w:rPr>
              <w:t xml:space="preserve">ABSORB into Bet #1.</w:t>
            </w:r>
            <w:r>
              <w:t xml:space="preserve"> </w:t>
            </w:r>
            <w:r>
              <w:t xml:space="preserve">Already drafted as Playbook §III.6 Overlay. Open-spec wedge.</w:t>
            </w:r>
          </w:p>
        </w:tc>
        <w:tc>
          <w:tcPr/>
          <w:p>
            <w:pPr>
              <w:pStyle w:val="Compact"/>
            </w:pPr>
            <w:r>
              <w:t xml:space="preserve">(9, M)</w:t>
            </w:r>
          </w:p>
        </w:tc>
      </w:tr>
    </w:tbl>
    <w:p>
      <w:pPr>
        <w:pStyle w:val="BodyText"/>
      </w:pPr>
      <w:r>
        <w:rPr>
          <w:b/>
          <w:bCs/>
        </w:rPr>
        <w:t xml:space="preserve">Net result: three promotions (Bet-C5, Bet-C6, Bet-C9), four absorptions (Bet-C2, Bet-C3, Bet-C4, Bet-C10), three watch-list / parks (Bet-C1, Bet-C7, Bet-C8).</w:t>
      </w:r>
    </w:p>
    <w:p>
      <w:r>
        <w:pict>
          <v:rect style="width:0;height:1.5pt" o:hralign="center" o:hrstd="t" o:hr="t"/>
        </w:pict>
      </w:r>
    </w:p>
    <w:bookmarkEnd w:id="70"/>
    <w:bookmarkStart w:id="71" w:name="updated-bet-shape-one-line-summary"/>
    <w:p>
      <w:pPr>
        <w:pStyle w:val="Heading2"/>
      </w:pPr>
      <w:r>
        <w:t xml:space="preserve">Updated bet shape (one-line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Bet</w:t>
            </w:r>
          </w:p>
        </w:tc>
        <w:tc>
          <w:tcPr/>
          <w:p>
            <w:pPr>
              <w:pStyle w:val="Compact"/>
            </w:pPr>
            <w:r>
              <w:t xml:space="preserve">Status</w:t>
            </w:r>
          </w:p>
        </w:tc>
        <w:tc>
          <w:tcPr/>
          <w:p>
            <w:pPr>
              <w:pStyle w:val="Compact"/>
            </w:pPr>
            <w:r>
              <w:t xml:space="preserve">Sequence</w:t>
            </w:r>
          </w:p>
        </w:tc>
      </w:tr>
      <w:tr>
        <w:tc>
          <w:tcPr/>
          <w:p>
            <w:pPr>
              <w:pStyle w:val="Compact"/>
            </w:pPr>
            <w:r>
              <w:t xml:space="preserve">1</w:t>
            </w:r>
          </w:p>
        </w:tc>
        <w:tc>
          <w:tcPr/>
          <w:p>
            <w:pPr>
              <w:pStyle w:val="Compact"/>
            </w:pPr>
            <w:r>
              <w:rPr>
                <w:b/>
                <w:bCs/>
              </w:rPr>
              <w:t xml:space="preserve">Enterprise AI Procurement Operating Standard</w:t>
            </w:r>
            <w:r>
              <w:t xml:space="preserve"> </w:t>
            </w:r>
            <w:r>
              <w:t xml:space="preserve">(open-spec stewardship via Bet-C6 reframe; absorbs Bets #4, #5, modules from C2/C3/C4/C10)</w:t>
            </w:r>
          </w:p>
        </w:tc>
        <w:tc>
          <w:tcPr/>
          <w:p>
            <w:pPr>
              <w:pStyle w:val="Compact"/>
            </w:pPr>
            <w:r>
              <w:t xml:space="preserve">★★★★★ reinforced</w:t>
            </w:r>
          </w:p>
        </w:tc>
        <w:tc>
          <w:tcPr/>
          <w:p>
            <w:pPr>
              <w:pStyle w:val="Compact"/>
            </w:pPr>
            <w:r>
              <w:rPr>
                <w:b/>
                <w:bCs/>
              </w:rPr>
              <w:t xml:space="preserve">NOW</w:t>
            </w:r>
          </w:p>
        </w:tc>
      </w:tr>
      <w:tr>
        <w:tc>
          <w:tcPr/>
          <w:p>
            <w:pPr>
              <w:pStyle w:val="Compact"/>
            </w:pPr>
            <w:r>
              <w:t xml:space="preserve">2</w:t>
            </w:r>
          </w:p>
        </w:tc>
        <w:tc>
          <w:tcPr/>
          <w:p>
            <w:pPr>
              <w:pStyle w:val="Compact"/>
            </w:pPr>
            <w:r>
              <w:t xml:space="preserve">Vertical Agent GTM Role (Hebbia &gt; Sierra &gt; Rogo &gt; Harvey &gt; Glean; Bet-C5 Common Room as sub-target)</w:t>
            </w:r>
          </w:p>
        </w:tc>
        <w:tc>
          <w:tcPr/>
          <w:p>
            <w:pPr>
              <w:pStyle w:val="Compact"/>
            </w:pPr>
            <w:r>
              <w:t xml:space="preserve">★★★★★ reinforced</w:t>
            </w:r>
          </w:p>
        </w:tc>
        <w:tc>
          <w:tcPr/>
          <w:p>
            <w:pPr>
              <w:pStyle w:val="Compact"/>
            </w:pPr>
            <w:r>
              <w:rPr>
                <w:b/>
                <w:bCs/>
              </w:rPr>
              <w:t xml:space="preserve">Concurrent w/ Bet #1</w:t>
            </w:r>
          </w:p>
        </w:tc>
      </w:tr>
      <w:tr>
        <w:tc>
          <w:tcPr/>
          <w:p>
            <w:pPr>
              <w:pStyle w:val="Compact"/>
            </w:pPr>
            <w:r>
              <w:t xml:space="preserve">3a</w:t>
            </w:r>
          </w:p>
        </w:tc>
        <w:tc>
          <w:tcPr/>
          <w:p>
            <w:pPr>
              <w:pStyle w:val="Compact"/>
            </w:pPr>
            <w:r>
              <w:t xml:space="preserve">Advisory + gateway-partner positioning (Cloudflare/Kong/Pomerium pair)</w:t>
            </w:r>
          </w:p>
        </w:tc>
        <w:tc>
          <w:tcPr/>
          <w:p>
            <w:pPr>
              <w:pStyle w:val="Compact"/>
            </w:pPr>
            <w:r>
              <w:t xml:space="preserve">★★★★ held</w:t>
            </w:r>
          </w:p>
        </w:tc>
        <w:tc>
          <w:tcPr/>
          <w:p>
            <w:pPr>
              <w:pStyle w:val="Compact"/>
            </w:pPr>
            <w:r>
              <w:rPr>
                <w:b/>
                <w:bCs/>
              </w:rPr>
              <w:t xml:space="preserve">Concurrent w/ Bet #1 from H2 2026</w:t>
            </w:r>
          </w:p>
        </w:tc>
      </w:tr>
      <w:tr>
        <w:tc>
          <w:tcPr/>
          <w:p>
            <w:pPr>
              <w:pStyle w:val="Compact"/>
            </w:pPr>
            <w:r>
              <w:t xml:space="preserve">3b</w:t>
            </w:r>
          </w:p>
        </w:tc>
        <w:tc>
          <w:tcPr/>
          <w:p>
            <w:pPr>
              <w:pStyle w:val="Compact"/>
            </w:pPr>
            <w:r>
              <w:t xml:space="preserve">Productized MCP server practice</w:t>
            </w:r>
          </w:p>
        </w:tc>
        <w:tc>
          <w:tcPr/>
          <w:p>
            <w:pPr>
              <w:pStyle w:val="Compact"/>
            </w:pPr>
            <w:r>
              <w:t xml:space="preserve">parked</w:t>
            </w:r>
          </w:p>
        </w:tc>
        <w:tc>
          <w:tcPr/>
          <w:p>
            <w:pPr>
              <w:pStyle w:val="Compact"/>
            </w:pPr>
            <w:r>
              <w:t xml:space="preserve">—</w:t>
            </w:r>
          </w:p>
        </w:tc>
      </w:tr>
      <w:tr>
        <w:tc>
          <w:tcPr/>
          <w:p>
            <w:pPr>
              <w:pStyle w:val="Compact"/>
            </w:pPr>
            <w:r>
              <w:t xml:space="preserve">4</w:t>
            </w:r>
          </w:p>
        </w:tc>
        <w:tc>
          <w:tcPr/>
          <w:p>
            <w:pPr>
              <w:pStyle w:val="Compact"/>
            </w:pPr>
            <w:r>
              <w:t xml:space="preserve">FinOps for Tokens — module of Bet #1</w:t>
            </w:r>
          </w:p>
        </w:tc>
        <w:tc>
          <w:tcPr/>
          <w:p>
            <w:pPr>
              <w:pStyle w:val="Compact"/>
            </w:pPr>
            <w:r>
              <w:t xml:space="preserve">★★★★ subsumed</w:t>
            </w:r>
          </w:p>
        </w:tc>
        <w:tc>
          <w:tcPr/>
          <w:p>
            <w:pPr>
              <w:pStyle w:val="Compact"/>
            </w:pPr>
            <w:r>
              <w:t xml:space="preserve">inside Bet #1</w:t>
            </w:r>
          </w:p>
        </w:tc>
      </w:tr>
      <w:tr>
        <w:tc>
          <w:tcPr/>
          <w:p>
            <w:pPr>
              <w:pStyle w:val="Compact"/>
            </w:pPr>
            <w:r>
              <w:t xml:space="preserve">5</w:t>
            </w:r>
          </w:p>
        </w:tc>
        <w:tc>
          <w:tcPr/>
          <w:p>
            <w:pPr>
              <w:pStyle w:val="Compact"/>
            </w:pPr>
            <w:r>
              <w:t xml:space="preserve">RAG/Memory architecture — module of Bet #1; Bet-C9 productization at Q3 2026 gate</w:t>
            </w:r>
          </w:p>
        </w:tc>
        <w:tc>
          <w:tcPr/>
          <w:p>
            <w:pPr>
              <w:pStyle w:val="Compact"/>
            </w:pPr>
            <w:r>
              <w:t xml:space="preserve">★★★★ subsumed standalone</w:t>
            </w:r>
          </w:p>
        </w:tc>
        <w:tc>
          <w:tcPr/>
          <w:p>
            <w:pPr>
              <w:pStyle w:val="Compact"/>
            </w:pPr>
            <w:r>
              <w:t xml:space="preserve">inside Bet #1, then Bet-C9</w:t>
            </w:r>
          </w:p>
        </w:tc>
      </w:tr>
      <w:tr>
        <w:tc>
          <w:tcPr/>
          <w:p>
            <w:pPr>
              <w:pStyle w:val="Compact"/>
            </w:pPr>
            <w:r>
              <w:t xml:space="preserve">6</w:t>
            </w:r>
          </w:p>
        </w:tc>
        <w:tc>
          <w:tcPr/>
          <w:p>
            <w:pPr>
              <w:pStyle w:val="Compact"/>
            </w:pPr>
            <w:r>
              <w:t xml:space="preserve">Operator Translation Newsletter — distribution layer for #1–3</w:t>
            </w:r>
          </w:p>
        </w:tc>
        <w:tc>
          <w:tcPr/>
          <w:p>
            <w:pPr>
              <w:pStyle w:val="Compact"/>
            </w:pPr>
            <w:r>
              <w:t xml:space="preserve">★★★ reframed</w:t>
            </w:r>
          </w:p>
        </w:tc>
        <w:tc>
          <w:tcPr/>
          <w:p>
            <w:pPr>
              <w:pStyle w:val="Compact"/>
            </w:pPr>
            <w:r>
              <w:t xml:space="preserve">from Q3 2026 ongoing</w:t>
            </w:r>
          </w:p>
        </w:tc>
      </w:tr>
      <w:tr>
        <w:tc>
          <w:tcPr/>
          <w:p>
            <w:pPr>
              <w:pStyle w:val="Compact"/>
            </w:pPr>
            <w:r>
              <w:t xml:space="preserve">7</w:t>
            </w:r>
          </w:p>
        </w:tc>
        <w:tc>
          <w:tcPr/>
          <w:p>
            <w:pPr>
              <w:pStyle w:val="Compact"/>
            </w:pPr>
            <w:r>
              <w:t xml:space="preserve">VC Operating Partner — fallback only</w:t>
            </w:r>
          </w:p>
        </w:tc>
        <w:tc>
          <w:tcPr/>
          <w:p>
            <w:pPr>
              <w:pStyle w:val="Compact"/>
            </w:pPr>
            <w:r>
              <w:t xml:space="preserve">★★★ held</w:t>
            </w:r>
          </w:p>
        </w:tc>
        <w:tc>
          <w:tcPr/>
          <w:p>
            <w:pPr>
              <w:pStyle w:val="Compact"/>
            </w:pPr>
            <w:r>
              <w:t xml:space="preserve">background</w:t>
            </w:r>
          </w:p>
        </w:tc>
      </w:tr>
    </w:tbl>
    <w:p>
      <w:r>
        <w:pict>
          <v:rect style="width:0;height:1.5pt" o:hralign="center" o:hrstd="t" o:hr="t"/>
        </w:pict>
      </w:r>
    </w:p>
    <w:bookmarkEnd w:id="71"/>
    <w:bookmarkStart w:id="72" w:name="crux-additions-to-parent-ocq_tracker-c"/>
    <w:p>
      <w:pPr>
        <w:pStyle w:val="Heading2"/>
      </w:pPr>
      <w:r>
        <w:t xml:space="preserve">Crux additions to parent OCQ_TRACKER §C</w:t>
      </w:r>
    </w:p>
    <w:p>
      <w:pPr>
        <w:pStyle w:val="FirstParagraph"/>
      </w:pPr>
      <w:r>
        <w:t xml:space="preserve">Add this row to the Cruxes table: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Crux</w:t>
            </w:r>
          </w:p>
        </w:tc>
        <w:tc>
          <w:tcPr/>
          <w:p>
            <w:pPr>
              <w:pStyle w:val="Compact"/>
            </w:pPr>
            <w:r>
              <w:t xml:space="preserve">Decidability horizon</w:t>
            </w:r>
          </w:p>
        </w:tc>
        <w:tc>
          <w:tcPr/>
          <w:p>
            <w:pPr>
              <w:pStyle w:val="Compact"/>
            </w:pPr>
            <w:r>
              <w:t xml:space="preserve">Answer-event to watch</w:t>
            </w:r>
          </w:p>
        </w:tc>
        <w:tc>
          <w:tcPr/>
          <w:p>
            <w:pPr>
              <w:pStyle w:val="Compact"/>
            </w:pPr>
            <w:r>
              <w:t xml:space="preserve">Re-rank consequence</w:t>
            </w:r>
          </w:p>
        </w:tc>
      </w:tr>
      <w:tr>
        <w:tc>
          <w:tcPr/>
          <w:p>
            <w:pPr>
              <w:pStyle w:val="Compact"/>
            </w:pPr>
            <w:r>
              <w:t xml:space="preserve">6</w:t>
            </w:r>
          </w:p>
        </w:tc>
        <w:tc>
          <w:tcPr/>
          <w:p>
            <w:pPr>
              <w:pStyle w:val="Compact"/>
            </w:pPr>
            <w:r>
              <w:rPr>
                <w:b/>
                <w:bCs/>
              </w:rPr>
              <w:t xml:space="preserve">OSWorld 65% on a frontier system</w:t>
            </w:r>
            <w:r>
              <w:t xml:space="preserve"> </w:t>
            </w:r>
            <w:r>
              <w:t xml:space="preserve">(added per Volume III)</w:t>
            </w:r>
          </w:p>
        </w:tc>
        <w:tc>
          <w:tcPr/>
          <w:p>
            <w:pPr>
              <w:pStyle w:val="Compact"/>
            </w:pPr>
            <w:r>
              <w:t xml:space="preserve">Q3 2026</w:t>
            </w:r>
          </w:p>
        </w:tc>
        <w:tc>
          <w:tcPr/>
          <w:p>
            <w:pPr>
              <w:pStyle w:val="Compact"/>
            </w:pPr>
            <w:r>
              <w:t xml:space="preserve">Public scoreboard event</w:t>
            </w:r>
          </w:p>
        </w:tc>
        <w:tc>
          <w:tcPr/>
          <w:p>
            <w:pPr>
              <w:pStyle w:val="Compact"/>
            </w:pPr>
            <w:r>
              <w:t xml:space="preserve">Crossed = computer-use deployable for back-office a quarter early; K-column reprices; Microsoft Sales Copilot wins by default</w:t>
            </w:r>
          </w:p>
        </w:tc>
      </w:tr>
    </w:tbl>
    <w:p>
      <w:r>
        <w:pict>
          <v:rect style="width:0;height:1.5pt" o:hralign="center" o:hrstd="t" o:hr="t"/>
        </w:pict>
      </w:r>
    </w:p>
    <w:bookmarkEnd w:id="72"/>
    <w:bookmarkStart w:id="73" w:name="risk-additions-to-parent-ocq_tracker-d"/>
    <w:p>
      <w:pPr>
        <w:pStyle w:val="Heading2"/>
      </w:pPr>
      <w:r>
        <w:t xml:space="preserve">Risk additions to parent OCQ_TRACKER §D</w:t>
      </w:r>
    </w:p>
    <w:p>
      <w:pPr>
        <w:pStyle w:val="FirstParagraph"/>
      </w:pPr>
      <w:r>
        <w:t xml:space="preserve">No new structural risks beyond R1–R5 as already listed.</w:t>
      </w:r>
      <w:r>
        <w:t xml:space="preserve"> </w:t>
      </w:r>
      <w:r>
        <w:rPr>
          <w:b/>
          <w:bCs/>
        </w:rPr>
        <w:t xml:space="preserve">Sharpening on R5 (foundation labs walking up-stack):</w:t>
      </w:r>
      <w:r>
        <w:t xml:space="preserve"> </w:t>
      </w:r>
      <w:r>
        <w:t xml:space="preserve">F2 specifically named MS 365 Copilot for Sales as the matrix-wide top-Power-footed entity (4-Power stack). The R5 exposure is concentrated at horizontal-suite incumbent expansion, not foundation-lab application-layer plays — refine watch.</w:t>
      </w:r>
    </w:p>
    <w:p>
      <w:r>
        <w:pict>
          <v:rect style="width:0;height:1.5pt" o:hralign="center" o:hrstd="t" o:hr="t"/>
        </w:pict>
      </w:r>
    </w:p>
    <w:bookmarkEnd w:id="73"/>
    <w:bookmarkStart w:id="74" w:name="X2d6164d132444fe3d535cd441d84faf8f2fd4d4"/>
    <w:p>
      <w:pPr>
        <w:pStyle w:val="Heading2"/>
      </w:pPr>
      <w:r>
        <w:t xml:space="preserve">Update annotations to apply to parent</w:t>
      </w:r>
      <w:r>
        <w:t xml:space="preserve"> </w:t>
      </w:r>
      <w:r>
        <w:rPr>
          <w:rStyle w:val="VerbatimChar"/>
        </w:rPr>
        <w:t xml:space="preserve">output/ai-stack/OCQ_TRACKER.md</w:t>
      </w:r>
    </w:p>
    <w:p>
      <w:pPr>
        <w:pStyle w:val="FirstParagraph"/>
      </w:pPr>
      <w:r>
        <w:t xml:space="preserve">When the parent tracker is next refreshed, append the following:</w:t>
      </w:r>
    </w:p>
    <w:p>
      <w:pPr>
        <w:pStyle w:val="Compact"/>
        <w:numPr>
          <w:ilvl w:val="0"/>
          <w:numId w:val="1017"/>
        </w:numPr>
      </w:pPr>
      <w:r>
        <w:rPr>
          <w:b/>
          <w:bCs/>
        </w:rPr>
        <w:t xml:space="preserve">Section A Bet #1 — Status:</w:t>
      </w:r>
      <w:r>
        <w:t xml:space="preserve"> </w:t>
      </w:r>
      <w:r>
        <w:t xml:space="preserve">“Volume IV (May 2026) reinforced. Three independent frameworks (Wardley, 7 Powers, JTBD) confirm sequencing first + highest Power footing. Playbook now absorbs Bet #4 module + Bet #5 module + Bet-C2/C3/C4/C10 absorptions. See</w:t>
      </w:r>
      <w:r>
        <w:t xml:space="preserve"> </w:t>
      </w:r>
      <w:r>
        <w:rPr>
          <w:rStyle w:val="VerbatimChar"/>
        </w:rPr>
        <w:t xml:space="preserve">output/agents-gtm/BETS_DELTA_NOTE.md</w:t>
      </w:r>
      <w:r>
        <w:t xml:space="preserve">.”</w:t>
      </w:r>
    </w:p>
    <w:p>
      <w:pPr>
        <w:pStyle w:val="Compact"/>
        <w:numPr>
          <w:ilvl w:val="0"/>
          <w:numId w:val="1017"/>
        </w:numPr>
      </w:pPr>
      <w:r>
        <w:rPr>
          <w:b/>
          <w:bCs/>
        </w:rPr>
        <w:t xml:space="preserve">Section A Bet #2 — Status:</w:t>
      </w:r>
      <w:r>
        <w:t xml:space="preserve"> </w:t>
      </w:r>
      <w:r>
        <w:t xml:space="preserve">“Volume IV ranked Hebbia #1 NYC composite (F4 + F2 + F3 triple-converged). MBB-network 30-day push activated. Sign window: 6–9 months pre-Anthropic ARR Q3 2026 resolution.”</w:t>
      </w:r>
    </w:p>
    <w:p>
      <w:pPr>
        <w:pStyle w:val="Compact"/>
        <w:numPr>
          <w:ilvl w:val="0"/>
          <w:numId w:val="1017"/>
        </w:numPr>
      </w:pPr>
      <w:r>
        <w:rPr>
          <w:b/>
          <w:bCs/>
        </w:rPr>
        <w:t xml:space="preserve">Section A Bet #3 — Status:</w:t>
      </w:r>
      <w:r>
        <w:t xml:space="preserve"> </w:t>
      </w:r>
      <w:r>
        <w:t xml:space="preserve">“Volume IV split into 3a (advisory + gateway-partner, concurrent w/ Bet #1 from H2 2026) and 3b (productized servers, parked).”</w:t>
      </w:r>
    </w:p>
    <w:p>
      <w:pPr>
        <w:pStyle w:val="Compact"/>
        <w:numPr>
          <w:ilvl w:val="0"/>
          <w:numId w:val="1017"/>
        </w:numPr>
      </w:pPr>
      <w:r>
        <w:rPr>
          <w:b/>
          <w:bCs/>
        </w:rPr>
        <w:t xml:space="preserve">Section A Bet #4 — Status:</w:t>
      </w:r>
      <w:r>
        <w:t xml:space="preserve"> </w:t>
      </w:r>
      <w:r>
        <w:t xml:space="preserve">“Volume IV subsumed as Playbook §III.8 module. Standalone services practice not pursued.”</w:t>
      </w:r>
    </w:p>
    <w:p>
      <w:pPr>
        <w:pStyle w:val="Compact"/>
        <w:numPr>
          <w:ilvl w:val="0"/>
          <w:numId w:val="1017"/>
        </w:numPr>
      </w:pPr>
      <w:r>
        <w:rPr>
          <w:b/>
          <w:bCs/>
        </w:rPr>
        <w:t xml:space="preserve">Section A Bet #5 — Status:</w:t>
      </w:r>
      <w:r>
        <w:t xml:space="preserve"> </w:t>
      </w:r>
      <w:r>
        <w:t xml:space="preserve">“Volume IV subsumed as Playbook overlay; Bet-C9 (Persistent Memory as Service Line) promoted as Q3 2026 productization vector at trust-earned gate.”</w:t>
      </w:r>
    </w:p>
    <w:p>
      <w:pPr>
        <w:pStyle w:val="Compact"/>
        <w:numPr>
          <w:ilvl w:val="0"/>
          <w:numId w:val="1017"/>
        </w:numPr>
      </w:pPr>
      <w:r>
        <w:rPr>
          <w:b/>
          <w:bCs/>
        </w:rPr>
        <w:t xml:space="preserve">Section A Bet #6 — Status:</w:t>
      </w:r>
      <w:r>
        <w:t xml:space="preserve"> </w:t>
      </w:r>
      <w:r>
        <w:t xml:space="preserve">“Volume IV reframed as distribution layer for Bets #1–#3, not standalone.”</w:t>
      </w:r>
    </w:p>
    <w:p>
      <w:pPr>
        <w:pStyle w:val="Compact"/>
        <w:numPr>
          <w:ilvl w:val="0"/>
          <w:numId w:val="1017"/>
        </w:numPr>
      </w:pPr>
      <w:r>
        <w:rPr>
          <w:b/>
          <w:bCs/>
        </w:rPr>
        <w:t xml:space="preserve">Section A Bet #7 — Status:</w:t>
      </w:r>
      <w:r>
        <w:t xml:space="preserve"> </w:t>
      </w:r>
      <w:r>
        <w:t xml:space="preserve">“Volume IV unchanged — fallback only.”</w:t>
      </w:r>
    </w:p>
    <w:p>
      <w:pPr>
        <w:pStyle w:val="Compact"/>
        <w:numPr>
          <w:ilvl w:val="0"/>
          <w:numId w:val="1017"/>
        </w:numPr>
      </w:pPr>
      <w:r>
        <w:rPr>
          <w:b/>
          <w:bCs/>
        </w:rPr>
        <w:t xml:space="preserve">Section B5 NYC Snapshot:</w:t>
      </w:r>
      <w:r>
        <w:t xml:space="preserve"> </w:t>
      </w:r>
      <w:r>
        <w:t xml:space="preserve">“Update — NYC vertical-agent hiring at historic peak Q2 2026; 14 named open roles in Alex’s band right now per</w:t>
      </w:r>
      <w:r>
        <w:t xml:space="preserve"> </w:t>
      </w:r>
      <w:r>
        <w:rPr>
          <w:rStyle w:val="VerbatimChar"/>
        </w:rPr>
        <w:t xml:space="preserve">output/agents-gtm/wave1_F4.md</w:t>
      </w:r>
      <w:r>
        <w:t xml:space="preserve"> </w:t>
      </w:r>
      <w:r>
        <w:t xml:space="preserve">§F4.2; Hebbia #1 composite target.”</w:t>
      </w:r>
    </w:p>
    <w:p>
      <w:pPr>
        <w:pStyle w:val="Compact"/>
        <w:numPr>
          <w:ilvl w:val="0"/>
          <w:numId w:val="1017"/>
        </w:numPr>
      </w:pPr>
      <w:r>
        <w:rPr>
          <w:b/>
          <w:bCs/>
        </w:rPr>
        <w:t xml:space="preserve">Section C Cruxes:</w:t>
      </w:r>
      <w:r>
        <w:t xml:space="preserve"> </w:t>
      </w:r>
      <w:r>
        <w:t xml:space="preserve">Add Crux #6 OSWorld 65% per above.</w:t>
      </w:r>
    </w:p>
    <w:p>
      <w:r>
        <w:pict>
          <v:rect style="width:0;height:1.5pt" o:hralign="center" o:hrstd="t" o:hr="t"/>
        </w:pict>
      </w:r>
    </w:p>
    <w:p>
      <w:pPr>
        <w:pStyle w:val="FirstParagraph"/>
      </w:pPr>
      <w:r>
        <w:rPr>
          <w:i/>
          <w:iCs/>
        </w:rPr>
        <w:t xml:space="preserve">End BETS DELTA NOTE. Apply annotations to parent tracker on next refresh. Maintain Volume IV deliverables as the working surface for the next 90 days.</w:t>
      </w:r>
    </w:p>
    <w:p>
      <w:r>
        <w:pict>
          <v:rect style="width:0;height:1.5pt" o:hralign="center" o:hrstd="t" o:hr="t"/>
        </w:pict>
      </w:r>
    </w:p>
    <w:bookmarkEnd w:id="74"/>
    <w:bookmarkStart w:id="87" w:name="X835bd28ff7fe3e2c15866925d3bf9e75ff331bb"/>
    <w:p>
      <w:pPr>
        <w:pStyle w:val="Heading2"/>
      </w:pPr>
      <w:r>
        <w:t xml:space="preserve">Part XI · Synthesis · The Updated 7 Bets + 5 Risks + 6 Cruxes</w:t>
      </w:r>
    </w:p>
    <w:p>
      <w:pPr>
        <w:pStyle w:val="FirstParagraph"/>
      </w:pPr>
      <w:r>
        <w:t xml:space="preserve">The cell-matrix work converted the seven bets from a portfolio of options into a sequenced operating plan. Three independent frameworks (Wardley, 7 Powers, Ecosystem JTBD) all confirmed Bet #1 as the highest-leverage, most-Power-footed position. Bet #5 was repositioned. Bet #3 was re-sequenced. The ten candidate new bets surfaced in Phase 2a synthesis were winnowed to three promotions and seven absorptions / parks. The new short form:</w:t>
      </w:r>
      <w:r>
        <w:t xml:space="preserve"> </w:t>
      </w:r>
      <w:r>
        <w:rPr>
          <w:b/>
          <w:bCs/>
        </w:rPr>
        <w:t xml:space="preserve">publish (Bet #1), then rent equity (Bet #2), with advisory + gateway-pair (Bet #3a) running concurrent from H2 2026, distributed via newsletter (Bet #6), with Bets #4 and #5 as modules of #1, and Bet-C9 promoted as Q3 2026 productization vector.</w:t>
      </w:r>
    </w:p>
    <w:bookmarkStart w:id="82" w:name="xi.1-the-seven-bets-refreshed"/>
    <w:p>
      <w:pPr>
        <w:pStyle w:val="Heading3"/>
      </w:pPr>
      <w:r>
        <w:t xml:space="preserve">XI.1 — The seven bets, refreshed</w:t>
      </w:r>
    </w:p>
    <w:bookmarkStart w:id="75" w:name="X6bb196d969c98ed5f3002ced049fa7507691ba9"/>
    <w:p>
      <w:pPr>
        <w:pStyle w:val="Heading4"/>
      </w:pPr>
      <w:r>
        <w:t xml:space="preserve">Bet #1 · Enterprise AI Procurement Operating Standard</w:t>
      </w:r>
    </w:p>
    <w:p>
      <w:pPr>
        <w:pStyle w:val="FirstParagraph"/>
      </w:pPr>
      <w:r>
        <w:rPr>
          <w:b/>
          <w:bCs/>
        </w:rPr>
        <w:t xml:space="preserve">Verdict: REINFORCED + EXPANDED. Conviction ★★★★★.</w:t>
      </w:r>
      <w:r>
        <w:t xml:space="preserve"> </w:t>
      </w:r>
      <w:r>
        <w:t xml:space="preserve">No change in rank. Three independent frameworks converged on this — Wardley says it sits at the single most asymmetric position in the matrix (Genesis-stage flag claimable, Article 14 first-enforcement as a 5× TAM expansion event); 7 Powers identifies the highest Power footing of all seven bets (Process Power from twelve years of procurement scar-tissue stacked on Branding stacked on downstream Switching Costs as the Playbook becomes the buyer-side reference); JTBD validates two-job direct service (Job 1 in-quarter close compression AND Job 2 buyer-side deployment compression).</w:t>
      </w:r>
    </w:p>
    <w:p>
      <w:pPr>
        <w:pStyle w:val="BodyText"/>
      </w:pPr>
      <w:r>
        <w:t xml:space="preserve">The cells this bet now anchors at:</w:t>
      </w:r>
      <w:r>
        <w:t xml:space="preserve"> </w:t>
      </w:r>
      <w:r>
        <w:rPr>
          <w:b/>
          <w:bCs/>
        </w:rPr>
        <w:t xml:space="preserve">(9,G) at OCQ 19/20</w:t>
      </w:r>
      <w:r>
        <w:t xml:space="preserve"> </w:t>
      </w:r>
      <w:r>
        <w:t xml:space="preserve">as the matrix peak; (9,I) AI-specific contract addenda; (9,M) trajectory-evidence pack; (4,M) SDR observability; (6,M) AE observability; (12,M) forecasting observability; (11,I) outcome-pricing dispute as a module; (4,B)+(4,G)+(4,M) synthetic-SDR adverse-selection guardrail; the entire seven-counterparty gauntlet (InfoSec, Legal, Privacy, AI Governance, Procurement, Sponsor, Enterprise Architecture — the seventh confirmed).</w:t>
      </w:r>
    </w:p>
    <w:p>
      <w:pPr>
        <w:pStyle w:val="BodyText"/>
      </w:pPr>
      <w:r>
        <w:t xml:space="preserve">The Playbook now absorbs four new modules from Wave 1 and the C-candidates:</w:t>
      </w:r>
    </w:p>
    <w:p>
      <w:pPr>
        <w:pStyle w:val="Compact"/>
        <w:numPr>
          <w:ilvl w:val="0"/>
          <w:numId w:val="1018"/>
        </w:numPr>
      </w:pPr>
      <w:r>
        <w:t xml:space="preserve">Outcome-pricing contract template (from F6, productizes Bet-C4 dual-telemetry + 30/60/90 dispute + third-party arbitration)</w:t>
      </w:r>
    </w:p>
    <w:p>
      <w:pPr>
        <w:pStyle w:val="Compact"/>
        <w:numPr>
          <w:ilvl w:val="0"/>
          <w:numId w:val="1018"/>
        </w:numPr>
      </w:pPr>
      <w:r>
        <w:t xml:space="preserve">Per-trajectory FinOps audit module (from F6, productizes Bet #4 / Bet-C3 — Anthropic Agent SDK 2.0 + OpenAI Responses API per-trajectory billing exposes 30–60% savings on multi-hop trajectories at $1M+ AI spend)</w:t>
      </w:r>
    </w:p>
    <w:p>
      <w:pPr>
        <w:pStyle w:val="Compact"/>
        <w:numPr>
          <w:ilvl w:val="0"/>
          <w:numId w:val="1018"/>
        </w:numPr>
      </w:pPr>
      <w:r>
        <w:t xml:space="preserve">Pricing-model selection decision tree (from F6 — upstream of vendor-selection tree, since pricing-strategy practice is upstream of vendor selection)</w:t>
      </w:r>
    </w:p>
    <w:p>
      <w:pPr>
        <w:pStyle w:val="Compact"/>
        <w:numPr>
          <w:ilvl w:val="0"/>
          <w:numId w:val="1018"/>
        </w:numPr>
      </w:pPr>
      <w:r>
        <w:t xml:space="preserve">Memory-architecture overlay (from F3, productizes Bet #5 / Bet-C9 as a vendor-evaluation rubric)</w:t>
      </w:r>
    </w:p>
    <w:p>
      <w:pPr>
        <w:pStyle w:val="FirstParagraph"/>
      </w:pPr>
      <w:r>
        <w:t xml:space="preserve">Sequencing change: unchanged from Volume III — first. Falsifiability event:</w:t>
      </w:r>
      <w:r>
        <w:t xml:space="preserve"> </w:t>
      </w:r>
      <w:r>
        <w:rPr>
          <w:b/>
          <w:bCs/>
        </w:rPr>
        <w:t xml:space="preserve">&lt;500 downloads / &lt;50 inbound conversations in 60 days OR Vanta/Drata/Ironclad ships AI-vendor bundle Q4 2026.</w:t>
      </w:r>
      <w:r>
        <w:t xml:space="preserve"> </w:t>
      </w:r>
      <w:r>
        <w:t xml:space="preserve">Next action: outline locked Week 1 of Q3 2026; 30 expert interviews Weeks 2–6; publish Week 12 with the bilateral evidence-pack interchange format as the canonical artifact and the Agent Procurement Rubric shipped as an open spec (Bet-C6 reframe).</w:t>
      </w:r>
    </w:p>
    <w:bookmarkEnd w:id="75"/>
    <w:bookmarkStart w:id="76" w:name="X1f57ec314f6f568e4195b33fc820b24250e662b"/>
    <w:p>
      <w:pPr>
        <w:pStyle w:val="Heading4"/>
      </w:pPr>
      <w:r>
        <w:t xml:space="preserve">Bet #2 · Vertical Agent GTM Leadership Role</w:t>
      </w:r>
    </w:p>
    <w:p>
      <w:pPr>
        <w:pStyle w:val="FirstParagraph"/>
      </w:pPr>
      <w:r>
        <w:rPr>
          <w:b/>
          <w:bCs/>
        </w:rPr>
        <w:t xml:space="preserve">Verdict: REINFORCED + SHARPENED. Conviction ★★★★★.</w:t>
      </w:r>
      <w:r>
        <w:t xml:space="preserve"> </w:t>
      </w:r>
      <w:r>
        <w:t xml:space="preserve">No rank change. F4 ranked Hebbia #1 NYC composite (under-funded ratio 2.5–5%, 0.20–0.40% equity, MBB+Stripe-flavored buyer fit, 2-quarter window before Series C). F2 ranked Hebbia #1 for JOIN despite Hebbia not being a top-5 most-durable company — different question (Alex’s career asymmetry vs the company’s structural moat). F3 confirmed: Hebbia for Alex’s career JTBD; Microsoft 365 Copilot for matrix-market truth; not contradictory, different scales.</w:t>
      </w:r>
    </w:p>
    <w:p>
      <w:pPr>
        <w:pStyle w:val="BodyText"/>
      </w:pPr>
      <w:r>
        <w:t xml:space="preserve">Cells anchored: (6,A) AE pre-call brief / vertical-data anchor; (12,F) cross-system narrative retrieval — Hebbia’s FinServ/MBB cell of strength; (10,D) + (10,G) + (11,L) at Sierra; (10,D) + (11,I) at Decagon; (11,L) renewal memory at any vertical-CX winner.</w:t>
      </w:r>
    </w:p>
    <w:p>
      <w:pPr>
        <w:pStyle w:val="BodyText"/>
      </w:pPr>
      <w:r>
        <w:t xml:space="preserve">Ranked target list (triple-confirmed):</w:t>
      </w:r>
      <w:r>
        <w:t xml:space="preserve"> </w:t>
      </w:r>
      <w:r>
        <w:rPr>
          <w:b/>
          <w:bCs/>
        </w:rPr>
        <w:t xml:space="preserve">Hebbia &gt; Sierra &gt; Rogo &gt; Harvey &gt; Glean.</w:t>
      </w:r>
      <w:r>
        <w:t xml:space="preserve"> </w:t>
      </w:r>
      <w:r>
        <w:t xml:space="preserve">MBB feed-stock activated Feb–Apr 2026 — Mateo Berger (BCG NYC Principal AI practice → Hebbia, Feb 2026), Sarah Park (McKinsey QuantumBlack → Sierra, Mar 2026), Andrew Sinclair (Bain Boston AI practice → Harvey, Apr 2026). Divya Mehta (Stripe Enterprise → Hebbia VP Revenue NYC, Mar 2026) is the anchor for the Hebbia conversation. Foundation-lab AE departures (OpenAI / Anthropic enterprise) are the emerging 4th feed-stock — early-May 2026 LI clusters; this signals comp-band reset to come.</w:t>
      </w:r>
    </w:p>
    <w:p>
      <w:pPr>
        <w:pStyle w:val="BodyText"/>
      </w:pPr>
      <w:r>
        <w:t xml:space="preserve">Bet-C5 sub-target: operator path inside Common Room ($30M ARR, Series C $250M val, NYC). Per Alex’s lock, Bet-C5 (JOIN) wins over Bet-C1 (BUILD). Decidability event: 2-quarter Common Room roadmap reveal (GC6).</w:t>
      </w:r>
    </w:p>
    <w:p>
      <w:pPr>
        <w:pStyle w:val="BodyText"/>
      </w:pPr>
      <w:r>
        <w:t xml:space="preserve">Sequencing change: unchanged from Volume III — second, concurrent with Bet #1. Falsifiability: 6 months focused NYC search yields no offers in the band. Next action: time the offer</w:t>
      </w:r>
      <w:r>
        <w:t xml:space="preserve"> </w:t>
      </w:r>
      <w:r>
        <w:rPr>
          <w:b/>
          <w:bCs/>
        </w:rPr>
        <w:t xml:space="preserve">before</w:t>
      </w:r>
      <w:r>
        <w:t xml:space="preserve"> </w:t>
      </w:r>
      <w:r>
        <w:t xml:space="preserve">the up-round at Hebbia / Rogo / Augment (the under-funded-relative-to-ARR-velocity plays). 30-day MBB-network push opens parallel pipeline. Sign</w:t>
      </w:r>
      <w:r>
        <w:t xml:space="preserve"> </w:t>
      </w:r>
      <w:r>
        <w:rPr>
          <w:b/>
          <w:bCs/>
        </w:rPr>
        <w:t xml:space="preserve">before</w:t>
      </w:r>
      <w:r>
        <w:t xml:space="preserve"> </w:t>
      </w:r>
      <w:r>
        <w:t xml:space="preserve">Anthropic ARR Q3 2026 resolution (GC2) if conviction high;</w:t>
      </w:r>
      <w:r>
        <w:t xml:space="preserve"> </w:t>
      </w:r>
      <w:r>
        <w:rPr>
          <w:b/>
          <w:bCs/>
        </w:rPr>
        <w:t xml:space="preserve">after</w:t>
      </w:r>
      <w:r>
        <w:t xml:space="preserve"> </w:t>
      </w:r>
      <w:r>
        <w:t xml:space="preserve">if wobbly.</w:t>
      </w:r>
    </w:p>
    <w:bookmarkEnd w:id="76"/>
    <w:bookmarkStart w:id="77" w:name="Xd3f00344df59c7fdcc44d7956b35e072288845f"/>
    <w:p>
      <w:pPr>
        <w:pStyle w:val="Heading4"/>
      </w:pPr>
      <w:r>
        <w:t xml:space="preserve">Bet #3 · MCP-Native Enterprise Integration Practice</w:t>
      </w:r>
    </w:p>
    <w:p>
      <w:pPr>
        <w:pStyle w:val="FirstParagraph"/>
      </w:pPr>
      <w:r>
        <w:rPr>
          <w:b/>
          <w:bCs/>
        </w:rPr>
        <w:t xml:space="preserve">Verdict: SPLIT. Conviction ★★★★ held but shape changed materially.</w:t>
      </w:r>
      <w:r>
        <w:t xml:space="preserve"> </w:t>
      </w:r>
      <w:r>
        <w:t xml:space="preserve">Wardley: PE-4 (MCP gateways crossing to Product, H2 2026) compresses the advisory window faster than Volume III modeled — if Bet #1 publishes Q3 2026 and Bet #3 advisory waits, the gateway-control-plane window may already be closing.</w:t>
      </w:r>
    </w:p>
    <w:p>
      <w:pPr>
        <w:pStyle w:val="BodyText"/>
      </w:pPr>
      <w:r>
        <w:rPr>
          <w:b/>
          <w:bCs/>
        </w:rPr>
        <w:t xml:space="preserve">Resolution: Bet #3 has two legs:</w:t>
      </w:r>
    </w:p>
    <w:p>
      <w:pPr>
        <w:pStyle w:val="Compact"/>
        <w:numPr>
          <w:ilvl w:val="0"/>
          <w:numId w:val="1019"/>
        </w:numPr>
      </w:pPr>
      <w:r>
        <w:rPr>
          <w:b/>
          <w:bCs/>
        </w:rPr>
        <w:t xml:space="preserve">3a · Advisory + gateway-partner positioning (Cloudflare / Kong / Pomerium pair).</w:t>
      </w:r>
      <w:r>
        <w:t xml:space="preserve"> </w:t>
      </w:r>
      <w:r>
        <w:t xml:space="preserve">Runs</w:t>
      </w:r>
      <w:r>
        <w:t xml:space="preserve"> </w:t>
      </w:r>
      <w:r>
        <w:rPr>
          <w:b/>
          <w:bCs/>
        </w:rPr>
        <w:t xml:space="preserve">CONCURRENT</w:t>
      </w:r>
      <w:r>
        <w:t xml:space="preserve"> </w:t>
      </w:r>
      <w:r>
        <w:t xml:space="preserve">with Bet #1 from H2 2026 — it IS Bet #1’s gateway-partner module. Process Power flavor compounds with Bet #1’s Branding flavor. Cells anchored: (9,G) gateway-side, (4,M) + (6,M) + (9,M) M-column overlay through the gateway audit log.</w:t>
      </w:r>
    </w:p>
    <w:p>
      <w:pPr>
        <w:pStyle w:val="Compact"/>
        <w:numPr>
          <w:ilvl w:val="0"/>
          <w:numId w:val="1019"/>
        </w:numPr>
      </w:pPr>
      <w:r>
        <w:rPr>
          <w:b/>
          <w:bCs/>
        </w:rPr>
        <w:t xml:space="preserve">3b · Productized MCP server practice.</w:t>
      </w:r>
      <w:r>
        <w:t xml:space="preserve"> </w:t>
      </w:r>
      <w:r>
        <w:t xml:space="preserve">Already reframed away in Volume III. Remains parked. F2 confirmed minimal Power footing here.</w:t>
      </w:r>
    </w:p>
    <w:p>
      <w:pPr>
        <w:pStyle w:val="FirstParagraph"/>
      </w:pPr>
      <w:r>
        <w:t xml:space="preserve">Sequencing change: YES — 3a moves to concurrent with Bet #1, not deferred. Falsifiability: MCP forks (GC4 / Crux C2). 3a survives a fork better than 3b. Next action: Q2 2026 audit of ten SaaS systems most lacking MCP servers (filter by Job 4 and Job 1 outcomes); open Cloudflare gateway-partner conversation in Q3 2026 in parallel with Playbook publish.</w:t>
      </w:r>
    </w:p>
    <w:bookmarkEnd w:id="77"/>
    <w:bookmarkStart w:id="78" w:name="X929ca260c6c60f2d45626d325664722f40f1bf8"/>
    <w:p>
      <w:pPr>
        <w:pStyle w:val="Heading4"/>
      </w:pPr>
      <w:r>
        <w:t xml:space="preserve">Bet #4 · Inference Cost Optimization / FinOps for Tokens</w:t>
      </w:r>
    </w:p>
    <w:p>
      <w:pPr>
        <w:pStyle w:val="FirstParagraph"/>
      </w:pPr>
      <w:r>
        <w:rPr>
          <w:b/>
          <w:bCs/>
        </w:rPr>
        <w:t xml:space="preserve">Verdict: SUBSUMED into Bet #1 as a module. Conviction ★★★★ standalone is moot.</w:t>
      </w:r>
      <w:r>
        <w:t xml:space="preserve"> </w:t>
      </w:r>
      <w:r>
        <w:t xml:space="preserve">Per-trajectory FinOps window is 12–18 months before AWS Bedrock auto-routing default-on (H2 2027 expected) bundles the layer. Anthropic Claude Agent SDK 2.0 (Apr 2026) + OpenAI Responses API expose per-trajectory billing today — 30–60% savings on multi-hop trajectories at $1M+ AI spend, real numbers, real audit-able. The standalone</w:t>
      </w:r>
      <w:r>
        <w:t xml:space="preserve"> </w:t>
      </w:r>
      <w:r>
        <w:t xml:space="preserve">“FinOps services practice”</w:t>
      </w:r>
      <w:r>
        <w:t xml:space="preserve"> </w:t>
      </w:r>
      <w:r>
        <w:t xml:space="preserve">play is no longer the right shape; the high-leverage move is to fold per-token + per-trajectory FinOps as one of the seven Procurement Playbook overlays (Playbook §III.8). Sells through the Playbook’s distribution + earns CFO/CIO trust without standing up a separate practice.</w:t>
      </w:r>
    </w:p>
    <w:p>
      <w:pPr>
        <w:pStyle w:val="BodyText"/>
      </w:pPr>
      <w:r>
        <w:t xml:space="preserve">Cells anchored as module: (4,M) + (6,M) + (9,M) + (12,M) via per-trajectory cost ceilings; all K-column cells once OSWorld 65% crosses (GC1) because sub-agent fan-out and per-trajectory blast-radius become a procurement constraint.</w:t>
      </w:r>
    </w:p>
    <w:p>
      <w:pPr>
        <w:pStyle w:val="BodyText"/>
      </w:pPr>
      <w:r>
        <w:t xml:space="preserve">Sequencing change: absorbed into Bet #1 timeline. Falsifiability: AWS Bedrock auto-optimization announces Q3 2026, window collapses fast — the audit module survives the bundle better than a standalone services practice would. Next action: free first audit for 1–2 mid-market AI-spending companies in Q3 2026; case study lifts into Playbook §III.8 as new module. Decide by Q3 2026 whether to scale or absorb fully.</w:t>
      </w:r>
    </w:p>
    <w:bookmarkEnd w:id="78"/>
    <w:bookmarkStart w:id="79" w:name="X1342a799bb25c29c92224b17437c84b99df98a5"/>
    <w:p>
      <w:pPr>
        <w:pStyle w:val="Heading4"/>
      </w:pPr>
      <w:r>
        <w:t xml:space="preserve">Bet #5 · Enterprise RAG / Memory Architecture Practice</w:t>
      </w:r>
    </w:p>
    <w:p>
      <w:pPr>
        <w:pStyle w:val="FirstParagraph"/>
      </w:pPr>
      <w:r>
        <w:rPr>
          <w:b/>
          <w:bCs/>
        </w:rPr>
        <w:t xml:space="preserve">Verdict: SUBSUMED + RE-EMERGES as Bet-C9 productization vector. Conviction ★★★★ standalone repositioned.</w:t>
      </w:r>
      <w:r>
        <w:t xml:space="preserve"> </w:t>
      </w:r>
      <w:r>
        <w:t xml:space="preserve">This is where F2 and F3 split most sharply. F2 (7 Powers) said: least Power-footed of all seven bets standalone — RAG architecture as advisory does not accumulate durable Power because buyers consume the audit and the practice doesn’t compound. F3 (JTBD) said: most-validated job-fit — L-column lights up at 3 of 5 jobs, load-bearing at Jobs 4 and 5, and the underlying buyer pain is real and growing.</w:t>
      </w:r>
    </w:p>
    <w:p>
      <w:pPr>
        <w:pStyle w:val="BodyText"/>
      </w:pPr>
      <w:r>
        <w:t xml:space="preserve">Reconciliation per Alex’s lock:</w:t>
      </w:r>
      <w:r>
        <w:t xml:space="preserve"> </w:t>
      </w:r>
      <w:r>
        <w:rPr>
          <w:b/>
          <w:bCs/>
        </w:rPr>
        <w:t xml:space="preserve">subsume Bet #5 into Bet #1’s modules; promote Bet-C9 (Persistent Memory as Service Line) as the Q3 2026 productization vector AFTER the Playbook earns trust.</w:t>
      </w:r>
      <w:r>
        <w:t xml:space="preserve"> </w:t>
      </w:r>
      <w:r>
        <w:t xml:space="preserve">The data-integrations + GDPR-deletion-semantics + CSM/AE curation UI = three-stage moat.</w:t>
      </w:r>
    </w:p>
    <w:p>
      <w:pPr>
        <w:pStyle w:val="BodyText"/>
      </w:pPr>
      <w:r>
        <w:t xml:space="preserve">Cells anchored: (6,L) AE deal-cycle memory · (11,L) renewal cross-quarter memory · (12,L) forecasting decay memory · (10,L) per-customer CX memory · (9,L) counterparty memory.</w:t>
      </w:r>
    </w:p>
    <w:p>
      <w:pPr>
        <w:pStyle w:val="BodyText"/>
      </w:pPr>
      <w:r>
        <w:t xml:space="preserve">Sequencing change: standalone deferred; module within Bet #1 immediate; Bet-C9 productization vector at Q3 2026 trust-earned decision gate. Falsifiability: long-context model improvements (Gemini 3.0, Claude prompt caching) eat the low end faster than enterprise grows the high end. Next action: Bet #5 modules ride inside the Bet #1 Playbook publish; revisit standalone Bet-C9 productization at the Q3 2026 trust-earned gate, with the (11,L) NRR-memory cell as the demo target.</w:t>
      </w:r>
    </w:p>
    <w:bookmarkEnd w:id="79"/>
    <w:bookmarkStart w:id="80" w:name="Xb05b09edeffc9edce338927b51463eae8c43079"/>
    <w:p>
      <w:pPr>
        <w:pStyle w:val="Heading4"/>
      </w:pPr>
      <w:r>
        <w:t xml:space="preserve">Bet #6 · Operator’s Translation Newsletter / Public Voice</w:t>
      </w:r>
    </w:p>
    <w:p>
      <w:pPr>
        <w:pStyle w:val="FirstParagraph"/>
      </w:pPr>
      <w:r>
        <w:rPr>
          <w:b/>
          <w:bCs/>
        </w:rPr>
        <w:t xml:space="preserve">Verdict: REFRAMED as distribution layer for Bets #1–#3. Conviction ★★★ standalone not viable.</w:t>
      </w:r>
      <w:r>
        <w:t xml:space="preserve"> </w:t>
      </w:r>
      <w:r>
        <w:t xml:space="preserve">F3 explicit: the standalone weekly translation newsletter most-threatens itself — the JTBD it serves (Job 5: stay current + act on it) does not by itself drive action conversion at scale. Reframe: newsletter = the distribution layer for the Playbook + the gateway-partner positioning + the operator-translation public voice. Cross-pollinate Bet #1 Playbook downloads with newsletter subscribers (correlation = right-audience proof).</w:t>
      </w:r>
    </w:p>
    <w:p>
      <w:pPr>
        <w:pStyle w:val="BodyText"/>
      </w:pPr>
      <w:r>
        <w:t xml:space="preserve">Sequencing change: reframe to publish-cadence supporting Bets #1–#3, not standalone. Falsifiability: &lt;2K subscribers in 6 months AND no inbound role/advisory from it = positioning theater. Kill at month 6 OR commit harder. Next action: Kit v1 Week 4 of Q3 2026 (after Playbook outline locked), distribution-pair with Playbook publish at Week 12.</w:t>
      </w:r>
    </w:p>
    <w:bookmarkEnd w:id="80"/>
    <w:bookmarkStart w:id="81" w:name="X767e825a87b1a885c8ce10e8050ed38e0cd00f6"/>
    <w:p>
      <w:pPr>
        <w:pStyle w:val="Heading4"/>
      </w:pPr>
      <w:r>
        <w:t xml:space="preserve">Bet #7 · VC Operating Partner / Platform Path</w:t>
      </w:r>
    </w:p>
    <w:p>
      <w:pPr>
        <w:pStyle w:val="FirstParagraph"/>
      </w:pPr>
      <w:r>
        <w:rPr>
          <w:b/>
          <w:bCs/>
        </w:rPr>
        <w:t xml:space="preserve">Verdict: HELD as fallback. Conviction ★★★ unchanged. ★★★★ if becomes primary.</w:t>
      </w:r>
      <w:r>
        <w:t xml:space="preserve"> </w:t>
      </w:r>
      <w:r>
        <w:t xml:space="preserve">F4 confirmed: principal-to-operator pattern (Carey Lai Insight → Sierra Apr 2026 + 3–5 similar moves) — the platform and operator paths converge at the senior level. This bet runs as background networking only; not actively pursued. Sequencing change: none. Falsifiability: if Bets #1, #2, #3a all land by month 12, this drops further; if none do, it becomes primary. Next action: build relationships at three NYC funds via RAAIS / Betaworks AI Camps / FirstMark MAD events. No active applications until Q4 2026.</w:t>
      </w:r>
    </w:p>
    <w:bookmarkEnd w:id="81"/>
    <w:bookmarkEnd w:id="82"/>
    <w:bookmarkStart w:id="83" w:name="Xaf63fe1e4b69d48798e68ce0e6dfbc2137bf525"/>
    <w:p>
      <w:pPr>
        <w:pStyle w:val="Heading3"/>
      </w:pPr>
      <w:r>
        <w:t xml:space="preserve">XI.2 — Five Risks, refreshed for the intersection</w:t>
      </w:r>
    </w:p>
    <w:p>
      <w:pPr>
        <w:pStyle w:val="FirstParagraph"/>
      </w:pPr>
      <w:r>
        <w:t xml:space="preserve">The five risks from</w:t>
      </w:r>
      <w:r>
        <w:t xml:space="preserve"> </w:t>
      </w:r>
      <w:r>
        <w:rPr>
          <w:rStyle w:val="VerbatimChar"/>
        </w:rPr>
        <w:t xml:space="preserve">AI_AGENTS_TRACKER.md</w:t>
      </w:r>
      <w:r>
        <w:t xml:space="preserve"> </w:t>
      </w:r>
      <w:r>
        <w:t xml:space="preserve">(R1–R5) survive Volume IV with one sharpening. Restating:</w:t>
      </w:r>
    </w:p>
    <w:p>
      <w:pPr>
        <w:numPr>
          <w:ilvl w:val="0"/>
          <w:numId w:val="1020"/>
        </w:numPr>
      </w:pPr>
      <w:r>
        <w:rPr>
          <w:b/>
          <w:bCs/>
        </w:rPr>
        <w:t xml:space="preserve">R1 — Foundation labs walk up-stack faster than verticals can entrench.</w:t>
      </w:r>
      <w:r>
        <w:t xml:space="preserve"> </w:t>
      </w:r>
      <w:r>
        <w:t xml:space="preserve">Sharpened by Volume IV: the threat is</w:t>
      </w:r>
      <w:r>
        <w:t xml:space="preserve"> </w:t>
      </w:r>
      <w:r>
        <w:rPr>
          <w:i/>
          <w:iCs/>
        </w:rPr>
        <w:t xml:space="preserve">concentrated at the horizontal-suite incumbent expansion vector</w:t>
      </w:r>
      <w:r>
        <w:t xml:space="preserve"> </w:t>
      </w:r>
      <w:r>
        <w:t xml:space="preserve">(Microsoft 365 Copilot for Sales, Salesforce Agentforce, Glean Network Economies) rather than at direct foundation-lab application plays. F2 named Microsoft 365 Copilot for Sales as the matrix-wide top-Power-footed entity (4-Power stack). The Microsoft + Anthropic + OpenAI sales-app posture is the actual concentration risk. Mitigation: the Playbook ships open-spec; Bet #1 is structurally hedge-able against MS expansion because it sits at the procurement seam where MS lacks operator credibility.</w:t>
      </w:r>
    </w:p>
    <w:p>
      <w:pPr>
        <w:numPr>
          <w:ilvl w:val="0"/>
          <w:numId w:val="1020"/>
        </w:numPr>
      </w:pPr>
      <w:r>
        <w:rPr>
          <w:b/>
          <w:bCs/>
        </w:rPr>
        <w:t xml:space="preserve">R2 — Article 14 / EU AI Act enforcement is paper-tiger.</w:t>
      </w:r>
      <w:r>
        <w:t xml:space="preserve"> </w:t>
      </w:r>
      <w:r>
        <w:t xml:space="preserve">Decidability event: late 2026 / Q1 2027 first enforcement. If paper-tiger, Bet #1 TAM compresses ~5×. Mitigation: the Playbook ships in Q3 2026 anyway; the bilateral evidence-pack format and the seven counterparty gauntlet hold value independent of Article 14 enforcement — they map to SOX, SOC2, HIPAA, TCPA, CAN-SPAM all-of-the-above.</w:t>
      </w:r>
    </w:p>
    <w:p>
      <w:pPr>
        <w:numPr>
          <w:ilvl w:val="0"/>
          <w:numId w:val="1020"/>
        </w:numPr>
      </w:pPr>
      <w:r>
        <w:rPr>
          <w:b/>
          <w:bCs/>
        </w:rPr>
        <w:t xml:space="preserve">R3 — MCP forks before becoming the standard.</w:t>
      </w:r>
      <w:r>
        <w:t xml:space="preserve"> </w:t>
      </w:r>
      <w:r>
        <w:t xml:space="preserve">GC4 watch. If MCP forks (Anthropic vs OpenAI vs Microsoft Graph), Bet #3a still survives because Cloudflare gateway-partner positioning is fork-agnostic — gateways arbitrate forks rather than betting on one. Bet #3b (productized servers) does not survive; remains parked.</w:t>
      </w:r>
    </w:p>
    <w:p>
      <w:pPr>
        <w:numPr>
          <w:ilvl w:val="0"/>
          <w:numId w:val="1020"/>
        </w:numPr>
      </w:pPr>
      <w:r>
        <w:rPr>
          <w:b/>
          <w:bCs/>
        </w:rPr>
        <w:t xml:space="preserve">R4 — Anthropic ARR Q3 2026 resolves below $24B lower-bound.</w:t>
      </w:r>
      <w:r>
        <w:t xml:space="preserve"> </w:t>
      </w:r>
      <w:r>
        <w:t xml:space="preserve">GC2 watch. Vertical-agent valuations compress 20–30%; Sierra $10B → $6–8B; Hebbia / Rogo round timing slows. Counterintuitive read: this</w:t>
      </w:r>
      <w:r>
        <w:t xml:space="preserve"> </w:t>
      </w:r>
      <w:r>
        <w:rPr>
          <w:i/>
          <w:iCs/>
        </w:rPr>
        <w:t xml:space="preserve">strengthens</w:t>
      </w:r>
      <w:r>
        <w:t xml:space="preserve"> </w:t>
      </w:r>
      <w:r>
        <w:t xml:space="preserve">equity bands for Alex’s Bet #2 entry (companies need more total comp to hire). Mitigation: time the offer signature relative to the ARR resolution — sign before if conviction high, after if wobbly.</w:t>
      </w:r>
    </w:p>
    <w:p>
      <w:pPr>
        <w:numPr>
          <w:ilvl w:val="0"/>
          <w:numId w:val="1020"/>
        </w:numPr>
      </w:pPr>
      <w:r>
        <w:rPr>
          <w:b/>
          <w:bCs/>
        </w:rPr>
        <w:t xml:space="preserve">R5 — Synthetic-SDR adverse selection collapses Bet #1 ICP credibility.</w:t>
      </w:r>
      <w:r>
        <w:t xml:space="preserve"> </w:t>
      </w:r>
      <w:r>
        <w:t xml:space="preserve">Sharpened by F2 finding: the synthetic-SDR ceiling (11x flat at $20M ARR) is now public; the (4,B)/(4,G)/(4,M) trio in Job 3 frames the synthetic-SDR adverse-selection guardrail as a Bet #1 module rather than a market risk. Mitigation: the Playbook</w:t>
      </w:r>
      <w:r>
        <w:t xml:space="preserve"> </w:t>
      </w:r>
      <w:r>
        <w:rPr>
          <w:i/>
          <w:iCs/>
        </w:rPr>
        <w:t xml:space="preserve">names</w:t>
      </w:r>
      <w:r>
        <w:t xml:space="preserve"> </w:t>
      </w:r>
      <w:r>
        <w:t xml:space="preserve">the 11x ceiling, the RR-negative trap, and the Lavender/Regie commoditization — this earns credibility with CFO/RevOps buyers rather than losing it.</w:t>
      </w:r>
    </w:p>
    <w:bookmarkEnd w:id="83"/>
    <w:bookmarkStart w:id="84" w:name="Xfdcd5be6dca361e514b75a54a78dc49b0b91dec"/>
    <w:p>
      <w:pPr>
        <w:pStyle w:val="Heading3"/>
      </w:pPr>
      <w:r>
        <w:t xml:space="preserve">XI.3 — Six Cruxes (one new from Volume III, sharpened for the intersection)</w:t>
      </w:r>
    </w:p>
    <w:p>
      <w:pPr>
        <w:pStyle w:val="FirstParagraph"/>
      </w:pPr>
      <w:r>
        <w:t xml:space="preserve">The five cruxes from Session A survive; Volume III added GC1 OSWorld 65%. All six restated with Volume IV refinements: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Crux</w:t>
            </w:r>
          </w:p>
        </w:tc>
        <w:tc>
          <w:tcPr/>
          <w:p>
            <w:pPr>
              <w:pStyle w:val="Compact"/>
            </w:pPr>
            <w:r>
              <w:t xml:space="preserve">Decidability horizon</w:t>
            </w:r>
          </w:p>
        </w:tc>
        <w:tc>
          <w:tcPr/>
          <w:p>
            <w:pPr>
              <w:pStyle w:val="Compact"/>
            </w:pPr>
            <w:r>
              <w:t xml:space="preserve">Answer-event to watch</w:t>
            </w:r>
          </w:p>
        </w:tc>
        <w:tc>
          <w:tcPr/>
          <w:p>
            <w:pPr>
              <w:pStyle w:val="Compact"/>
            </w:pPr>
            <w:r>
              <w:t xml:space="preserve">Re-rank consequence</w:t>
            </w:r>
          </w:p>
        </w:tc>
      </w:tr>
      <w:tr>
        <w:tc>
          <w:tcPr/>
          <w:p>
            <w:pPr>
              <w:pStyle w:val="Compact"/>
            </w:pPr>
            <w:r>
              <w:rPr>
                <w:b/>
                <w:bCs/>
              </w:rPr>
              <w:t xml:space="preserve">GC1</w:t>
            </w:r>
          </w:p>
        </w:tc>
        <w:tc>
          <w:tcPr/>
          <w:p>
            <w:pPr>
              <w:pStyle w:val="Compact"/>
            </w:pPr>
            <w:r>
              <w:t xml:space="preserve">OSWorld 65% on a frontier system</w:t>
            </w:r>
          </w:p>
        </w:tc>
        <w:tc>
          <w:tcPr/>
          <w:p>
            <w:pPr>
              <w:pStyle w:val="Compact"/>
            </w:pPr>
            <w:r>
              <w:rPr>
                <w:b/>
                <w:bCs/>
              </w:rPr>
              <w:t xml:space="preserve">Q3 2026</w:t>
            </w:r>
          </w:p>
        </w:tc>
        <w:tc>
          <w:tcPr/>
          <w:p>
            <w:pPr>
              <w:pStyle w:val="Compact"/>
            </w:pPr>
            <w:r>
              <w:t xml:space="preserve">Public scoreboard event (Anthropic / OpenAI / Google)</w:t>
            </w:r>
          </w:p>
        </w:tc>
        <w:tc>
          <w:tcPr/>
          <w:p>
            <w:pPr>
              <w:pStyle w:val="Compact"/>
            </w:pPr>
            <w:r>
              <w:t xml:space="preserve">Crossed = K-column reprices; Microsoft Sales Copilot wins by default; procurement-overlay needs computer-use sub-section published within 30 days; Bet #1 Playbook chapter prepped on per-trajectory cost ceilings + OAuth blast-radius for CU agents</w:t>
            </w:r>
          </w:p>
        </w:tc>
      </w:tr>
      <w:tr>
        <w:tc>
          <w:tcPr/>
          <w:p>
            <w:pPr>
              <w:pStyle w:val="Compact"/>
            </w:pPr>
            <w:r>
              <w:rPr>
                <w:b/>
                <w:bCs/>
              </w:rPr>
              <w:t xml:space="preserve">GC2</w:t>
            </w:r>
          </w:p>
        </w:tc>
        <w:tc>
          <w:tcPr/>
          <w:p>
            <w:pPr>
              <w:pStyle w:val="Compact"/>
            </w:pPr>
            <w:r>
              <w:t xml:space="preserve">Anthropic ARR Q3 2026 resolution</w:t>
            </w:r>
          </w:p>
        </w:tc>
        <w:tc>
          <w:tcPr/>
          <w:p>
            <w:pPr>
              <w:pStyle w:val="Compact"/>
            </w:pPr>
            <w:r>
              <w:rPr>
                <w:b/>
                <w:bCs/>
              </w:rPr>
              <w:t xml:space="preserve">Q3 2026</w:t>
            </w:r>
          </w:p>
        </w:tc>
        <w:tc>
          <w:tcPr/>
          <w:p>
            <w:pPr>
              <w:pStyle w:val="Compact"/>
            </w:pPr>
            <w:r>
              <w:t xml:space="preserve">The Information / WSJ confirmation of annualized run rate</w:t>
            </w:r>
          </w:p>
        </w:tc>
        <w:tc>
          <w:tcPr/>
          <w:p>
            <w:pPr>
              <w:pStyle w:val="Compact"/>
            </w:pPr>
            <w:r>
              <w:t xml:space="preserve">Below $24B = vertical-agent comp reprice (Sierra $10B → $6–8B); strengthens Alex’s Bet #2 equity-band timing window. Above $30B = Sierra/Decagon push toward IPO posture 2027; bands tighten further; equity asymmetry weakens</w:t>
            </w:r>
          </w:p>
        </w:tc>
      </w:tr>
      <w:tr>
        <w:tc>
          <w:tcPr/>
          <w:p>
            <w:pPr>
              <w:pStyle w:val="Compact"/>
            </w:pPr>
            <w:r>
              <w:rPr>
                <w:b/>
                <w:bCs/>
              </w:rPr>
              <w:t xml:space="preserve">GC3</w:t>
            </w:r>
          </w:p>
        </w:tc>
        <w:tc>
          <w:tcPr/>
          <w:p>
            <w:pPr>
              <w:pStyle w:val="Compact"/>
            </w:pPr>
            <w:r>
              <w:t xml:space="preserve">Article 14 enforcement teeth vs paper-tiger</w:t>
            </w:r>
          </w:p>
        </w:tc>
        <w:tc>
          <w:tcPr/>
          <w:p>
            <w:pPr>
              <w:pStyle w:val="Compact"/>
            </w:pPr>
            <w:r>
              <w:rPr>
                <w:b/>
                <w:bCs/>
              </w:rPr>
              <w:t xml:space="preserve">Late 2026 / Q1 2027</w:t>
            </w:r>
          </w:p>
        </w:tc>
        <w:tc>
          <w:tcPr/>
          <w:p>
            <w:pPr>
              <w:pStyle w:val="Compact"/>
            </w:pPr>
            <w:r>
              <w:t xml:space="preserve">First enforcement action by an EU member-state DPA</w:t>
            </w:r>
          </w:p>
        </w:tc>
        <w:tc>
          <w:tcPr/>
          <w:p>
            <w:pPr>
              <w:pStyle w:val="Compact"/>
            </w:pPr>
            <w:r>
              <w:t xml:space="preserve">Teeth = Bet #1 TAM 5× expansion; paper-tiger = Bet #1 still survives on SOX/SOC2/HIPAA cousins, but advisory-economy compresses to 2× rather than 5×</w:t>
            </w:r>
          </w:p>
        </w:tc>
      </w:tr>
      <w:tr>
        <w:tc>
          <w:tcPr/>
          <w:p>
            <w:pPr>
              <w:pStyle w:val="Compact"/>
            </w:pPr>
            <w:r>
              <w:rPr>
                <w:b/>
                <w:bCs/>
              </w:rPr>
              <w:t xml:space="preserve">GC4</w:t>
            </w:r>
          </w:p>
        </w:tc>
        <w:tc>
          <w:tcPr/>
          <w:p>
            <w:pPr>
              <w:pStyle w:val="Compact"/>
            </w:pPr>
            <w:r>
              <w:t xml:space="preserve">MCP commons-or-fork</w:t>
            </w:r>
          </w:p>
        </w:tc>
        <w:tc>
          <w:tcPr/>
          <w:p>
            <w:pPr>
              <w:pStyle w:val="Compact"/>
            </w:pPr>
            <w:r>
              <w:rPr>
                <w:b/>
                <w:bCs/>
              </w:rPr>
              <w:t xml:space="preserve">Q4 2026 / Q1 2027</w:t>
            </w:r>
          </w:p>
        </w:tc>
        <w:tc>
          <w:tcPr/>
          <w:p>
            <w:pPr>
              <w:pStyle w:val="Compact"/>
            </w:pPr>
            <w:r>
              <w:t xml:space="preserve">OpenAI / Microsoft public posture on MCP compliance + Anthropic Sept’25 spec acceptance</w:t>
            </w:r>
          </w:p>
        </w:tc>
        <w:tc>
          <w:tcPr/>
          <w:p>
            <w:pPr>
              <w:pStyle w:val="Compact"/>
            </w:pPr>
            <w:r>
              <w:t xml:space="preserve">Commons = Bet #3a gateway-pair compounds at scale; fork = gateways still win (arbitrage role), but standardized clauses in Bet #1 need fork-aware language</w:t>
            </w:r>
          </w:p>
        </w:tc>
      </w:tr>
      <w:tr>
        <w:tc>
          <w:tcPr/>
          <w:p>
            <w:pPr>
              <w:pStyle w:val="Compact"/>
            </w:pPr>
            <w:r>
              <w:rPr>
                <w:b/>
                <w:bCs/>
              </w:rPr>
              <w:t xml:space="preserve">GC5</w:t>
            </w:r>
          </w:p>
        </w:tc>
        <w:tc>
          <w:tcPr/>
          <w:p>
            <w:pPr>
              <w:pStyle w:val="Compact"/>
            </w:pPr>
            <w:r>
              <w:t xml:space="preserve">Ironclad / Vanta / Drata AI-vendor bundle launch</w:t>
            </w:r>
          </w:p>
        </w:tc>
        <w:tc>
          <w:tcPr/>
          <w:p>
            <w:pPr>
              <w:pStyle w:val="Compact"/>
            </w:pPr>
            <w:r>
              <w:rPr>
                <w:b/>
                <w:bCs/>
              </w:rPr>
              <w:t xml:space="preserve">Q4 2026</w:t>
            </w:r>
          </w:p>
        </w:tc>
        <w:tc>
          <w:tcPr/>
          <w:p>
            <w:pPr>
              <w:pStyle w:val="Compact"/>
            </w:pPr>
            <w:r>
              <w:t xml:space="preserve">Public product launch or RFP/AI-vendor module from any one of the three</w:t>
            </w:r>
          </w:p>
        </w:tc>
        <w:tc>
          <w:tcPr/>
          <w:p>
            <w:pPr>
              <w:pStyle w:val="Compact"/>
            </w:pPr>
            <w:r>
              <w:t xml:space="preserve">Launch = Bet #1 productized branch falsified; advisory branch survives; Playbook becomes the open-spec input to the bundle (Process Power for the maintainer holds). No launch by Q1 2027 = Bet #1 productized branch reopens</w:t>
            </w:r>
          </w:p>
        </w:tc>
      </w:tr>
      <w:tr>
        <w:tc>
          <w:tcPr/>
          <w:p>
            <w:pPr>
              <w:pStyle w:val="Compact"/>
            </w:pPr>
            <w:r>
              <w:rPr>
                <w:b/>
                <w:bCs/>
              </w:rPr>
              <w:t xml:space="preserve">GC6</w:t>
            </w:r>
          </w:p>
        </w:tc>
        <w:tc>
          <w:tcPr/>
          <w:p>
            <w:pPr>
              <w:pStyle w:val="Compact"/>
            </w:pPr>
            <w:r>
              <w:t xml:space="preserve">Common Room roadmap reveal (BUILD vs JOIN decidability)</w:t>
            </w:r>
          </w:p>
        </w:tc>
        <w:tc>
          <w:tcPr/>
          <w:p>
            <w:pPr>
              <w:pStyle w:val="Compact"/>
            </w:pPr>
            <w:r>
              <w:rPr>
                <w:b/>
                <w:bCs/>
              </w:rPr>
              <w:t xml:space="preserve">Q3 / Q4 2026</w:t>
            </w:r>
          </w:p>
        </w:tc>
        <w:tc>
          <w:tcPr/>
          <w:p>
            <w:pPr>
              <w:pStyle w:val="Compact"/>
            </w:pPr>
            <w:r>
              <w:t xml:space="preserve">Common Room product event or Series C public messaging</w:t>
            </w:r>
          </w:p>
        </w:tc>
        <w:tc>
          <w:tcPr/>
          <w:p>
            <w:pPr>
              <w:pStyle w:val="Compact"/>
            </w:pPr>
            <w:r>
              <w:t xml:space="preserve">Multi-source fusion expansion = Bet-C5 JOIN strengthens; community-signal-only-permanent = Bet-C1 BUILD reopens (but Alex’s operator path remains weaker there)</w:t>
            </w:r>
          </w:p>
        </w:tc>
      </w:tr>
    </w:tbl>
    <w:p>
      <w:pPr>
        <w:pStyle w:val="BodyText"/>
      </w:pPr>
      <w:r>
        <w:t xml:space="preserve">The six cruxes carry asymmetric weight.</w:t>
      </w:r>
      <w:r>
        <w:t xml:space="preserve"> </w:t>
      </w:r>
      <w:r>
        <w:rPr>
          <w:b/>
          <w:bCs/>
        </w:rPr>
        <w:t xml:space="preserve">GC1 (OSWorld) and GC2 (Anthropic ARR) both resolve in Q3 2026</w:t>
      </w:r>
      <w:r>
        <w:t xml:space="preserve">, which is the same quarter as the Playbook publish — that quarter is the single largest information-density event in the 18-month horizon. GC3 + GC5 resolve in Q4 2026 / Q1 2027 and bracket the Bet #1 productization-vs-advisory fork. GC4 + GC6 resolve later and bracket the Bet #3a sequencing and the Bet #2 sub-target choice.</w:t>
      </w:r>
    </w:p>
    <w:bookmarkEnd w:id="84"/>
    <w:bookmarkStart w:id="85" w:name="X6c790190605082bc11df88600172075c919d190"/>
    <w:p>
      <w:pPr>
        <w:pStyle w:val="Heading3"/>
      </w:pPr>
      <w:r>
        <w:t xml:space="preserve">XI.4 — The ten candidate new bets · verdict table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Candidate</w:t>
            </w:r>
          </w:p>
        </w:tc>
        <w:tc>
          <w:tcPr/>
          <w:p>
            <w:pPr>
              <w:pStyle w:val="Compact"/>
            </w:pPr>
            <w:r>
              <w:t xml:space="preserve">Verdict</w:t>
            </w:r>
          </w:p>
        </w:tc>
        <w:tc>
          <w:tcPr/>
          <w:p>
            <w:pPr>
              <w:pStyle w:val="Compact"/>
            </w:pPr>
            <w:r>
              <w:t xml:space="preserve">Anchor cell</w:t>
            </w:r>
          </w:p>
        </w:tc>
        <w:tc>
          <w:tcPr/>
          <w:p>
            <w:pPr>
              <w:pStyle w:val="Compact"/>
            </w:pPr>
            <w:r>
              <w:t xml:space="preserve">Bet absorption / promotion</w:t>
            </w:r>
          </w:p>
        </w:tc>
      </w:tr>
      <w:tr>
        <w:tc>
          <w:tcPr/>
          <w:p>
            <w:pPr>
              <w:pStyle w:val="Compact"/>
            </w:pPr>
            <w:r>
              <w:t xml:space="preserve">Bet-C1</w:t>
            </w:r>
          </w:p>
        </w:tc>
        <w:tc>
          <w:tcPr/>
          <w:p>
            <w:pPr>
              <w:pStyle w:val="Compact"/>
            </w:pPr>
            <w:r>
              <w:t xml:space="preserve">The Buying-Committee Graph product (BUILD)</w:t>
            </w:r>
          </w:p>
        </w:tc>
        <w:tc>
          <w:tcPr/>
          <w:p>
            <w:pPr>
              <w:pStyle w:val="Compact"/>
            </w:pPr>
            <w:r>
              <w:rPr>
                <w:b/>
                <w:bCs/>
              </w:rPr>
              <w:t xml:space="preserve">PARK</w:t>
            </w:r>
            <w:r>
              <w:t xml:space="preserve"> </w:t>
            </w:r>
            <w:r>
              <w:t xml:space="preserve">— Alex-locked: Bet-C5 (JOIN) wins. Revisit if Common Room roadmap doesn’t move (GC6)</w:t>
            </w:r>
          </w:p>
        </w:tc>
        <w:tc>
          <w:tcPr/>
          <w:p>
            <w:pPr>
              <w:pStyle w:val="Compact"/>
            </w:pPr>
            <w:r>
              <w:t xml:space="preserve">(5,F) OCQ 18</w:t>
            </w:r>
          </w:p>
        </w:tc>
        <w:tc>
          <w:tcPr/>
          <w:p>
            <w:pPr>
              <w:pStyle w:val="Compact"/>
            </w:pPr>
            <w:r>
              <w:t xml:space="preserve">—</w:t>
            </w:r>
          </w:p>
        </w:tc>
      </w:tr>
      <w:tr>
        <w:tc>
          <w:tcPr/>
          <w:p>
            <w:pPr>
              <w:pStyle w:val="Compact"/>
            </w:pPr>
            <w:r>
              <w:t xml:space="preserve">Bet-C2</w:t>
            </w:r>
          </w:p>
        </w:tc>
        <w:tc>
          <w:tcPr/>
          <w:p>
            <w:pPr>
              <w:pStyle w:val="Compact"/>
            </w:pPr>
            <w:r>
              <w:t xml:space="preserve">Trajectory-grade procurement-seam coach</w:t>
            </w:r>
          </w:p>
        </w:tc>
        <w:tc>
          <w:tcPr/>
          <w:p>
            <w:pPr>
              <w:pStyle w:val="Compact"/>
            </w:pPr>
            <w:r>
              <w:rPr>
                <w:b/>
                <w:bCs/>
              </w:rPr>
              <w:t xml:space="preserve">ABSORB into Bet #1 as follow-on.</w:t>
            </w:r>
            <w:r>
              <w:t xml:space="preserve"> </w:t>
            </w:r>
            <w:r>
              <w:t xml:space="preserve">Coach the work the Playbook teaches; productize after Playbook publish. Accident-of-light cell — flag in Action Map</w:t>
            </w:r>
          </w:p>
        </w:tc>
        <w:tc>
          <w:tcPr/>
          <w:p>
            <w:pPr>
              <w:pStyle w:val="Compact"/>
            </w:pPr>
            <w:r>
              <w:t xml:space="preserve">(7,J+M) OCQ 13</w:t>
            </w:r>
          </w:p>
        </w:tc>
        <w:tc>
          <w:tcPr/>
          <w:p>
            <w:pPr>
              <w:pStyle w:val="Compact"/>
            </w:pPr>
            <w:r>
              <w:t xml:space="preserve">Module into Bet #1 chapter 2</w:t>
            </w:r>
          </w:p>
        </w:tc>
      </w:tr>
      <w:tr>
        <w:tc>
          <w:tcPr/>
          <w:p>
            <w:pPr>
              <w:pStyle w:val="Compact"/>
            </w:pPr>
            <w:r>
              <w:t xml:space="preserve">Bet-C3</w:t>
            </w:r>
          </w:p>
        </w:tc>
        <w:tc>
          <w:tcPr/>
          <w:p>
            <w:pPr>
              <w:pStyle w:val="Compact"/>
            </w:pPr>
            <w:r>
              <w:t xml:space="preserve">Per-trajectory FinOps audit practice</w:t>
            </w:r>
          </w:p>
        </w:tc>
        <w:tc>
          <w:tcPr/>
          <w:p>
            <w:pPr>
              <w:pStyle w:val="Compact"/>
            </w:pPr>
            <w:r>
              <w:rPr>
                <w:b/>
                <w:bCs/>
              </w:rPr>
              <w:t xml:space="preserve">ABSORB into Bet #1 / Bet #4 fold.</w:t>
            </w:r>
            <w:r>
              <w:t xml:space="preserve"> </w:t>
            </w:r>
            <w:r>
              <w:t xml:space="preserve">Module §III.8 of Playbook</w:t>
            </w:r>
          </w:p>
        </w:tc>
        <w:tc>
          <w:tcPr/>
          <w:p>
            <w:pPr>
              <w:pStyle w:val="Compact"/>
            </w:pPr>
            <w:r>
              <w:t xml:space="preserve">(4/6/9/12, M)</w:t>
            </w:r>
          </w:p>
        </w:tc>
        <w:tc>
          <w:tcPr/>
          <w:p>
            <w:pPr>
              <w:pStyle w:val="Compact"/>
            </w:pPr>
            <w:r>
              <w:t xml:space="preserve">Module into Bet #1 §III.8</w:t>
            </w:r>
          </w:p>
        </w:tc>
      </w:tr>
      <w:tr>
        <w:tc>
          <w:tcPr/>
          <w:p>
            <w:pPr>
              <w:pStyle w:val="Compact"/>
            </w:pPr>
            <w:r>
              <w:t xml:space="preserve">Bet-C4</w:t>
            </w:r>
          </w:p>
        </w:tc>
        <w:tc>
          <w:tcPr/>
          <w:p>
            <w:pPr>
              <w:pStyle w:val="Compact"/>
            </w:pPr>
            <w:r>
              <w:t xml:space="preserve">Outcome-definition contract template</w:t>
            </w:r>
          </w:p>
        </w:tc>
        <w:tc>
          <w:tcPr/>
          <w:p>
            <w:pPr>
              <w:pStyle w:val="Compact"/>
            </w:pPr>
            <w:r>
              <w:rPr>
                <w:b/>
                <w:bCs/>
              </w:rPr>
              <w:t xml:space="preserve">ABSORB into Bet #1.</w:t>
            </w:r>
            <w:r>
              <w:t xml:space="preserve"> </w:t>
            </w:r>
            <w:r>
              <w:t xml:space="preserve">Highest-leverage Bet #1 wedge per F6</w:t>
            </w:r>
          </w:p>
        </w:tc>
        <w:tc>
          <w:tcPr/>
          <w:p>
            <w:pPr>
              <w:pStyle w:val="Compact"/>
            </w:pPr>
            <w:r>
              <w:t xml:space="preserve">(11,I) → (9,I)</w:t>
            </w:r>
          </w:p>
        </w:tc>
        <w:tc>
          <w:tcPr/>
          <w:p>
            <w:pPr>
              <w:pStyle w:val="Compact"/>
            </w:pPr>
            <w:r>
              <w:t xml:space="preserve">Module — new Playbook section</w:t>
            </w:r>
          </w:p>
        </w:tc>
      </w:tr>
      <w:tr>
        <w:tc>
          <w:tcPr/>
          <w:p>
            <w:pPr>
              <w:pStyle w:val="Compact"/>
            </w:pPr>
            <w:r>
              <w:t xml:space="preserve">Bet-C5</w:t>
            </w:r>
          </w:p>
        </w:tc>
        <w:tc>
          <w:tcPr/>
          <w:p>
            <w:pPr>
              <w:pStyle w:val="Compact"/>
            </w:pPr>
            <w:r>
              <w:t xml:space="preserve">Operator path inside Common Room</w:t>
            </w:r>
          </w:p>
        </w:tc>
        <w:tc>
          <w:tcPr/>
          <w:p>
            <w:pPr>
              <w:pStyle w:val="Compact"/>
            </w:pPr>
            <w:r>
              <w:rPr>
                <w:b/>
                <w:bCs/>
              </w:rPr>
              <w:t xml:space="preserve">PROMOTE as Bet #2 sub-target.</w:t>
            </w:r>
            <w:r>
              <w:t xml:space="preserve"> </w:t>
            </w:r>
            <w:r>
              <w:t xml:space="preserve">F3 verdict explicit — JOIN beats BUILD until GC6 forces re-decide</w:t>
            </w:r>
          </w:p>
        </w:tc>
        <w:tc>
          <w:tcPr/>
          <w:p>
            <w:pPr>
              <w:pStyle w:val="Compact"/>
            </w:pPr>
            <w:r>
              <w:t xml:space="preserve">(3, A+L+F), (5,F)</w:t>
            </w:r>
          </w:p>
        </w:tc>
        <w:tc>
          <w:tcPr/>
          <w:p>
            <w:pPr>
              <w:pStyle w:val="Compact"/>
            </w:pPr>
            <w:r>
              <w:t xml:space="preserve">Promoted within Bet #2</w:t>
            </w:r>
          </w:p>
        </w:tc>
      </w:tr>
      <w:tr>
        <w:tc>
          <w:tcPr/>
          <w:p>
            <w:pPr>
              <w:pStyle w:val="Compact"/>
            </w:pPr>
            <w:r>
              <w:t xml:space="preserve">Bet-C6</w:t>
            </w:r>
          </w:p>
        </w:tc>
        <w:tc>
          <w:tcPr/>
          <w:p>
            <w:pPr>
              <w:pStyle w:val="Compact"/>
            </w:pPr>
            <w:r>
              <w:t xml:space="preserve">AI-Vendor Procurement Standard as open spec</w:t>
            </w:r>
          </w:p>
        </w:tc>
        <w:tc>
          <w:tcPr/>
          <w:p>
            <w:pPr>
              <w:pStyle w:val="Compact"/>
            </w:pPr>
            <w:r>
              <w:rPr>
                <w:b/>
                <w:bCs/>
              </w:rPr>
              <w:t xml:space="preserve">PROMOTE as Bet #1 reframe.</w:t>
            </w:r>
            <w:r>
              <w:t xml:space="preserve"> </w:t>
            </w:r>
            <w:r>
              <w:t xml:space="preserve">First credible publisher sets procurement default for next 5 years; Process Power for the maintainer</w:t>
            </w:r>
          </w:p>
        </w:tc>
        <w:tc>
          <w:tcPr/>
          <w:p>
            <w:pPr>
              <w:pStyle w:val="Compact"/>
            </w:pPr>
            <w:r>
              <w:t xml:space="preserve">meta over (9,G)</w:t>
            </w:r>
          </w:p>
        </w:tc>
        <w:tc>
          <w:tcPr/>
          <w:p>
            <w:pPr>
              <w:pStyle w:val="Compact"/>
            </w:pPr>
            <w:r>
              <w:t xml:space="preserve">Reframes Bet #1 itself</w:t>
            </w:r>
          </w:p>
        </w:tc>
      </w:tr>
      <w:tr>
        <w:tc>
          <w:tcPr/>
          <w:p>
            <w:pPr>
              <w:pStyle w:val="Compact"/>
            </w:pPr>
            <w:r>
              <w:t xml:space="preserve">Bet-C7</w:t>
            </w:r>
          </w:p>
        </w:tc>
        <w:tc>
          <w:tcPr/>
          <w:p>
            <w:pPr>
              <w:pStyle w:val="Compact"/>
            </w:pPr>
            <w:r>
              <w:t xml:space="preserve">RevOps trajectory agent (closing pipeline-scrub loop)</w:t>
            </w:r>
          </w:p>
        </w:tc>
        <w:tc>
          <w:tcPr/>
          <w:p>
            <w:pPr>
              <w:pStyle w:val="Compact"/>
            </w:pPr>
            <w:r>
              <w:rPr>
                <w:b/>
                <w:bCs/>
              </w:rPr>
              <w:t xml:space="preserve">WATCH only.</w:t>
            </w:r>
            <w:r>
              <w:t xml:space="preserve"> </w:t>
            </w:r>
            <w:r>
              <w:t xml:space="preserve">12–18 month build window; Alex’s bet adjacency moderate; not a primary bet</w:t>
            </w:r>
          </w:p>
        </w:tc>
        <w:tc>
          <w:tcPr/>
          <w:p>
            <w:pPr>
              <w:pStyle w:val="Compact"/>
            </w:pPr>
            <w:r>
              <w:t xml:space="preserve">(8,G) OCQ 15</w:t>
            </w:r>
          </w:p>
        </w:tc>
        <w:tc>
          <w:tcPr/>
          <w:p>
            <w:pPr>
              <w:pStyle w:val="Compact"/>
            </w:pPr>
            <w:r>
              <w:t xml:space="preserve">Watchlist</w:t>
            </w:r>
          </w:p>
        </w:tc>
      </w:tr>
      <w:tr>
        <w:tc>
          <w:tcPr/>
          <w:p>
            <w:pPr>
              <w:pStyle w:val="Compact"/>
            </w:pPr>
            <w:r>
              <w:t xml:space="preserve">Bet-C8</w:t>
            </w:r>
          </w:p>
        </w:tc>
        <w:tc>
          <w:tcPr/>
          <w:p>
            <w:pPr>
              <w:pStyle w:val="Compact"/>
            </w:pPr>
            <w:r>
              <w:t xml:space="preserve">Deal-Diagnosis Causation Engine</w:t>
            </w:r>
          </w:p>
        </w:tc>
        <w:tc>
          <w:tcPr/>
          <w:p>
            <w:pPr>
              <w:pStyle w:val="Compact"/>
            </w:pPr>
            <w:r>
              <w:rPr>
                <w:b/>
                <w:bCs/>
              </w:rPr>
              <w:t xml:space="preserve">WATCH as Bet #2 operator-target.</w:t>
            </w:r>
            <w:r>
              <w:t xml:space="preserve"> </w:t>
            </w:r>
            <w:r>
              <w:t xml:space="preserve">F3 elevated above synthesis read — two-job cell at gap 9. Watch Aircover + any NYC AI-Gong spinout</w:t>
            </w:r>
          </w:p>
        </w:tc>
        <w:tc>
          <w:tcPr/>
          <w:p>
            <w:pPr>
              <w:pStyle w:val="Compact"/>
            </w:pPr>
            <w:r>
              <w:t xml:space="preserve">(6,E) OCQ 17</w:t>
            </w:r>
          </w:p>
        </w:tc>
        <w:tc>
          <w:tcPr/>
          <w:p>
            <w:pPr>
              <w:pStyle w:val="Compact"/>
            </w:pPr>
            <w:r>
              <w:t xml:space="preserve">Watchlist within Bet #2</w:t>
            </w:r>
          </w:p>
        </w:tc>
      </w:tr>
      <w:tr>
        <w:tc>
          <w:tcPr/>
          <w:p>
            <w:pPr>
              <w:pStyle w:val="Compact"/>
            </w:pPr>
            <w:r>
              <w:t xml:space="preserve">Bet-C9</w:t>
            </w:r>
          </w:p>
        </w:tc>
        <w:tc>
          <w:tcPr/>
          <w:p>
            <w:pPr>
              <w:pStyle w:val="Compact"/>
            </w:pPr>
            <w:r>
              <w:t xml:space="preserve">Persistent Memory as Service Line</w:t>
            </w:r>
          </w:p>
        </w:tc>
        <w:tc>
          <w:tcPr/>
          <w:p>
            <w:pPr>
              <w:pStyle w:val="Compact"/>
            </w:pPr>
            <w:r>
              <w:rPr>
                <w:b/>
                <w:bCs/>
              </w:rPr>
              <w:t xml:space="preserve">PROMOTE as Q3 2026 productization vector inside Bet #5 fold.</w:t>
            </w:r>
            <w:r>
              <w:t xml:space="preserve"> </w:t>
            </w:r>
            <w:r>
              <w:t xml:space="preserve">Decide at trust-earned gate</w:t>
            </w:r>
          </w:p>
        </w:tc>
        <w:tc>
          <w:tcPr/>
          <w:p>
            <w:pPr>
              <w:pStyle w:val="Compact"/>
            </w:pPr>
            <w:r>
              <w:t xml:space="preserve">L-column</w:t>
            </w:r>
          </w:p>
        </w:tc>
        <w:tc>
          <w:tcPr/>
          <w:p>
            <w:pPr>
              <w:pStyle w:val="Compact"/>
            </w:pPr>
            <w:r>
              <w:t xml:space="preserve">Promoted as Q3 2026 productization vector</w:t>
            </w:r>
          </w:p>
        </w:tc>
      </w:tr>
      <w:tr>
        <w:tc>
          <w:tcPr/>
          <w:p>
            <w:pPr>
              <w:pStyle w:val="Compact"/>
            </w:pPr>
            <w:r>
              <w:t xml:space="preserve">Bet-C10</w:t>
            </w:r>
          </w:p>
        </w:tc>
        <w:tc>
          <w:tcPr/>
          <w:p>
            <w:pPr>
              <w:pStyle w:val="Compact"/>
            </w:pPr>
            <w:r>
              <w:t xml:space="preserve">Article 14 Tie-Out Standard</w:t>
            </w:r>
          </w:p>
        </w:tc>
        <w:tc>
          <w:tcPr/>
          <w:p>
            <w:pPr>
              <w:pStyle w:val="Compact"/>
            </w:pPr>
            <w:r>
              <w:rPr>
                <w:b/>
                <w:bCs/>
              </w:rPr>
              <w:t xml:space="preserve">ABSORB into Bet #1.</w:t>
            </w:r>
            <w:r>
              <w:t xml:space="preserve"> </w:t>
            </w:r>
            <w:r>
              <w:t xml:space="preserve">Already drafted as Playbook §III.6 Overlay. Open-spec wedge</w:t>
            </w:r>
          </w:p>
        </w:tc>
        <w:tc>
          <w:tcPr/>
          <w:p>
            <w:pPr>
              <w:pStyle w:val="Compact"/>
            </w:pPr>
            <w:r>
              <w:t xml:space="preserve">(9,M)</w:t>
            </w:r>
          </w:p>
        </w:tc>
        <w:tc>
          <w:tcPr/>
          <w:p>
            <w:pPr>
              <w:pStyle w:val="Compact"/>
            </w:pPr>
            <w:r>
              <w:t xml:space="preserve">Module — Playbook §III.6</w:t>
            </w:r>
          </w:p>
        </w:tc>
      </w:tr>
    </w:tbl>
    <w:p>
      <w:pPr>
        <w:pStyle w:val="BodyText"/>
      </w:pPr>
      <w:r>
        <w:rPr>
          <w:b/>
          <w:bCs/>
        </w:rPr>
        <w:t xml:space="preserve">Net result: three promotions (Bet-C5, Bet-C6, Bet-C9), four absorptions (Bet-C2, Bet-C3, Bet-C4, Bet-C10), three watch-list / parks (Bet-C1, Bet-C7, Bet-C8).</w:t>
      </w:r>
    </w:p>
    <w:bookmarkEnd w:id="85"/>
    <w:bookmarkStart w:id="86" w:name="xi.5-the-updated-7-bets-one-line-shape"/>
    <w:p>
      <w:pPr>
        <w:pStyle w:val="Heading3"/>
      </w:pPr>
      <w:r>
        <w:t xml:space="preserve">XI.5 — The Updated 7 Bets · one-line shape</w:t>
      </w:r>
    </w:p>
    <w:p>
      <w:pPr>
        <w:pStyle w:val="FirstParagraph"/>
      </w:pPr>
      <w:r>
        <w:t xml:space="preserve">Still seven, with two nested sub-bets (3a / 3b) and one promotion gate (Bet-C9).</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Bet</w:t>
            </w:r>
          </w:p>
        </w:tc>
        <w:tc>
          <w:tcPr/>
          <w:p>
            <w:pPr>
              <w:pStyle w:val="Compact"/>
            </w:pPr>
            <w:r>
              <w:t xml:space="preserve">Status</w:t>
            </w:r>
          </w:p>
        </w:tc>
        <w:tc>
          <w:tcPr/>
          <w:p>
            <w:pPr>
              <w:pStyle w:val="Compact"/>
            </w:pPr>
            <w:r>
              <w:t xml:space="preserve">Sequence</w:t>
            </w:r>
          </w:p>
        </w:tc>
        <w:tc>
          <w:tcPr/>
          <w:p>
            <w:pPr>
              <w:pStyle w:val="Compact"/>
            </w:pPr>
            <w:r>
              <w:t xml:space="preserve">Conviction</w:t>
            </w:r>
          </w:p>
        </w:tc>
      </w:tr>
      <w:tr>
        <w:tc>
          <w:tcPr/>
          <w:p>
            <w:pPr>
              <w:pStyle w:val="Compact"/>
            </w:pPr>
            <w:r>
              <w:rPr>
                <w:b/>
                <w:bCs/>
              </w:rPr>
              <w:t xml:space="preserve">1</w:t>
            </w:r>
          </w:p>
        </w:tc>
        <w:tc>
          <w:tcPr/>
          <w:p>
            <w:pPr>
              <w:pStyle w:val="Compact"/>
            </w:pPr>
            <w:r>
              <w:rPr>
                <w:b/>
                <w:bCs/>
              </w:rPr>
              <w:t xml:space="preserve">Enterprise AI Procurement Operating Standard</w:t>
            </w:r>
            <w:r>
              <w:t xml:space="preserve"> </w:t>
            </w:r>
            <w:r>
              <w:t xml:space="preserve">— open-spec stewardship via Bet-C6 reframe; absorbs Bets #4, #5, modules from C2/C3/C4/C10</w:t>
            </w:r>
          </w:p>
        </w:tc>
        <w:tc>
          <w:tcPr/>
          <w:p>
            <w:pPr>
              <w:pStyle w:val="Compact"/>
            </w:pPr>
            <w:r>
              <w:t xml:space="preserve">reinforced + expanded</w:t>
            </w:r>
          </w:p>
        </w:tc>
        <w:tc>
          <w:tcPr/>
          <w:p>
            <w:pPr>
              <w:pStyle w:val="Compact"/>
            </w:pPr>
            <w:r>
              <w:rPr>
                <w:b/>
                <w:bCs/>
              </w:rPr>
              <w:t xml:space="preserve">NOW</w:t>
            </w:r>
          </w:p>
        </w:tc>
        <w:tc>
          <w:tcPr/>
          <w:p>
            <w:pPr>
              <w:pStyle w:val="Compact"/>
            </w:pPr>
            <w:r>
              <w:t xml:space="preserve">★★★★★</w:t>
            </w:r>
          </w:p>
        </w:tc>
      </w:tr>
      <w:tr>
        <w:tc>
          <w:tcPr/>
          <w:p>
            <w:pPr>
              <w:pStyle w:val="Compact"/>
            </w:pPr>
            <w:r>
              <w:rPr>
                <w:b/>
                <w:bCs/>
              </w:rPr>
              <w:t xml:space="preserve">2</w:t>
            </w:r>
          </w:p>
        </w:tc>
        <w:tc>
          <w:tcPr/>
          <w:p>
            <w:pPr>
              <w:pStyle w:val="Compact"/>
            </w:pPr>
            <w:r>
              <w:rPr>
                <w:b/>
                <w:bCs/>
              </w:rPr>
              <w:t xml:space="preserve">Vertical Agent GTM Role</w:t>
            </w:r>
            <w:r>
              <w:t xml:space="preserve"> </w:t>
            </w:r>
            <w:r>
              <w:t xml:space="preserve">— Hebbia &gt; Sierra &gt; Rogo &gt; Harvey &gt; Glean; Bet-C5 Common Room as sub-target</w:t>
            </w:r>
          </w:p>
        </w:tc>
        <w:tc>
          <w:tcPr/>
          <w:p>
            <w:pPr>
              <w:pStyle w:val="Compact"/>
            </w:pPr>
            <w:r>
              <w:t xml:space="preserve">reinforced + sharpened</w:t>
            </w:r>
          </w:p>
        </w:tc>
        <w:tc>
          <w:tcPr/>
          <w:p>
            <w:pPr>
              <w:pStyle w:val="Compact"/>
            </w:pPr>
            <w:r>
              <w:rPr>
                <w:b/>
                <w:bCs/>
              </w:rPr>
              <w:t xml:space="preserve">Concurrent with Bet #1</w:t>
            </w:r>
          </w:p>
        </w:tc>
        <w:tc>
          <w:tcPr/>
          <w:p>
            <w:pPr>
              <w:pStyle w:val="Compact"/>
            </w:pPr>
            <w:r>
              <w:t xml:space="preserve">★★★★★</w:t>
            </w:r>
          </w:p>
        </w:tc>
      </w:tr>
      <w:tr>
        <w:tc>
          <w:tcPr/>
          <w:p>
            <w:pPr>
              <w:pStyle w:val="Compact"/>
            </w:pPr>
            <w:r>
              <w:rPr>
                <w:b/>
                <w:bCs/>
              </w:rPr>
              <w:t xml:space="preserve">3a</w:t>
            </w:r>
          </w:p>
        </w:tc>
        <w:tc>
          <w:tcPr/>
          <w:p>
            <w:pPr>
              <w:pStyle w:val="Compact"/>
            </w:pPr>
            <w:r>
              <w:rPr>
                <w:b/>
                <w:bCs/>
              </w:rPr>
              <w:t xml:space="preserve">Advisory + gateway-partner positioning</w:t>
            </w:r>
            <w:r>
              <w:t xml:space="preserve"> </w:t>
            </w:r>
            <w:r>
              <w:t xml:space="preserve">— Cloudflare / Kong / Pomerium pair</w:t>
            </w:r>
          </w:p>
        </w:tc>
        <w:tc>
          <w:tcPr/>
          <w:p>
            <w:pPr>
              <w:pStyle w:val="Compact"/>
            </w:pPr>
            <w:r>
              <w:t xml:space="preserve">held + re-sequenced concurrent</w:t>
            </w:r>
          </w:p>
        </w:tc>
        <w:tc>
          <w:tcPr/>
          <w:p>
            <w:pPr>
              <w:pStyle w:val="Compact"/>
            </w:pPr>
            <w:r>
              <w:rPr>
                <w:b/>
                <w:bCs/>
              </w:rPr>
              <w:t xml:space="preserve">Concurrent with Bet #1 from H2 2026</w:t>
            </w:r>
          </w:p>
        </w:tc>
        <w:tc>
          <w:tcPr/>
          <w:p>
            <w:pPr>
              <w:pStyle w:val="Compact"/>
            </w:pPr>
            <w:r>
              <w:t xml:space="preserve">★★★★</w:t>
            </w:r>
          </w:p>
        </w:tc>
      </w:tr>
      <w:tr>
        <w:tc>
          <w:tcPr/>
          <w:p>
            <w:pPr>
              <w:pStyle w:val="Compact"/>
            </w:pPr>
            <w:r>
              <w:t xml:space="preserve">3b</w:t>
            </w:r>
          </w:p>
        </w:tc>
        <w:tc>
          <w:tcPr/>
          <w:p>
            <w:pPr>
              <w:pStyle w:val="Compact"/>
            </w:pPr>
            <w:r>
              <w:t xml:space="preserve">Productized MCP server practice</w:t>
            </w:r>
          </w:p>
        </w:tc>
        <w:tc>
          <w:tcPr/>
          <w:p>
            <w:pPr>
              <w:pStyle w:val="Compact"/>
            </w:pPr>
            <w:r>
              <w:t xml:space="preserve">parked</w:t>
            </w:r>
          </w:p>
        </w:tc>
        <w:tc>
          <w:tcPr/>
          <w:p>
            <w:pPr>
              <w:pStyle w:val="Compact"/>
            </w:pPr>
            <w:r>
              <w:t xml:space="preserve">—</w:t>
            </w:r>
          </w:p>
        </w:tc>
        <w:tc>
          <w:tcPr/>
          <w:p>
            <w:pPr>
              <w:pStyle w:val="Compact"/>
            </w:pPr>
            <w:r>
              <w:t xml:space="preserve">parked</w:t>
            </w:r>
          </w:p>
        </w:tc>
      </w:tr>
      <w:tr>
        <w:tc>
          <w:tcPr/>
          <w:p>
            <w:pPr>
              <w:pStyle w:val="Compact"/>
            </w:pPr>
            <w:r>
              <w:t xml:space="preserve">4</w:t>
            </w:r>
          </w:p>
        </w:tc>
        <w:tc>
          <w:tcPr/>
          <w:p>
            <w:pPr>
              <w:pStyle w:val="Compact"/>
            </w:pPr>
            <w:r>
              <w:rPr>
                <w:b/>
                <w:bCs/>
              </w:rPr>
              <w:t xml:space="preserve">FinOps for Tokens</w:t>
            </w:r>
            <w:r>
              <w:t xml:space="preserve"> </w:t>
            </w:r>
            <w:r>
              <w:t xml:space="preserve">— module of Bet #1 §III.8</w:t>
            </w:r>
          </w:p>
        </w:tc>
        <w:tc>
          <w:tcPr/>
          <w:p>
            <w:pPr>
              <w:pStyle w:val="Compact"/>
            </w:pPr>
            <w:r>
              <w:t xml:space="preserve">subsumed</w:t>
            </w:r>
          </w:p>
        </w:tc>
        <w:tc>
          <w:tcPr/>
          <w:p>
            <w:pPr>
              <w:pStyle w:val="Compact"/>
            </w:pPr>
            <w:r>
              <w:t xml:space="preserve">inside Bet #1</w:t>
            </w:r>
          </w:p>
        </w:tc>
        <w:tc>
          <w:tcPr/>
          <w:p>
            <w:pPr>
              <w:pStyle w:val="Compact"/>
            </w:pPr>
            <w:r>
              <w:t xml:space="preserve">★★★★ (as module)</w:t>
            </w:r>
          </w:p>
        </w:tc>
      </w:tr>
      <w:tr>
        <w:tc>
          <w:tcPr/>
          <w:p>
            <w:pPr>
              <w:pStyle w:val="Compact"/>
            </w:pPr>
            <w:r>
              <w:t xml:space="preserve">5</w:t>
            </w:r>
          </w:p>
        </w:tc>
        <w:tc>
          <w:tcPr/>
          <w:p>
            <w:pPr>
              <w:pStyle w:val="Compact"/>
            </w:pPr>
            <w:r>
              <w:rPr>
                <w:b/>
                <w:bCs/>
              </w:rPr>
              <w:t xml:space="preserve">RAG / Memory architecture</w:t>
            </w:r>
            <w:r>
              <w:t xml:space="preserve"> </w:t>
            </w:r>
            <w:r>
              <w:t xml:space="preserve">— module of Bet #1; Bet-C9 productization at Q3 2026 gate</w:t>
            </w:r>
          </w:p>
        </w:tc>
        <w:tc>
          <w:tcPr/>
          <w:p>
            <w:pPr>
              <w:pStyle w:val="Compact"/>
            </w:pPr>
            <w:r>
              <w:t xml:space="preserve">subsumed standalone; Bet-C9 promoted</w:t>
            </w:r>
          </w:p>
        </w:tc>
        <w:tc>
          <w:tcPr/>
          <w:p>
            <w:pPr>
              <w:pStyle w:val="Compact"/>
            </w:pPr>
            <w:r>
              <w:t xml:space="preserve">inside Bet #1, then Bet-C9 Q3 2026</w:t>
            </w:r>
          </w:p>
        </w:tc>
        <w:tc>
          <w:tcPr/>
          <w:p>
            <w:pPr>
              <w:pStyle w:val="Compact"/>
            </w:pPr>
            <w:r>
              <w:t xml:space="preserve">★★★★ (as Bet-C9)</w:t>
            </w:r>
          </w:p>
        </w:tc>
      </w:tr>
      <w:tr>
        <w:tc>
          <w:tcPr/>
          <w:p>
            <w:pPr>
              <w:pStyle w:val="Compact"/>
            </w:pPr>
            <w:r>
              <w:t xml:space="preserve">6</w:t>
            </w:r>
          </w:p>
        </w:tc>
        <w:tc>
          <w:tcPr/>
          <w:p>
            <w:pPr>
              <w:pStyle w:val="Compact"/>
            </w:pPr>
            <w:r>
              <w:rPr>
                <w:b/>
                <w:bCs/>
              </w:rPr>
              <w:t xml:space="preserve">Operator Translation Newsletter</w:t>
            </w:r>
            <w:r>
              <w:t xml:space="preserve"> </w:t>
            </w:r>
            <w:r>
              <w:t xml:space="preserve">— distribution layer for #1–#3</w:t>
            </w:r>
          </w:p>
        </w:tc>
        <w:tc>
          <w:tcPr/>
          <w:p>
            <w:pPr>
              <w:pStyle w:val="Compact"/>
            </w:pPr>
            <w:r>
              <w:t xml:space="preserve">reframed</w:t>
            </w:r>
          </w:p>
        </w:tc>
        <w:tc>
          <w:tcPr/>
          <w:p>
            <w:pPr>
              <w:pStyle w:val="Compact"/>
            </w:pPr>
            <w:r>
              <w:t xml:space="preserve">from Q3 2026 ongoing</w:t>
            </w:r>
          </w:p>
        </w:tc>
        <w:tc>
          <w:tcPr/>
          <w:p>
            <w:pPr>
              <w:pStyle w:val="Compact"/>
            </w:pPr>
            <w:r>
              <w:t xml:space="preserve">★★★</w:t>
            </w:r>
          </w:p>
        </w:tc>
      </w:tr>
      <w:tr>
        <w:tc>
          <w:tcPr/>
          <w:p>
            <w:pPr>
              <w:pStyle w:val="Compact"/>
            </w:pPr>
            <w:r>
              <w:t xml:space="preserve">7</w:t>
            </w:r>
          </w:p>
        </w:tc>
        <w:tc>
          <w:tcPr/>
          <w:p>
            <w:pPr>
              <w:pStyle w:val="Compact"/>
            </w:pPr>
            <w:r>
              <w:rPr>
                <w:b/>
                <w:bCs/>
              </w:rPr>
              <w:t xml:space="preserve">VC Operating Partner</w:t>
            </w:r>
            <w:r>
              <w:t xml:space="preserve"> </w:t>
            </w:r>
            <w:r>
              <w:t xml:space="preserve">— fallback only</w:t>
            </w:r>
          </w:p>
        </w:tc>
        <w:tc>
          <w:tcPr/>
          <w:p>
            <w:pPr>
              <w:pStyle w:val="Compact"/>
            </w:pPr>
            <w:r>
              <w:t xml:space="preserve">held</w:t>
            </w:r>
          </w:p>
        </w:tc>
        <w:tc>
          <w:tcPr/>
          <w:p>
            <w:pPr>
              <w:pStyle w:val="Compact"/>
            </w:pPr>
            <w:r>
              <w:t xml:space="preserve">background</w:t>
            </w:r>
          </w:p>
        </w:tc>
        <w:tc>
          <w:tcPr/>
          <w:p>
            <w:pPr>
              <w:pStyle w:val="Compact"/>
            </w:pPr>
            <w:r>
              <w:t xml:space="preserve">★★★</w:t>
            </w:r>
          </w:p>
        </w:tc>
      </w:tr>
    </w:tbl>
    <w:p>
      <w:pPr>
        <w:pStyle w:val="BodyText"/>
      </w:pPr>
      <w:r>
        <w:t xml:space="preserve">The clean read across the seven: Alex is building one practice (Bet #1) with two distribution layers (Bet #6 newsletter, Bet #3a gateway-partner) and one operator-role parallel (Bet #2 at Hebbia / Sierra / Rogo). Bets #4 + #5 are no longer standalone but the modules that make Bet #1 valuable. Bet-C9 is the post-trust productization vector. Bet #7 is the fallback if the first six don’t land.</w:t>
      </w:r>
    </w:p>
    <w:p>
      <w:r>
        <w:pict>
          <v:rect style="width:0;height:1.5pt" o:hralign="center" o:hrstd="t" o:hr="t"/>
        </w:pict>
      </w:r>
    </w:p>
    <w:p>
      <w:r>
        <w:pict>
          <v:rect style="width:0;height:1.5pt" o:hralign="center" o:hrstd="t" o:hr="t"/>
        </w:pict>
      </w:r>
    </w:p>
    <w:p>
      <w:pPr>
        <w:pStyle w:val="FirstParagraph"/>
      </w:pPr>
      <w:r>
        <w:t xml:space="preserve">Bets in. Bets out. Where they live now is the action map.</w:t>
      </w:r>
    </w:p>
    <w:p>
      <w:r>
        <w:pict>
          <v:rect style="width:0;height:1.5pt" o:hralign="center" o:hrstd="t" o:hr="t"/>
        </w:pict>
      </w:r>
    </w:p>
    <w:bookmarkEnd w:id="86"/>
    <w:bookmarkEnd w:id="87"/>
    <w:bookmarkStart w:id="88" w:name="chapter-5-6-12-18-month-action-map"/>
    <w:p>
      <w:pPr>
        <w:pStyle w:val="Heading2"/>
      </w:pPr>
      <w:r>
        <w:t xml:space="preserve">Chapter 5 · 6 / 12 / 18-Month Action Map</w:t>
      </w:r>
    </w:p>
    <w:p>
      <w:pPr>
        <w:pStyle w:val="FirstParagraph"/>
      </w:pPr>
      <w:r>
        <w:t xml:space="preserve">Open</w:t>
      </w:r>
      <w:r>
        <w:t xml:space="preserve"> </w:t>
      </w:r>
      <w:r>
        <w:rPr>
          <w:rStyle w:val="VerbatimChar"/>
        </w:rPr>
        <w:t xml:space="preserve">AGENTS_GTM_DECISIONS.pdf</w:t>
      </w:r>
      <w:r>
        <w:t xml:space="preserve"> </w:t>
      </w:r>
      <w:r>
        <w:t xml:space="preserve">to Plate X. The 18-month Gantt is the visual companion. The text below names the people, the calendar windows, and the decision triggers. The MBB-network 30-day push opens this week.</w:t>
      </w:r>
    </w:p>
    <w:p>
      <w:r>
        <w:pict>
          <v:rect style="width:0;height:1.5pt" o:hralign="center" o:hrstd="t" o:hr="t"/>
        </w:pict>
      </w:r>
    </w:p>
    <w:bookmarkEnd w:id="88"/>
    <w:bookmarkStart w:id="97" w:name="X233d735e830e35953fc14a045617a36e26aee8b"/>
    <w:p>
      <w:pPr>
        <w:pStyle w:val="Heading2"/>
      </w:pPr>
      <w:r>
        <w:t xml:space="preserve">Part XII · 6 / 12 / 18-Month Action Map for Alex</w:t>
      </w:r>
    </w:p>
    <w:p>
      <w:pPr>
        <w:pStyle w:val="FirstParagraph"/>
      </w:pPr>
      <w:r>
        <w:t xml:space="preserve">This is a calendar Alex can act on tomorrow, not a strategy deck. Q3 2026 is the most-detailed because that’s where the highest-density information events cluster (GC1 OSWorld and GC2 Anthropic ARR both resolve in that quarter). Q4 2026 is the productization / gateway / Article-14 watch quarter. H1 2027 is the offer-or-pivot quarter. Months 12–18 is the anchor-decision quarter.</w:t>
      </w:r>
    </w:p>
    <w:bookmarkStart w:id="93" w:name="xii.1-q3-2026-next-90-days-most-detailed"/>
    <w:p>
      <w:pPr>
        <w:pStyle w:val="Heading3"/>
      </w:pPr>
      <w:r>
        <w:t xml:space="preserve">XII.1 — Q3 2026 (next 90 days) — most detailed</w:t>
      </w:r>
    </w:p>
    <w:bookmarkStart w:id="89" w:name="X7b1d535cb26a382f1b7d668d4d6b871234ffc2a"/>
    <w:p>
      <w:pPr>
        <w:pStyle w:val="Heading4"/>
      </w:pPr>
      <w:r>
        <w:t xml:space="preserve">Week 1 · Outline lock + MBB-network 30-day push opens</w:t>
      </w:r>
    </w:p>
    <w:p>
      <w:pPr>
        <w:pStyle w:val="Compact"/>
        <w:numPr>
          <w:ilvl w:val="0"/>
          <w:numId w:val="1021"/>
        </w:numPr>
      </w:pPr>
      <w:r>
        <w:rPr>
          <w:b/>
          <w:bCs/>
        </w:rPr>
        <w:t xml:space="preserve">Playbook outline locked.</w:t>
      </w:r>
      <w:r>
        <w:t xml:space="preserve"> </w:t>
      </w:r>
      <w:r>
        <w:t xml:space="preserve">Use the F3 Job 1 phase-row as the framing prompt: Locate (5,F) → Confirm (6,E) → Execute (9,G) → Conclude (9,M) becomes the spine of the seven counterparty chapters. Lock the seven counterparties (InfoSec, Legal, Privacy, AI Governance, Procurement, Sponsor, Enterprise Architecture) as the chapter structure, with Section IV reserved for the 14 AI-specific contractual addenda already drafted in F5 §8.</w:t>
      </w:r>
    </w:p>
    <w:p>
      <w:pPr>
        <w:pStyle w:val="Compact"/>
        <w:numPr>
          <w:ilvl w:val="0"/>
          <w:numId w:val="1021"/>
        </w:numPr>
      </w:pPr>
      <w:r>
        <w:rPr>
          <w:b/>
          <w:bCs/>
        </w:rPr>
        <w:t xml:space="preserve">MBB-network 30-day push opens.</w:t>
      </w:r>
      <w:r>
        <w:t xml:space="preserve"> </w:t>
      </w:r>
      <w:r>
        <w:t xml:space="preserve">Three named warm intros to start:</w:t>
      </w:r>
    </w:p>
    <w:p>
      <w:pPr>
        <w:pStyle w:val="Compact"/>
        <w:numPr>
          <w:ilvl w:val="1"/>
          <w:numId w:val="1022"/>
        </w:numPr>
      </w:pPr>
      <w:r>
        <w:rPr>
          <w:b/>
          <w:bCs/>
        </w:rPr>
        <w:t xml:space="preserve">Mateo Berger</w:t>
      </w:r>
      <w:r>
        <w:t xml:space="preserve"> </w:t>
      </w:r>
      <w:r>
        <w:t xml:space="preserve">(BCG NYC Principal AI practice → Hebbia Head of GTM Strategy, Feb 2026). Berger is the foothold for the Hebbia conversation; one intro = three more by week 3.</w:t>
      </w:r>
    </w:p>
    <w:p>
      <w:pPr>
        <w:pStyle w:val="Compact"/>
        <w:numPr>
          <w:ilvl w:val="1"/>
          <w:numId w:val="1022"/>
        </w:numPr>
      </w:pPr>
      <w:r>
        <w:rPr>
          <w:b/>
          <w:bCs/>
        </w:rPr>
        <w:t xml:space="preserve">Sarah Park</w:t>
      </w:r>
      <w:r>
        <w:t xml:space="preserve"> </w:t>
      </w:r>
      <w:r>
        <w:t xml:space="preserve">(McKinsey QuantumBlack → Sierra Head of Industry FinServ, Mar 2026). Park is the FinServ-vertical intro at Sierra; pairs with Joe Schmidt IV (Stripe NYC → Sierra Head Enterprise GTM East, Jul 2025) as the second touch.</w:t>
      </w:r>
    </w:p>
    <w:p>
      <w:pPr>
        <w:pStyle w:val="Compact"/>
        <w:numPr>
          <w:ilvl w:val="1"/>
          <w:numId w:val="1022"/>
        </w:numPr>
      </w:pPr>
      <w:r>
        <w:rPr>
          <w:b/>
          <w:bCs/>
        </w:rPr>
        <w:t xml:space="preserve">Andrew Sinclair</w:t>
      </w:r>
      <w:r>
        <w:t xml:space="preserve"> </w:t>
      </w:r>
      <w:r>
        <w:t xml:space="preserve">(Bain Boston AI practice → Harvey Director GTM Strategy, Apr 2026). Sinclair is the legal-vertical comparison data point; informs the Job 4 (NRR) framing for Bet #2 conversation.</w:t>
      </w:r>
    </w:p>
    <w:p>
      <w:pPr>
        <w:pStyle w:val="Compact"/>
        <w:numPr>
          <w:ilvl w:val="0"/>
          <w:numId w:val="1021"/>
        </w:numPr>
      </w:pPr>
      <w:r>
        <w:rPr>
          <w:b/>
          <w:bCs/>
        </w:rPr>
        <w:t xml:space="preserve">NYC events to lock for Weeks 1–4:</w:t>
      </w:r>
      <w:r>
        <w:t xml:space="preserve"> </w:t>
      </w:r>
      <w:r>
        <w:t xml:space="preserve">RAAIS NYC (advance attendance list pull), Cornell Tech AI demo days (calendar block), Betaworks AI Camps (May/June cohort demo nights), FirstMark MAD events (Matt Turck monthly). These are the four standing events that index founders + capital + operator-tier in one room.</w:t>
      </w:r>
    </w:p>
    <w:bookmarkEnd w:id="89"/>
    <w:bookmarkStart w:id="90" w:name="X2cfc5730d2b829dbe9316a24e187722c8c949bf"/>
    <w:p>
      <w:pPr>
        <w:pStyle w:val="Heading4"/>
      </w:pPr>
      <w:r>
        <w:t xml:space="preserve">Weeks 2–6 · 30 expert procurement-side interviews</w:t>
      </w:r>
    </w:p>
    <w:p>
      <w:pPr>
        <w:pStyle w:val="FirstParagraph"/>
      </w:pPr>
      <w:r>
        <w:t xml:space="preserve">Counterparty-mix: ~5 per role across the seven counterparties — InfoSec (5), Legal (5), Privacy (5), AI Council/Governance (5), Procurement (4), Sponsor (3), Enterprise Architecture (3). Target 30 total, ~5 per week, three buckets:</w:t>
      </w:r>
    </w:p>
    <w:p>
      <w:pPr>
        <w:pStyle w:val="Compact"/>
        <w:numPr>
          <w:ilvl w:val="0"/>
          <w:numId w:val="1023"/>
        </w:numPr>
      </w:pPr>
      <w:r>
        <w:rPr>
          <w:b/>
          <w:bCs/>
        </w:rPr>
        <w:t xml:space="preserve">F1000 buyer-side (15):</w:t>
      </w:r>
      <w:r>
        <w:t xml:space="preserve"> </w:t>
      </w:r>
      <w:r>
        <w:t xml:space="preserve">JPMorgan (InfoSec + Privacy + AI Governance triad), Goldman Sachs (Legal + AI Council, where the Yash Tekriwal → Rogo Jan 2026 hire opens the door), Walmart (Procurement + EA), Pfizer (Privacy + AI Council, EU/HIPAA-adjacent), Anthropic enterprise side (Sponsor + AI Governance, where the foundation-lab AE departure pattern gives a reciprocal door). Anchor list. Five F1000 = anchor; ten more across the second-tier list (Citi, Capital One, CVS, Lowe’s, Cigna, etc.).</w:t>
      </w:r>
    </w:p>
    <w:p>
      <w:pPr>
        <w:pStyle w:val="Compact"/>
        <w:numPr>
          <w:ilvl w:val="0"/>
          <w:numId w:val="1023"/>
        </w:numPr>
      </w:pPr>
      <w:r>
        <w:rPr>
          <w:b/>
          <w:bCs/>
        </w:rPr>
        <w:t xml:space="preserve">Vendor-side (10):</w:t>
      </w:r>
      <w:r>
        <w:t xml:space="preserve"> </w:t>
      </w:r>
      <w:r>
        <w:t xml:space="preserve">Hebbia (Mehta), Sierra (Schmidt), Rogo (Tekriwal), Decagon (Sinha — Field CTO), Glean, Clay (Kareem Amin’s 40-headcount NYC push gives a public-facing intro), Ironclad (the Bet-C10 Article 14 reference partner), Vanta (the Bet-C10 / GC5 falsifiability watch), Cloudflare (Bet #3a gateway-pair primer conversation), Galileo or Arize (the M-column observability cousin).</w:t>
      </w:r>
    </w:p>
    <w:p>
      <w:pPr>
        <w:pStyle w:val="Compact"/>
        <w:numPr>
          <w:ilvl w:val="0"/>
          <w:numId w:val="1023"/>
        </w:numPr>
      </w:pPr>
      <w:r>
        <w:rPr>
          <w:b/>
          <w:bCs/>
        </w:rPr>
        <w:t xml:space="preserve">Procurement / Legal counterparties (5):</w:t>
      </w:r>
      <w:r>
        <w:t xml:space="preserve"> </w:t>
      </w:r>
      <w:r>
        <w:t xml:space="preserve">vendor-side procurement leads + buyer-side Deal Desk leads with named AI-vendor closing scar tissue.</w:t>
      </w:r>
    </w:p>
    <w:p>
      <w:pPr>
        <w:pStyle w:val="FirstParagraph"/>
      </w:pPr>
      <w:r>
        <w:t xml:space="preserve">Output of the 30 interviews: the 56-cell × named vendor matrix in Playbook §VI Rubric gets populated; the 14 AI-specific addenda get red-teamed against real F1000 redlines; the seven counterparty chapters each get 3–5 anonymized quotes that ground the prose; the bilateral evidence-pack interchange format gets stress-tested against five real procurement gauntlets.</w:t>
      </w:r>
    </w:p>
    <w:bookmarkEnd w:id="90"/>
    <w:bookmarkStart w:id="91" w:name="Xac2d5e1ef1f99ac2302d72a27eec39a6958b315"/>
    <w:p>
      <w:pPr>
        <w:pStyle w:val="Heading4"/>
      </w:pPr>
      <w:r>
        <w:t xml:space="preserve">Weeks 6–9 · Hebbia / Sierra / Rogo / Decagon outreach via warm intros</w:t>
      </w:r>
    </w:p>
    <w:p>
      <w:pPr>
        <w:pStyle w:val="FirstParagraph"/>
      </w:pPr>
      <w:r>
        <w:t xml:space="preserve">This is the Bet #2 sequencing window. The Bet #1 Playbook v0.5 is now a credibility artifact — signals procurement-seam fluency that beats MBB candidates on operator depth. Lead each conversation with a written one-page memo:</w:t>
      </w:r>
      <w:r>
        <w:t xml:space="preserve"> </w:t>
      </w:r>
      <w:r>
        <w:t xml:space="preserve">“Here is how I would close the (11,L) memory-gap inside your existing roadmap by Q1 2027”</w:t>
      </w:r>
      <w:r>
        <w:t xml:space="preserve"> </w:t>
      </w:r>
      <w:r>
        <w:t xml:space="preserve">(Sierra / Decagon framing) or</w:t>
      </w:r>
      <w:r>
        <w:t xml:space="preserve"> </w:t>
      </w:r>
      <w:r>
        <w:t xml:space="preserve">“Here is how I would close the (12,F) FinServ vertical-data narrative gap inside your existing roadmap”</w:t>
      </w:r>
      <w:r>
        <w:t xml:space="preserve"> </w:t>
      </w:r>
      <w:r>
        <w:t xml:space="preserve">(Hebbia / Rogo framing).</w:t>
      </w:r>
    </w:p>
    <w:p>
      <w:pPr>
        <w:pStyle w:val="BodyText"/>
      </w:pPr>
      <w:r>
        <w:t xml:space="preserve">Named-people sequence:</w:t>
      </w:r>
    </w:p>
    <w:p>
      <w:pPr>
        <w:pStyle w:val="Compact"/>
        <w:numPr>
          <w:ilvl w:val="0"/>
          <w:numId w:val="1024"/>
        </w:numPr>
      </w:pPr>
      <w:r>
        <w:rPr>
          <w:b/>
          <w:bCs/>
        </w:rPr>
        <w:t xml:space="preserve">Bret Taylor (Sierra co-CEO, NYC monthly).</w:t>
      </w:r>
      <w:r>
        <w:t xml:space="preserve"> </w:t>
      </w:r>
      <w:r>
        <w:t xml:space="preserve">The Sierra anchor conversation. Taylor’s calendar opens through Schmidt + the a16z Anjney Midha referral lattice. Frame: Bet #1 Playbook earns the room; the (11,L) NRR memory chapter is the conversation prompt. Target outcome: introduction to the Head of Industry / Director Strategic Accounts hiring panel.</w:t>
      </w:r>
    </w:p>
    <w:p>
      <w:pPr>
        <w:pStyle w:val="Compact"/>
        <w:numPr>
          <w:ilvl w:val="0"/>
          <w:numId w:val="1024"/>
        </w:numPr>
      </w:pPr>
      <w:r>
        <w:rPr>
          <w:b/>
          <w:bCs/>
        </w:rPr>
        <w:t xml:space="preserve">Munjal Shah (Hippocratic AI CEO).</w:t>
      </w:r>
      <w:r>
        <w:t xml:space="preserve"> </w:t>
      </w:r>
      <w:r>
        <w:t xml:space="preserve">Healthcare GTM bench needs Sara Mauskopf-tier operator addition; Hippocratic at Series C $2B + $50M+ ARR is the one healthcare vertical with senior-tier comp band ($250–350K + 0.10–0.25% equity). Frame: the Bet #1 HIPAA-overlay chapter as the entry conversation.</w:t>
      </w:r>
    </w:p>
    <w:p>
      <w:pPr>
        <w:pStyle w:val="Compact"/>
        <w:numPr>
          <w:ilvl w:val="0"/>
          <w:numId w:val="1024"/>
        </w:numPr>
      </w:pPr>
      <w:r>
        <w:rPr>
          <w:b/>
          <w:bCs/>
        </w:rPr>
        <w:t xml:space="preserve">Aman Sanger (Cursor SF/NYC).</w:t>
      </w:r>
      <w:r>
        <w:t xml:space="preserve"> </w:t>
      </w:r>
      <w:r>
        <w:t xml:space="preserve">Adjacent target — Cursor has growing NYC presence and the AI-coding cell pulls onto the Bet #1 Playbook surface (developer-tool procurement gauntlet is increasingly enterprise-priced). Lower-fit than Hebbia/Sierra but worth one conversation.</w:t>
      </w:r>
    </w:p>
    <w:p>
      <w:pPr>
        <w:pStyle w:val="Compact"/>
        <w:numPr>
          <w:ilvl w:val="0"/>
          <w:numId w:val="1024"/>
        </w:numPr>
      </w:pPr>
      <w:r>
        <w:rPr>
          <w:b/>
          <w:bCs/>
        </w:rPr>
        <w:t xml:space="preserve">Eric Glyman (Ramp CEO / AI org).</w:t>
      </w:r>
      <w:r>
        <w:t xml:space="preserve"> </w:t>
      </w:r>
      <w:r>
        <w:t xml:space="preserve">Ramp’s AI-org Director role opens at $300–400K + 0.01–0.05% equity (broader product = lower equity asymmetry, which is why Ramp ranks behind Hebbia / Rogo in the F4 composite). Frame: the Bet #4 per-trajectory FinOps audit as the natural Ramp wedge — this is the company most likely to</w:t>
      </w:r>
      <w:r>
        <w:t xml:space="preserve"> </w:t>
      </w:r>
      <w:r>
        <w:rPr>
          <w:i/>
          <w:iCs/>
        </w:rPr>
        <w:t xml:space="preserve">buy</w:t>
      </w:r>
      <w:r>
        <w:t xml:space="preserve"> </w:t>
      </w:r>
      <w:r>
        <w:t xml:space="preserve">the audit even before they hire the operator.</w:t>
      </w:r>
    </w:p>
    <w:p>
      <w:pPr>
        <w:pStyle w:val="Compact"/>
        <w:numPr>
          <w:ilvl w:val="0"/>
          <w:numId w:val="1024"/>
        </w:numPr>
      </w:pPr>
      <w:r>
        <w:rPr>
          <w:b/>
          <w:bCs/>
        </w:rPr>
        <w:t xml:space="preserve">Vinay Sivulka (Hebbia, leadership team).</w:t>
      </w:r>
      <w:r>
        <w:t xml:space="preserve"> </w:t>
      </w:r>
      <w:r>
        <w:t xml:space="preserve">Beyond Mehta, Sivulka is the second Hebbia anchor in the founder-team-extended ring. Frame: the Bet #1 Playbook + the (12,F) FinServ vertical-data narrative as combined entry.</w:t>
      </w:r>
    </w:p>
    <w:p>
      <w:pPr>
        <w:pStyle w:val="FirstParagraph"/>
      </w:pPr>
      <w:r>
        <w:t xml:space="preserve">The Rogo angle: NYC FinServ vertical-data + banker-fluent gate. Rogo’s Tekriwal hire (Goldman MBD VP → Head of Enterprise Sales, Jan 2026) is the door; the equity asymmetry (0.30–0.60% per F4 §F4.2) is the largest in the named set. The conversation is</w:t>
      </w:r>
      <w:r>
        <w:t xml:space="preserve"> </w:t>
      </w:r>
      <w:r>
        <w:t xml:space="preserve">“I have walked into 200+ banker procurement seams; here is how I would compress the Rogo enterprise sales cycle by 30%.”</w:t>
      </w:r>
      <w:r>
        <w:t xml:space="preserve"> </w:t>
      </w:r>
      <w:r>
        <w:t xml:space="preserve">Target outcome: Director Enterprise Sales offer in the band, signed before the Q2 2026 Series C up-round closes.</w:t>
      </w:r>
    </w:p>
    <w:bookmarkEnd w:id="91"/>
    <w:bookmarkStart w:id="92" w:name="weeks-912-playbook-v1-publication"/>
    <w:p>
      <w:pPr>
        <w:pStyle w:val="Heading4"/>
      </w:pPr>
      <w:r>
        <w:t xml:space="preserve">Weeks 9–12 · Playbook v1 publication</w:t>
      </w:r>
    </w:p>
    <w:p>
      <w:pPr>
        <w:pStyle w:val="Compact"/>
        <w:numPr>
          <w:ilvl w:val="0"/>
          <w:numId w:val="1025"/>
        </w:numPr>
      </w:pPr>
      <w:r>
        <w:rPr>
          <w:b/>
          <w:bCs/>
        </w:rPr>
        <w:t xml:space="preserve">Playbook v1.0 publishes Week 12.</w:t>
      </w:r>
      <w:r>
        <w:t xml:space="preserve"> </w:t>
      </w:r>
      <w:r>
        <w:t xml:space="preserve">Format: open-spec markdown + PDF + an HTML Agent Procurement Rubric tool (the bilateral evidence-pack interchange format as a fillable artifact). Distribution: LinkedIn announcement post, three-post launch sequence, four-podcast tour (Latent Space, Practical AI, Lenny’s Podcast, AI in Business).</w:t>
      </w:r>
    </w:p>
    <w:p>
      <w:pPr>
        <w:pStyle w:val="Compact"/>
        <w:numPr>
          <w:ilvl w:val="0"/>
          <w:numId w:val="1025"/>
        </w:numPr>
      </w:pPr>
      <w:r>
        <w:rPr>
          <w:b/>
          <w:bCs/>
        </w:rPr>
        <w:t xml:space="preserve">Cloudflare gateway-partner conversation opened in parallel (Bet #3a).</w:t>
      </w:r>
      <w:r>
        <w:t xml:space="preserve"> </w:t>
      </w:r>
      <w:r>
        <w:t xml:space="preserve">The Playbook publish is the credibility unlock for the Cloudflare conversation — frame:</w:t>
      </w:r>
      <w:r>
        <w:t xml:space="preserve"> </w:t>
      </w:r>
      <w:r>
        <w:t xml:space="preserve">“Here is the open-spec procurement rubric. Here is the gateway-side audit log requirement that maps onto it. Cloudflare One is the natural reference architecture.”</w:t>
      </w:r>
      <w:r>
        <w:t xml:space="preserve"> </w:t>
      </w:r>
      <w:r>
        <w:t xml:space="preserve">Target: Cloudflare gateway-partner positioning agreement signed by end of Q3.</w:t>
      </w:r>
    </w:p>
    <w:p>
      <w:pPr>
        <w:pStyle w:val="Compact"/>
        <w:numPr>
          <w:ilvl w:val="0"/>
          <w:numId w:val="1025"/>
        </w:numPr>
      </w:pPr>
      <w:r>
        <w:rPr>
          <w:b/>
          <w:bCs/>
        </w:rPr>
        <w:t xml:space="preserve">Newsletter Kit v1 (Bet #6) launches.</w:t>
      </w:r>
      <w:r>
        <w:t xml:space="preserve"> </w:t>
      </w:r>
      <w:r>
        <w:t xml:space="preserve">Format: weekly translation, ~700–1200 words, open with the week’s most consequential agent-GTM news interpreted through the Playbook lens. Subscribe list seeded with the 30 interview targets + 200 LinkedIn second-degree connections + 50 NYC operator network.</w:t>
      </w:r>
    </w:p>
    <w:p>
      <w:pPr>
        <w:pStyle w:val="Compact"/>
        <w:numPr>
          <w:ilvl w:val="0"/>
          <w:numId w:val="1025"/>
        </w:numPr>
      </w:pPr>
      <w:r>
        <w:rPr>
          <w:b/>
          <w:bCs/>
        </w:rPr>
        <w:t xml:space="preserve">500-download / 50-inbound falsifiability test starts.</w:t>
      </w:r>
      <w:r>
        <w:t xml:space="preserve"> </w:t>
      </w:r>
      <w:r>
        <w:t xml:space="preserve">Clock starts at Week 12 publication. 60-day window. &lt;500 downloads OR &lt;50 inbound conversations = falsification of the productized branch (advisory still survives). &gt;500 + &gt;50 = scale Bet #1 productization branch and accelerate Bet-C9 productization decision into Q4 instead of Q3 2026 of next year.</w:t>
      </w:r>
    </w:p>
    <w:bookmarkEnd w:id="92"/>
    <w:bookmarkEnd w:id="93"/>
    <w:bookmarkStart w:id="94" w:name="xii.2-q4-2026-months-46"/>
    <w:p>
      <w:pPr>
        <w:pStyle w:val="Heading3"/>
      </w:pPr>
      <w:r>
        <w:t xml:space="preserve">XII.2 — Q4 2026 (months 4–6)</w:t>
      </w:r>
    </w:p>
    <w:p>
      <w:pPr>
        <w:pStyle w:val="Compact"/>
        <w:numPr>
          <w:ilvl w:val="0"/>
          <w:numId w:val="1026"/>
        </w:numPr>
      </w:pPr>
      <w:r>
        <w:rPr>
          <w:b/>
          <w:bCs/>
        </w:rPr>
        <w:t xml:space="preserve">Article 14 first enforcement watch (GC3).</w:t>
      </w:r>
      <w:r>
        <w:t xml:space="preserve"> </w:t>
      </w:r>
      <w:r>
        <w:t xml:space="preserve">Late-2026 / Q1-2027 first DPA enforcement action is the trigger. If teeth, Bet #1 Playbook §III.6 Article 14 Tie-Out Overlay becomes the procurement default and Bet #1 TAM expands ~5×. If paper-tiger, the Playbook still serves SOX / SOC2 / HIPAA / TCPA / CAN-SPAM cousins — TAM compresses to 2× rather than 5×.</w:t>
      </w:r>
      <w:r>
        <w:t xml:space="preserve"> </w:t>
      </w:r>
      <w:r>
        <w:rPr>
          <w:b/>
          <w:bCs/>
        </w:rPr>
        <w:t xml:space="preserve">Playbook Q1 2027 update locked into the publishing cadence regardless.</w:t>
      </w:r>
    </w:p>
    <w:p>
      <w:pPr>
        <w:pStyle w:val="Compact"/>
        <w:numPr>
          <w:ilvl w:val="0"/>
          <w:numId w:val="1026"/>
        </w:numPr>
      </w:pPr>
      <w:r>
        <w:rPr>
          <w:b/>
          <w:bCs/>
        </w:rPr>
        <w:t xml:space="preserve">Common Room roadmap reveal (Bet-C5 decidability — GC6).</w:t>
      </w:r>
      <w:r>
        <w:t xml:space="preserve"> </w:t>
      </w:r>
      <w:r>
        <w:t xml:space="preserve">Multi-source fusion expansion = Bet-C5 JOIN strengthens; community-signal-only-permanent = Bet-C1 BUILD reopens.</w:t>
      </w:r>
      <w:r>
        <w:t xml:space="preserve"> </w:t>
      </w:r>
      <w:r>
        <w:rPr>
          <w:b/>
          <w:bCs/>
        </w:rPr>
        <w:t xml:space="preserve">Default per Alex’s lock: Bet-C5 wins.</w:t>
      </w:r>
      <w:r>
        <w:t xml:space="preserve"> </w:t>
      </w:r>
      <w:r>
        <w:t xml:space="preserve">If the reveal lands ambiguous, the Bet-C5 conversation moves into Q1 2027 alongside the Hebbia / Sierra offer windows.</w:t>
      </w:r>
    </w:p>
    <w:p>
      <w:pPr>
        <w:pStyle w:val="Compact"/>
        <w:numPr>
          <w:ilvl w:val="0"/>
          <w:numId w:val="1026"/>
        </w:numPr>
      </w:pPr>
      <w:r>
        <w:rPr>
          <w:b/>
          <w:bCs/>
        </w:rPr>
        <w:t xml:space="preserve">Anthropic ARR Q3 resolution → vertical-agent comp reprice (GC2).</w:t>
      </w:r>
      <w:r>
        <w:t xml:space="preserve"> </w:t>
      </w:r>
      <w:r>
        <w:t xml:space="preserve">Q3 2026 Anthropic ARR resolves; reprice cascades into Sierra / Decagon / Hebbia / Rogo offer bands within 30–60 days.</w:t>
      </w:r>
      <w:r>
        <w:t xml:space="preserve"> </w:t>
      </w:r>
      <w:r>
        <w:rPr>
          <w:b/>
          <w:bCs/>
        </w:rPr>
        <w:t xml:space="preserve">This is the Bet #2 offer-signature timing window</w:t>
      </w:r>
      <w:r>
        <w:t xml:space="preserve"> </w:t>
      </w:r>
      <w:r>
        <w:t xml:space="preserve">— sign before the reprice if conviction high; after if wobbly.</w:t>
      </w:r>
    </w:p>
    <w:p>
      <w:pPr>
        <w:pStyle w:val="Compact"/>
        <w:numPr>
          <w:ilvl w:val="0"/>
          <w:numId w:val="1026"/>
        </w:numPr>
      </w:pPr>
      <w:r>
        <w:rPr>
          <w:b/>
          <w:bCs/>
        </w:rPr>
        <w:t xml:space="preserve">Per-trajectory FinOps audit pilot (Bet-C3 module of Bet #1).</w:t>
      </w:r>
      <w:r>
        <w:t xml:space="preserve"> </w:t>
      </w:r>
      <w:r>
        <w:t xml:space="preserve">Two free-first audits delivered in Q3 promote into one paid Phase-1 engagement in Q4 ($40K). Audit becomes case study for Playbook §III.8 module update. Decision gate: if paid conversion lands at &gt;$50K combined ACV across two clients, scale; if not, fold module fully into Bet #1 advisory and de-prioritize standalone services line.</w:t>
      </w:r>
    </w:p>
    <w:p>
      <w:pPr>
        <w:pStyle w:val="Compact"/>
        <w:numPr>
          <w:ilvl w:val="0"/>
          <w:numId w:val="1026"/>
        </w:numPr>
      </w:pPr>
      <w:r>
        <w:rPr>
          <w:b/>
          <w:bCs/>
        </w:rPr>
        <w:t xml:space="preserve">Ironclad / Vanta AI-vendor-bundle launch watch (Bet #1 productization branch falsifiability — GC5).</w:t>
      </w:r>
      <w:r>
        <w:t xml:space="preserve"> </w:t>
      </w:r>
      <w:r>
        <w:t xml:space="preserve">If any of Ironclad / Vanta / Drata launches an AI-vendor-bundle module in Q4, Bet #1’s productized branch is falsified — but the</w:t>
      </w:r>
      <w:r>
        <w:t xml:space="preserve"> </w:t>
      </w:r>
      <w:r>
        <w:rPr>
          <w:i/>
          <w:iCs/>
        </w:rPr>
        <w:t xml:space="preserve">advisory</w:t>
      </w:r>
      <w:r>
        <w:t xml:space="preserve"> </w:t>
      </w:r>
      <w:r>
        <w:t xml:space="preserve">branch survives + the Playbook becomes the open-spec input to the bundle (Process Power for the maintainer holds). If no launch by Q1 2027, the productized branch reopens in H1 2027.</w:t>
      </w:r>
    </w:p>
    <w:p>
      <w:pPr>
        <w:pStyle w:val="Compact"/>
        <w:numPr>
          <w:ilvl w:val="0"/>
          <w:numId w:val="1026"/>
        </w:numPr>
      </w:pPr>
      <w:r>
        <w:rPr>
          <w:b/>
          <w:bCs/>
        </w:rPr>
        <w:t xml:space="preserve">Bet #2 offer-signature target.</w:t>
      </w:r>
      <w:r>
        <w:t xml:space="preserve"> </w:t>
      </w:r>
      <w:r>
        <w:t xml:space="preserve">End of Q4 2026. Hebbia VP Revenue or Sierra Head Enterprise GTM East or Rogo Director Enterprise Sales. The 30-day MBB-network push from Q3 has by now produced 4–6 advanced conversations; close one in this window.</w:t>
      </w:r>
    </w:p>
    <w:bookmarkEnd w:id="94"/>
    <w:bookmarkStart w:id="95" w:name="xii.3-h1-2027-months-612"/>
    <w:p>
      <w:pPr>
        <w:pStyle w:val="Heading3"/>
      </w:pPr>
      <w:r>
        <w:t xml:space="preserve">XII.3 — H1 2027 (months 6–12)</w:t>
      </w:r>
    </w:p>
    <w:p>
      <w:pPr>
        <w:pStyle w:val="Compact"/>
        <w:numPr>
          <w:ilvl w:val="0"/>
          <w:numId w:val="1027"/>
        </w:numPr>
      </w:pPr>
      <w:r>
        <w:rPr>
          <w:b/>
          <w:bCs/>
        </w:rPr>
        <w:t xml:space="preserve">Bet #5 productization decision.</w:t>
      </w:r>
      <w:r>
        <w:t xml:space="preserve"> </w:t>
      </w:r>
      <w:r>
        <w:t xml:space="preserve">Based on Q3 2026 trust earned (&gt;500 downloads + &gt;50 inbound + 2 Phase-1 paid engagements). Promote Bet-C9 (Persistent Memory as Service Line) as productization vector with (11,L) NRR-memory cell as the demo target. If trust not earned, park Bet-C9 for H2 2027 reconsideration and double-down on Bet #1 advisory as the standalone practice.</w:t>
      </w:r>
    </w:p>
    <w:p>
      <w:pPr>
        <w:pStyle w:val="Compact"/>
        <w:numPr>
          <w:ilvl w:val="0"/>
          <w:numId w:val="1027"/>
        </w:numPr>
      </w:pPr>
      <w:r>
        <w:rPr>
          <w:b/>
          <w:bCs/>
        </w:rPr>
        <w:t xml:space="preserve">OSWorld 65% potential crossing → K-column reprice → procurement-overlay update (GC1).</w:t>
      </w:r>
      <w:r>
        <w:t xml:space="preserve"> </w:t>
      </w:r>
      <w:r>
        <w:t xml:space="preserve">If GC1 didn’t resolve in Q3 2026, the H1 2027 window is the next likely trigger. Crossed = the K-column (computer-use) becomes deployable for back-office, Microsoft Sales Copilot wins by default, and the Playbook needs a new chapter on per-trajectory cost ceilings + OAuth blast-radius for CU agents within 30 days of the scoreboard event.</w:t>
      </w:r>
    </w:p>
    <w:p>
      <w:pPr>
        <w:pStyle w:val="Compact"/>
        <w:numPr>
          <w:ilvl w:val="0"/>
          <w:numId w:val="1027"/>
        </w:numPr>
      </w:pPr>
      <w:r>
        <w:rPr>
          <w:b/>
          <w:bCs/>
        </w:rPr>
        <w:t xml:space="preserve">Bet #2 decision: offer signed at Hebbia / Sierra / Rogo OR pivot to Bet #1 standalone advisory practice.</w:t>
      </w:r>
      <w:r>
        <w:t xml:space="preserve"> </w:t>
      </w:r>
      <w:r>
        <w:t xml:space="preserve">The 6-month NYC search falsification window from Volume III is now the H1 2027 date. If no offer in band by month 12, the Bet #1 standalone advisory practice becomes the primary, Bet-C9 productization becomes the ceiling on it, and Bet #7 (VC operating partner) re-emerges as the secondary fallback.</w:t>
      </w:r>
    </w:p>
    <w:p>
      <w:pPr>
        <w:pStyle w:val="Compact"/>
        <w:numPr>
          <w:ilvl w:val="0"/>
          <w:numId w:val="1027"/>
        </w:numPr>
      </w:pPr>
      <w:r>
        <w:rPr>
          <w:b/>
          <w:bCs/>
        </w:rPr>
        <w:t xml:space="preserve">MCP commons-or-fork resolution (GC4).</w:t>
      </w:r>
      <w:r>
        <w:t xml:space="preserve"> </w:t>
      </w:r>
      <w:r>
        <w:t xml:space="preserve">Q4 2026 / Q1 2027 horizon — likely lands inside H1 2027. Commons = Bet #3a gateway-pair compounds at scale and the Cloudflare partnership becomes the Bet #3a flagship reference. Fork = gateways still win the arbitrage role, but Playbook Section IV (14 AI-specific addenda) needs fork-aware language inserted in the Q1 2027 update.</w:t>
      </w:r>
    </w:p>
    <w:p>
      <w:pPr>
        <w:pStyle w:val="Compact"/>
        <w:numPr>
          <w:ilvl w:val="0"/>
          <w:numId w:val="1027"/>
        </w:numPr>
      </w:pPr>
      <w:r>
        <w:rPr>
          <w:b/>
          <w:bCs/>
        </w:rPr>
        <w:t xml:space="preserve">Bet #1 v2.0 publish.</w:t>
      </w:r>
      <w:r>
        <w:t xml:space="preserve"> </w:t>
      </w:r>
      <w:r>
        <w:t xml:space="preserve">Playbook publishes its second edition in H1 2027 — incorporates Article 14 enforcement evidence (or paper-tiger update), OSWorld 65% K-column chapter (or update saying it didn’t resolve), MCP commons-or-fork update, and the 6-month productization-vs-advisory branching evidence from Q3 2026 publication.</w:t>
      </w:r>
    </w:p>
    <w:bookmarkEnd w:id="95"/>
    <w:bookmarkStart w:id="96" w:name="xii.4-months-1218"/>
    <w:p>
      <w:pPr>
        <w:pStyle w:val="Heading3"/>
      </w:pPr>
      <w:r>
        <w:t xml:space="preserve">XII.4 — Months 12–18</w:t>
      </w:r>
    </w:p>
    <w:p>
      <w:pPr>
        <w:pStyle w:val="Compact"/>
        <w:numPr>
          <w:ilvl w:val="0"/>
          <w:numId w:val="1028"/>
        </w:numPr>
      </w:pPr>
      <w:r>
        <w:rPr>
          <w:b/>
          <w:bCs/>
        </w:rPr>
        <w:t xml:space="preserve">Bet #6 newsletter as Bet #1 distribution layer (ongoing).</w:t>
      </w:r>
      <w:r>
        <w:t xml:space="preserve"> </w:t>
      </w:r>
      <w:r>
        <w:t xml:space="preserve">By month 12 the newsletter has either passed the 2K-subscriber + non-trivial-inbound threshold (commit harder) or it has not (kill or fold to monthly cadence as Playbook companion).</w:t>
      </w:r>
    </w:p>
    <w:p>
      <w:pPr>
        <w:pStyle w:val="Compact"/>
        <w:numPr>
          <w:ilvl w:val="0"/>
          <w:numId w:val="1028"/>
        </w:numPr>
      </w:pPr>
      <w:r>
        <w:rPr>
          <w:b/>
          <w:bCs/>
        </w:rPr>
        <w:t xml:space="preserve">Bet #7 VC platform path remains fallback.</w:t>
      </w:r>
      <w:r>
        <w:t xml:space="preserve"> </w:t>
      </w:r>
      <w:r>
        <w:t xml:space="preserve">If Bets #1, #2, #3a all landed by month 12, Bet #7 stays background. If two of three did not land, Bet #7 surfaces from background to active applications (3 NYC funds: Insight, Lightspeed, FirstMark or Two Sigma Ventures — relationships built via RAAIS / Betaworks / FirstMark MAD events from Q3–Q4 2026).</w:t>
      </w:r>
    </w:p>
    <w:p>
      <w:pPr>
        <w:pStyle w:val="Compact"/>
        <w:numPr>
          <w:ilvl w:val="0"/>
          <w:numId w:val="1028"/>
        </w:numPr>
      </w:pPr>
      <w:r>
        <w:rPr>
          <w:b/>
          <w:bCs/>
        </w:rPr>
        <w:t xml:space="preserve">Anchor decision: stay-the-course on advisory + open-spec stewardship vs pivot to operator role at scale.</w:t>
      </w:r>
      <w:r>
        <w:t xml:space="preserve"> </w:t>
      </w:r>
      <w:r>
        <w:t xml:space="preserve">Months 12–18 is the natural decision-anchor — by then either the Bet #2 operator role is producing equity and Alex is inside Hebbia / Sierra / Rogo, OR Bet #1 advisory practice + Bet-C9 productization is producing $300K–$500K/year run rate and Alex is the open-spec maintainer of the Agent Procurement Rubric. Both are good outcomes; both close out Volume IV’s central thesis as resolved.</w:t>
      </w:r>
    </w:p>
    <w:p>
      <w:pPr>
        <w:pStyle w:val="Compact"/>
        <w:numPr>
          <w:ilvl w:val="0"/>
          <w:numId w:val="1028"/>
        </w:numPr>
      </w:pPr>
      <w:r>
        <w:rPr>
          <w:b/>
          <w:bCs/>
        </w:rPr>
        <w:t xml:space="preserve">Volume V session candidate?</w:t>
      </w:r>
      <w:r>
        <w:t xml:space="preserve"> </w:t>
      </w:r>
      <w:r>
        <w:t xml:space="preserve">Compute the next zoom level. Three candidate angles: (a) cell-coverage drill on the top-3 promoted candidate bets (Bet-C5 Common Room, Bet-C6 open-spec stewardship, Bet-C9 memory-as-service) at deeper resolution — sub-cell granularity, named-counterparty mapping, contract-template specifics; (b) post-OSWorld K-column deep-dive across the seven functions where computer-use newly deploys; (c) the Bet-C8 deal-diagnosis causation engine NYC startup-watch as a standalone Wave 1 substrate. Default: option (a) if Bet #1 + Bet #2 land cleanly; option (b) if GC1 resolves and the K-column repriced is the bigger story; option (c) only if a credible NYC (6,E) startup emerges to make it material.</w:t>
      </w:r>
    </w:p>
    <w:p>
      <w:r>
        <w:pict>
          <v:rect style="width:0;height:1.5pt" o:hralign="center" o:hrstd="t" o:hr="t"/>
        </w:pict>
      </w:r>
    </w:p>
    <w:p>
      <w:r>
        <w:pict>
          <v:rect style="width:0;height:1.5pt" o:hralign="center" o:hrstd="t" o:hr="t"/>
        </w:pict>
      </w:r>
    </w:p>
    <w:p>
      <w:pPr>
        <w:pStyle w:val="FirstParagraph"/>
      </w:pPr>
      <w:r>
        <w:t xml:space="preserve">Strategy through tactics is now in your head. The next chapter is the artifact you publish. Ninety minutes. Read it as if you are a CIO at JPMorgan being handed it for the first time.</w:t>
      </w:r>
    </w:p>
    <w:p>
      <w:r>
        <w:pict>
          <v:rect style="width:0;height:1.5pt" o:hralign="center" o:hrstd="t" o:hr="t"/>
        </w:pict>
      </w:r>
    </w:p>
    <w:bookmarkEnd w:id="96"/>
    <w:bookmarkEnd w:id="97"/>
    <w:bookmarkStart w:id="98" w:name="X3cb5a6958bae20d6d865ed771a9cd354ef00fb7"/>
    <w:p>
      <w:pPr>
        <w:pStyle w:val="Heading2"/>
      </w:pPr>
      <w:r>
        <w:t xml:space="preserve">Chapter 6 · The AI Vendor Procurement Playbook</w:t>
      </w:r>
    </w:p>
    <w:p>
      <w:pPr>
        <w:pStyle w:val="FirstParagraph"/>
      </w:pPr>
      <w:r>
        <w:t xml:space="preserve">This is the headline deliverable. ~28,000 words. Bet #1 made tangible. The audience is a Fortune 1000 senior buyer-side reader — CIO, CISO, AI Council Chair, Chief Procurement Officer, GC, Chief Architect. The voice is mine — direct, commercial, position-taking. Read this last so you have the matrix + framework + bet context. You will see why §III.5 (Signed Reproducible Eval Reports) is the Bet #1 wedge, not just what it says.</w:t>
      </w:r>
    </w:p>
    <w:p>
      <w:pPr>
        <w:pStyle w:val="BodyText"/>
      </w:pPr>
      <w:r>
        <w:t xml:space="preserve">If you only ever distribute one chapter of this Master Read-Through, distribute Chapter 6. It is the chapter that does the work for an outside reader.</w:t>
      </w:r>
    </w:p>
    <w:p>
      <w:r>
        <w:pict>
          <v:rect style="width:0;height:1.5pt" o:hralign="center" o:hrstd="t" o:hr="t"/>
        </w:pict>
      </w:r>
    </w:p>
    <w:p>
      <w:pPr>
        <w:pStyle w:val="FirstParagraph"/>
      </w:pPr>
      <w:r>
        <w:rPr>
          <w:b/>
          <w:bCs/>
        </w:rPr>
        <w:t xml:space="preserve">How the Fortune 1000 Should Buy AI Agents in 2026</w:t>
      </w:r>
    </w:p>
    <w:p>
      <w:pPr>
        <w:pStyle w:val="BodyText"/>
      </w:pPr>
      <w:r>
        <w:rPr>
          <w:i/>
          <w:iCs/>
        </w:rPr>
        <w:t xml:space="preserve">Author: Alex Yedi</w:t>
      </w:r>
      <w:r>
        <w:t xml:space="preserve"> </w:t>
      </w:r>
      <w:r>
        <w:rPr>
          <w:i/>
          <w:iCs/>
        </w:rPr>
        <w:t xml:space="preserve">Date: May 2026</w:t>
      </w:r>
      <w:r>
        <w:t xml:space="preserve"> </w:t>
      </w:r>
      <w:r>
        <w:rPr>
          <w:i/>
          <w:iCs/>
        </w:rPr>
        <w:t xml:space="preserve">Edition: v1.0</w:t>
      </w:r>
    </w:p>
    <w:p>
      <w:r>
        <w:pict>
          <v:rect style="width:0;height:1.5pt" o:hralign="center" o:hrstd="t" o:hr="t"/>
        </w:pict>
      </w:r>
    </w:p>
    <w:bookmarkEnd w:id="98"/>
    <w:bookmarkStart w:id="99" w:name="section-i-executive-foreword"/>
    <w:p>
      <w:pPr>
        <w:pStyle w:val="Heading2"/>
      </w:pPr>
      <w:r>
        <w:t xml:space="preserve">Section I · Executive Foreword</w:t>
      </w:r>
    </w:p>
    <w:p>
      <w:pPr>
        <w:pStyle w:val="FirstParagraph"/>
      </w:pPr>
      <w:r>
        <w:t xml:space="preserve">If you are a CIO, you are reading this because the AI agents your business sponsors are buying do not pass any of the procurement controls you built between 2014 and 2023. The SOC 2 your vendor proudly references covers their cloud posture. It does not cover the agent’s tool-boundary policy. The DPA you signed in 2022 contemplates a vendor processing your data. It does not contemplate a vendor’s agent writing into your system of record, taking an irreversible action, and being unable to roll it back. You are reading this because between the AI council you set up in 2024 and the vertical-agent vendor your CFO wants to sign next quarter, there is a gap that nobody in your organization is currently equipped to close. This Playbook closes it.</w:t>
      </w:r>
    </w:p>
    <w:p>
      <w:pPr>
        <w:pStyle w:val="BodyText"/>
      </w:pPr>
      <w:r>
        <w:t xml:space="preserve">If you are a CISO, you are reading this because every red-team result a vendor has shown you is run against a public corpus and you cannot tell whether the 99% indirect-prompt-injection detection rate they cite is meaningful or marketing. It is marketing. The adaptive-adversary numbers, when vendors are willing to disclose them, sit between 60% and 80% — and even those are unstable across model versions. You are reading this because Bartz v. Anthropic (the May 2024 fair-use dismissal, the September 2024 reversal, the $1.5B class-settlement framework that crystallized through 2025) and the NYT v. OpenAI proceedings have already re-priced what training-rights and output-ownership clauses cost in dollar terms, and your peers are missing the analogous re-pricing happening on agent-action liability. This Playbook is how you stop missing it.</w:t>
      </w:r>
    </w:p>
    <w:p>
      <w:pPr>
        <w:pStyle w:val="BodyText"/>
      </w:pPr>
      <w:r>
        <w:t xml:space="preserve">If you are an AI Council Chair, you are reading this because the EU AI Act Article 14 human-oversight implementation guidance went to draft in April 2026 and your General Counsel is asking you what it means for the sixty-two AI tools in flight across the business. The honest answer is that for most of those tools — the embedded copilots, the document QA assistants, the retrieval layers — Article 14 changes almost nothing. For the agents that take actions on your behalf, it changes the shape of every contract you have not yet signed. You are reading this because you need a way to separate the two and to write the second into your AI policy without having to re-read the Act twice a week.</w:t>
      </w:r>
    </w:p>
    <w:p>
      <w:pPr>
        <w:pStyle w:val="BodyText"/>
      </w:pPr>
      <w:r>
        <w:t xml:space="preserve">If you are a Chief Procurement Officer, you are reading this because the cycle time from security questionnaire to AI Governance sign-off is now the single longest variable in your AI vendor close-time, your business sponsors are bypassing you when they can, and Vanta’s AI Trust Center is good for compliance posture but does not substitute for the seven overlays. You need a standard that compresses cycle time without compressing rigor. The Playbook is that standard.</w:t>
      </w:r>
    </w:p>
    <w:p>
      <w:pPr>
        <w:pStyle w:val="BodyText"/>
      </w:pPr>
      <w:r>
        <w:t xml:space="preserve">If you are a General Counsel, you are reading this because Air Canada (February 2024) established that a chatbot’s output binds the company contractually. Colorado’s AI Act (May 2024) established personal-injury exposure for high-risk AI decisions. The Bartz settlement framework established that training-data exposure is measured in billions. None of these reshape your existing vendor template. All three reshape the one you are about to sign with Sierra, Decagon, Glean, Harvey, Hippocratic, Augment, Hebbia, or Rogo. You are reading this because the fourteen addenda in Part IV are what you should be inserting into your MSA template before the next vertical-agent renewal.</w:t>
      </w:r>
    </w:p>
    <w:p>
      <w:pPr>
        <w:pStyle w:val="BodyText"/>
      </w:pPr>
      <w:r>
        <w:t xml:space="preserve">If you are a Chief Architect or Head of Enterprise Architecture, you are reading this because the cloud bill from your AI portfolio went non-linear in Q4 2025, your reference architecture does not have an agent-runtime tier, and the OAuth scopes the new vertical-agent vendors are asking for would have been rejected on sight in any non-AI procurement review you have ever run. You are reading this because the agent layer broke the assumption your reference architecture was built on — that vendors call APIs and humans take actions — and the fan-out from a single agent invocation against a misconfigured sub-processor can cost more than your entire 2025 LLM gateway budget in a weekend. The Enterprise Architecture chair is the seventh counterparty in this Playbook, and at F1000 scale it is a distinct sign-off with its own queue and veto. The CIO who treats EA as a sub-function of InfoSec is the CIO who finds out in Q3 2026 that the agent fleet has no per-trajectory cost telemetry, no circuit breakers on sub-agent fan-out, and no published OpenTelemetry GenAI conformance — three problems that should have been caught in Branch 1 of the decision tree, not in the post-mortem.</w:t>
      </w:r>
    </w:p>
    <w:p>
      <w:pPr>
        <w:pStyle w:val="BodyText"/>
      </w:pPr>
      <w:r>
        <w:t xml:space="preserve">This Playbook exists because no incumbent — not Vanta, not Drata, not Secureframe, not OneTrust, not the Big Four — currently ships a canonical, buyer-side, agent-specific procurement standard. There is a Wardley map of the AI agent stack on my desk that places every layer beneath the runtime (sandboxes, browsers, gateways, telephony, TTS) on a clean 24-month commoditization path and every layer above the runtime (eval, observability, guardrails, vertical workflow, procurement controls) at Custom-to-Genesis. Buyer-side procurement controls are the only piece of the picture sitting at Genesis with no flag planted in it. The window to plant the flag is the window before EU AI Act Article 14 enforcement starts in late 2026 and before Anthropic’s ARR resolves at $24B or $30B in Q3 2026 and re-prices the entire vertical-agent valuation stack.</w:t>
      </w:r>
    </w:p>
    <w:p>
      <w:pPr>
        <w:pStyle w:val="BodyText"/>
      </w:pPr>
      <w:r>
        <w:t xml:space="preserve">Read it in this order. If you are a CIO or AI Council Chair, start with Section V (Decision Tree). If you are a CISO, start with Section III (Seven Overlays). If you are a CPO, start with Section VI (Scoring Rubric) and Section II (Seven Counterparties). If you are a GC, start with Section IV (Fourteen Addenda) and Section III.6 (Article 14 Tie-Out). If you are a Chief Architect, start with Section II.7 (Enterprise Architecture) and Section III.4 (Sub-Agent Privilege Separation). The Glossary in Section VII is short because it has to be — you should be able to read every term twice and use them in a vendor call the same week.</w:t>
      </w:r>
    </w:p>
    <w:p>
      <w:pPr>
        <w:pStyle w:val="BodyText"/>
      </w:pPr>
      <w:r>
        <w:t xml:space="preserve">The position this Playbook takes throughout is that agent procurement is not a more permissive SaaS procurement; it is a stricter one with new questions. Vendors will tell you the old questions still work with minor additions. They do not. The seven overlays are not nice-to-haves. They are the questions that separate agent vendors who can survive a regulator subpoena and a class action from agent vendors who will fold the first time a write action runs against the wrong row and a customer sues. Treat them that way.</w:t>
      </w:r>
    </w:p>
    <w:p>
      <w:pPr>
        <w:pStyle w:val="BodyText"/>
      </w:pPr>
      <w:r>
        <w:t xml:space="preserve">A note on what this Playbook is not. It is not a neutral white paper. It takes positions. Vanta’s AI Trust Center is good for posture, not for the seven overlays. Drata’s ISO 42001 readiness mapping is useful for AI Council documentation, not for an Article 14 tie-out. The Big Four AI risk frameworks are competent on theory and weak on the named-vendor reads buyers actually need before signing a contract this quarter. The vertical-agent leaders — Sierra, Decagon, Glean, Harvey, Hippocratic, Hebbia, Rogo — are named and graded. The synthetic-SDR category is named as a cautionary pattern. The horizontal incumbents (OpenAI, Anthropic, Google) are graded on what their enterprise contracts actually contain in May 2026, not on what their marketing claims. If you wanted neutrality, you would buy a Gartner subscription. This is the artifact you read when you have already bought the Gartner subscription and it is not closing the gap.</w:t>
      </w:r>
    </w:p>
    <w:p>
      <w:r>
        <w:pict>
          <v:rect style="width:0;height:1.5pt" o:hralign="center" o:hrstd="t" o:hr="t"/>
        </w:pict>
      </w:r>
    </w:p>
    <w:bookmarkEnd w:id="99"/>
    <w:bookmarkStart w:id="108" w:name="section-ii-the-seven-counterparties"/>
    <w:p>
      <w:pPr>
        <w:pStyle w:val="Heading2"/>
      </w:pPr>
      <w:r>
        <w:t xml:space="preserve">Section II · The Seven Counterparties</w:t>
      </w:r>
    </w:p>
    <w:p>
      <w:pPr>
        <w:pStyle w:val="FirstParagraph"/>
      </w:pPr>
      <w:r>
        <w:t xml:space="preserve">Every F1000 AI-agent procurement runs through seven chairs. The standard</w:t>
      </w:r>
      <w:r>
        <w:t xml:space="preserve"> </w:t>
      </w:r>
      <w:r>
        <w:t xml:space="preserve">“six approver”</w:t>
      </w:r>
      <w:r>
        <w:t xml:space="preserve"> </w:t>
      </w:r>
      <w:r>
        <w:t xml:space="preserve">model under-counts at F1000 specifically — the seventh, Enterprise Architecture / IT Ops, folds into InfoSec or Procurement at sub-$10B but at F1000 scale is a distinct sign-off with its own queue and its own veto. EA owns the cloud bill (unbounded trajectory cost is an EA problem, not an InfoSec one). It owns the reference architecture (vendors that demand non-conformant identity, observability, or runtime get blocked here). It owns the identity fabric and the OAuth blast radius. It owns on-call and operability. It owns capacity. Treat it as the seventh chair from day one or you will discover it as the eighth-week blocker.</w:t>
      </w:r>
    </w:p>
    <w:p>
      <w:pPr>
        <w:pStyle w:val="BodyText"/>
      </w:pPr>
      <w:r>
        <w:t xml:space="preserve">The seven chairs sit in this order: InfoSec, Legal, Privacy, AI Governance Council, Procurement, Business Sponsor, Enterprise Architecture. Each chapter that follows carries the same nine attributes — who they are, what they evaluate, what they reject for, review-cycle duration, artifacts required, new AI-specific concerns, escalation and blocker dynamics, three verbatim 2026 questions, and a vendor tactical guide. Read the chapter that owns your chair first. Then read the chair sitting next to you in the deal — the one whose turn comes next, the one whose veto kills your timeline if you missed it.</w:t>
      </w:r>
    </w:p>
    <w:p>
      <w:pPr>
        <w:pStyle w:val="BodyText"/>
      </w:pPr>
      <w:r>
        <w:t xml:space="preserve">A framing instruction for every chapter that follows.</w:t>
      </w:r>
      <w:r>
        <w:t xml:space="preserve"> </w:t>
      </w:r>
      <w:r>
        <w:rPr>
          <w:i/>
          <w:iCs/>
        </w:rPr>
        <w:t xml:space="preserve">If you are this counterparty, this chapter is for you. If you are the vendor selling to them, this is what they will not say but always think.</w:t>
      </w:r>
    </w:p>
    <w:p>
      <w:r>
        <w:pict>
          <v:rect style="width:0;height:1.5pt" o:hralign="center" o:hrstd="t" o:hr="t"/>
        </w:pict>
      </w:r>
    </w:p>
    <w:bookmarkStart w:id="100" w:name="Xe42c56763c4e34c4df13fee3f2ca1e0c65ee266"/>
    <w:p>
      <w:pPr>
        <w:pStyle w:val="Heading3"/>
      </w:pPr>
      <w:r>
        <w:t xml:space="preserve">Chapter II.1 — InfoSec (CISO / Security Architecture / GRC)</w:t>
      </w:r>
    </w:p>
    <w:p>
      <w:pPr>
        <w:pStyle w:val="FirstParagraph"/>
      </w:pPr>
      <w:r>
        <w:t xml:space="preserve">If you are the CISO, this chapter is your seat at the table. If you are the vendor selling to them, this chapter is the silent question every Security Architect is grading you on while the AE is talking.</w:t>
      </w:r>
    </w:p>
    <w:p>
      <w:pPr>
        <w:pStyle w:val="BodyText"/>
      </w:pPr>
      <w:r>
        <w:rPr>
          <w:b/>
          <w:bCs/>
        </w:rPr>
        <w:t xml:space="preserve">Who they are.</w:t>
      </w:r>
      <w:r>
        <w:t xml:space="preserve"> </w:t>
      </w:r>
      <w:r>
        <w:t xml:space="preserve">The CISO reports to the CIO at roughly 55% of F1000, to the CEO at 25%, and to the CRO, CFO, or GC at the remaining 20% — the post-Yahoo, post-Uber, post-SolarWinds independent-CISO pattern that hardened through the late 2010s and never reversed. For agent procurement specifically, the load-bearing seat is not the CISO themselves but Security Architecture. They decide whether the proposed architecture is acceptable in principle before GRC ever processes the questionnaire paperwork. A vendor who wins the architecture review wins the InfoSec lane in fewer cycles than the vendor who wins the questionnaire.</w:t>
      </w:r>
    </w:p>
    <w:p>
      <w:pPr>
        <w:pStyle w:val="BodyText"/>
      </w:pPr>
      <w:r>
        <w:rPr>
          <w:b/>
          <w:bCs/>
        </w:rPr>
        <w:t xml:space="preserve">What they actually evaluate.</w:t>
      </w:r>
      <w:r>
        <w:t xml:space="preserve"> </w:t>
      </w:r>
      <w:r>
        <w:t xml:space="preserve">Not</w:t>
      </w:r>
      <w:r>
        <w:t xml:space="preserve"> </w:t>
      </w:r>
      <w:r>
        <w:t xml:space="preserve">“is the vendor SOC 2.”</w:t>
      </w:r>
      <w:r>
        <w:t xml:space="preserve"> </w:t>
      </w:r>
      <w:r>
        <w:t xml:space="preserve">SOC 2 is the floor and every credible vendor clears it. The agent-era questions are: what is the trust boundary between vendor runtime and our data plane; what tools, MCP servers, and APIs can the agent invoke, on whose authority, with what credentials; what is the blast radius if a prompt injection succeeds; what is the rollback story for wrong actions; what does the tamper-evident trajectory log look like and can it be exported into our SIEM; can the vendor run in our VPC, our tenancy, with our customer-managed keys; and what is the foundation-model dependency chain underneath all of it. Every one of these questions is new since 2022. None of them are answered by a clean SOC 2.</w:t>
      </w:r>
    </w:p>
    <w:p>
      <w:pPr>
        <w:pStyle w:val="BodyText"/>
      </w:pPr>
      <w:r>
        <w:rPr>
          <w:b/>
          <w:bCs/>
        </w:rPr>
        <w:t xml:space="preserve">What they will reject for.</w:t>
      </w:r>
      <w:r>
        <w:t xml:space="preserve"> </w:t>
      </w:r>
      <w:r>
        <w:t xml:space="preserve">Five hard lines as of May 2026. First, unbounded tool scope with no documented tool-boundary policy. Second, no tamper-evident audit log meeting the buyer’s 1-to-7-year retention floor. Third, shared-tenancy inference for regulated data. Fourth, no documented indirect-prompt-injection defense — post-Microsoft Copilot Studio prompt-injection demonstrations at Black Hat 2024 and the EchoLeak class disclosures of 2025, this is not a soft question any more. Fifth, the vendor cannot answer</w:t>
      </w:r>
      <w:r>
        <w:t xml:space="preserve"> </w:t>
      </w:r>
      <w:r>
        <w:t xml:space="preserve">“what happens if your foundation-model provider has an outage, an update, or a vulnerability.”</w:t>
      </w:r>
      <w:r>
        <w:t xml:space="preserve"> </w:t>
      </w:r>
      <w:r>
        <w:t xml:space="preserve">Every CISO in the F1000 lives in the shadow of CrowdStrike (July 2024); none of them are signing for an agent vendor whose answer to a foundation-model supply-chain disruption is</w:t>
      </w:r>
      <w:r>
        <w:t xml:space="preserve"> </w:t>
      </w:r>
      <w:r>
        <w:t xml:space="preserve">“we’ll figure it out.”</w:t>
      </w:r>
    </w:p>
    <w:p>
      <w:pPr>
        <w:pStyle w:val="BodyText"/>
      </w:pPr>
      <w:r>
        <w:rPr>
          <w:b/>
          <w:bCs/>
        </w:rPr>
        <w:t xml:space="preserve">Review cycle.</w:t>
      </w:r>
      <w:r>
        <w:t xml:space="preserve"> </w:t>
      </w:r>
      <w:r>
        <w:t xml:space="preserve">Questionnaire turnaround sits at 4–8 weeks. Architecture review at 2–6 weeks. Pen-test review at 4–12 weeks, and longer when the buyer’s testing partner has not previously assessed an agent runtime of this shape. Total time-in-queue for InfoSec at F1000 in 2026:</w:t>
      </w:r>
      <w:r>
        <w:t xml:space="preserve"> </w:t>
      </w:r>
      <w:r>
        <w:rPr>
          <w:b/>
          <w:bCs/>
        </w:rPr>
        <w:t xml:space="preserve">10–20 weeks</w:t>
      </w:r>
      <w:r>
        <w:t xml:space="preserve">, with the upper bound applying to FSI and healthcare buyers. Vendors who model their close cycles on a 6-week SOC 2 review are pricing in a fiction.</w:t>
      </w:r>
    </w:p>
    <w:p>
      <w:pPr>
        <w:pStyle w:val="BodyText"/>
      </w:pPr>
      <w:r>
        <w:rPr>
          <w:b/>
          <w:bCs/>
        </w:rPr>
        <w:t xml:space="preserve">Artifacts required.</w:t>
      </w:r>
      <w:r>
        <w:t xml:space="preserve"> </w:t>
      </w:r>
      <w:r>
        <w:t xml:space="preserve">The legacy stack — SOC 2 Type II current and unqualified, ISO 27001 if EU-exposed, completed SIG / CAIQ / HECVAT, third-party pen-test conducted within the last 12 months — is necessary but no longer sufficient. The AI-specific stack adds: model card, signed eval report, red-team report (with adaptive-adversary methodology named), indirect-prompt-injection attestation, tool-boundary policy document, sub-agent privilege model, kill-switch documentation, sub-processor list with foundation-model providers explicitly named, and a foundation-model fallback plan. The vendor that ships seven of these nine artifacts in the Trust Center on day one closes the InfoSec lane in 8 weeks. The vendor that ships three of nine closes in 18.</w:t>
      </w:r>
    </w:p>
    <w:p>
      <w:pPr>
        <w:pStyle w:val="BodyText"/>
      </w:pPr>
      <w:r>
        <w:rPr>
          <w:b/>
          <w:bCs/>
        </w:rPr>
        <w:t xml:space="preserve">New AI-specific concerns.</w:t>
      </w:r>
      <w:r>
        <w:t xml:space="preserve"> </w:t>
      </w:r>
      <w:r>
        <w:t xml:space="preserve">Indirect prompt injection from data ingested through tools, documents, retrieved context, or MCP server returns. Tool-boundary enforcement at runtime, not at config time — the difference between a vendor who has thought about this and a vendor who has not is whether the enforcement survives a redeploy. Sub-agent privilege escalation in multi-agent architectures. Foundation-model supply chain risk: deprecation, drift, outage, and the security-vulnerability disclosure pattern when the underlying lab issues a CVE. Trajectory log integrity — a log a determined adversary can rewrite is not an audit log.</w:t>
      </w:r>
    </w:p>
    <w:p>
      <w:pPr>
        <w:pStyle w:val="BodyText"/>
      </w:pPr>
      <w:r>
        <w:rPr>
          <w:b/>
          <w:bCs/>
        </w:rPr>
        <w:t xml:space="preserve">Escalation and blocker dynamics.</w:t>
      </w:r>
      <w:r>
        <w:t xml:space="preserve"> </w:t>
      </w:r>
      <w:r>
        <w:t xml:space="preserve">The CISO escalates to the CIO, the CRO, or the board risk committee. Override pathways exist when a business sponsor has explicit CEO air-cover for a strategic gap (Sierra into CX, Harvey into a top-tier law firm) or when the GC has accepted contractual risk transfer in writing. Override is rare and effectively unavailable on FedRAMP, HIPAA, and FFIEC floors — those are statutory, not negotiable.</w:t>
      </w:r>
    </w:p>
    <w:p>
      <w:pPr>
        <w:pStyle w:val="BodyText"/>
      </w:pPr>
      <w:r>
        <w:rPr>
          <w:b/>
          <w:bCs/>
        </w:rPr>
        <w:t xml:space="preserve">Three questions a CISO will ask in 2026, verbatim.</w:t>
      </w:r>
    </w:p>
    <w:p>
      <w:pPr>
        <w:pStyle w:val="Compact"/>
        <w:numPr>
          <w:ilvl w:val="0"/>
          <w:numId w:val="1029"/>
        </w:numPr>
      </w:pPr>
      <w:r>
        <w:rPr>
          <w:i/>
          <w:iCs/>
        </w:rPr>
        <w:t xml:space="preserve">“Walk me through your tool-boundary policy. What can your agent call, on whose authority, enforced at runtime — not config time.”</w:t>
      </w:r>
    </w:p>
    <w:p>
      <w:pPr>
        <w:pStyle w:val="Compact"/>
        <w:numPr>
          <w:ilvl w:val="0"/>
          <w:numId w:val="1029"/>
        </w:numPr>
      </w:pPr>
      <w:r>
        <w:rPr>
          <w:i/>
          <w:iCs/>
        </w:rPr>
        <w:t xml:space="preserve">“Show me your indirect-prompt-injection defense — adaptive-adversary red-team report, not a benchmark — and the refresh cadence.”</w:t>
      </w:r>
    </w:p>
    <w:p>
      <w:pPr>
        <w:pStyle w:val="Compact"/>
        <w:numPr>
          <w:ilvl w:val="0"/>
          <w:numId w:val="1029"/>
        </w:numPr>
      </w:pPr>
      <w:r>
        <w:rPr>
          <w:i/>
          <w:iCs/>
        </w:rPr>
        <w:t xml:space="preserve">“If your foundation-model provider issues a model update tomorrow, what happens to our deployment, what notice do we get, and what is our right to pin and to test.”</w:t>
      </w:r>
    </w:p>
    <w:p>
      <w:pPr>
        <w:pStyle w:val="FirstParagraph"/>
      </w:pPr>
      <w:r>
        <w:rPr>
          <w:b/>
          <w:bCs/>
        </w:rPr>
        <w:t xml:space="preserve">Vendor tactical guide.</w:t>
      </w:r>
      <w:r>
        <w:t xml:space="preserve"> </w:t>
      </w:r>
      <w:r>
        <w:t xml:space="preserve">Ship a Trust Center that contains: completed CAIQ, completed SIG, current model card, signed reproducible eval report, red-team summary with named methodology, prompt-injection attestation, sub-processor list with foundation-model providers named, and a one-page architecture diagram with the trust boundary explicit. Date everything. Volunteer buyer’s-VPC deployment as a first-class tier in the first conversation, not the third. Bring a security engineer to the second meeting. Do not lead with the GRC team — Security Architecture wants to talk to an engineer who can answer</w:t>
      </w:r>
      <w:r>
        <w:t xml:space="preserve"> </w:t>
      </w:r>
      <w:r>
        <w:t xml:space="preserve">“how does the executor sub-agent get its credentials”</w:t>
      </w:r>
      <w:r>
        <w:t xml:space="preserve"> </w:t>
      </w:r>
      <w:r>
        <w:t xml:space="preserve">without consulting a slide.</w:t>
      </w:r>
    </w:p>
    <w:p>
      <w:r>
        <w:pict>
          <v:rect style="width:0;height:1.5pt" o:hralign="center" o:hrstd="t" o:hr="t"/>
        </w:pict>
      </w:r>
    </w:p>
    <w:bookmarkEnd w:id="100"/>
    <w:bookmarkStart w:id="101" w:name="X39d36ae5229f5210ec11defe8446a60acf9df0f"/>
    <w:p>
      <w:pPr>
        <w:pStyle w:val="Heading3"/>
      </w:pPr>
      <w:r>
        <w:t xml:space="preserve">Chapter II.2 — Legal (GC / Commercial Counsel / IP)</w:t>
      </w:r>
    </w:p>
    <w:p>
      <w:pPr>
        <w:pStyle w:val="FirstParagraph"/>
      </w:pPr>
      <w:r>
        <w:t xml:space="preserve">If you are the GC, this chapter is your seat. If you are the vendor selling to them, this chapter is the redline you cannot bluff your way through and the indemnity stack the AE was hoping you would not ask about.</w:t>
      </w:r>
    </w:p>
    <w:p>
      <w:pPr>
        <w:pStyle w:val="BodyText"/>
      </w:pPr>
      <w:r>
        <w:rPr>
          <w:b/>
          <w:bCs/>
        </w:rPr>
        <w:t xml:space="preserve">Who they are.</w:t>
      </w:r>
      <w:r>
        <w:t xml:space="preserve"> </w:t>
      </w:r>
      <w:r>
        <w:t xml:space="preserve">The GC reports to the CEO and to the board’s audit or governance committee. Below the GC sit Commercial Counsel (who run the MSA, DPA, and order form), IP Counsel (who run training-data and output-ownership posture), and Litigation Counsel (who run indemnity, liability, and the agent-action carve-outs). The seat that did not exist in 2022 and is now standard at F1000 is</w:t>
      </w:r>
      <w:r>
        <w:t xml:space="preserve"> </w:t>
      </w:r>
      <w:r>
        <w:rPr>
          <w:b/>
          <w:bCs/>
        </w:rPr>
        <w:t xml:space="preserve">AI-dedicated counsel</w:t>
      </w:r>
      <w:r>
        <w:t xml:space="preserve"> </w:t>
      </w:r>
      <w:r>
        <w:t xml:space="preserve">— often a senior Commercial Counsel cross-trained on the AI act stack, or a hire from the AI practice groups at Cooley, Wilson Sonsini, Latham, or Morrison Foerster. If you are a vendor and your buyer’s GC has hired AI-dedicated counsel, the redlines you receive will be denser, the indemnity asks will be sharper, and the cycle will be longer. That is correct behavior on the buyer side.</w:t>
      </w:r>
    </w:p>
    <w:p>
      <w:pPr>
        <w:pStyle w:val="BodyText"/>
      </w:pPr>
      <w:r>
        <w:rPr>
          <w:b/>
          <w:bCs/>
        </w:rPr>
        <w:t xml:space="preserve">What they evaluate.</w:t>
      </w:r>
      <w:r>
        <w:t xml:space="preserve"> </w:t>
      </w:r>
      <w:r>
        <w:t xml:space="preserve">Liability allocation for both agent actions and agent outputs (these are different categories and the modern template treats them separately). Ownership of inputs, outputs, and any derived data. Indemnity scope across hallucination, IP infringement, and third-party-content exposure. Audit, pause, and terminate rights. Exit and data-portability obligations. Sub-processor visibility, with the foundation-model provider named explicitly. Insurance floors, including AI-specific tower coverage above a $1M ARR threshold. And the agent-specific carve-outs — the line items that did not appear in any 2022 vendor template and now appear in every credible 2026 one.</w:t>
      </w:r>
    </w:p>
    <w:p>
      <w:pPr>
        <w:pStyle w:val="BodyText"/>
      </w:pPr>
      <w:r>
        <w:rPr>
          <w:b/>
          <w:bCs/>
        </w:rPr>
        <w:t xml:space="preserve">What they will reject for.</w:t>
      </w:r>
      <w:r>
        <w:t xml:space="preserve"> </w:t>
      </w:r>
      <w:r>
        <w:t xml:space="preserve">Five hard lines, each with a precedent. First, hallucination liability disclaimed entirely — post-</w:t>
      </w:r>
      <w:r>
        <w:rPr>
          <w:i/>
          <w:iCs/>
        </w:rPr>
        <w:t xml:space="preserve">Moffatt v. Air Canada</w:t>
      </w:r>
      <w:r>
        <w:t xml:space="preserve"> </w:t>
      </w:r>
      <w:r>
        <w:t xml:space="preserve">(BC CRT, February 2024), the</w:t>
      </w:r>
      <w:r>
        <w:t xml:space="preserve"> </w:t>
      </w:r>
      <w:r>
        <w:t xml:space="preserve">“the chatbot is a separate legal entity”</w:t>
      </w:r>
      <w:r>
        <w:t xml:space="preserve"> </w:t>
      </w:r>
      <w:r>
        <w:t xml:space="preserve">theory is the bad case study every GC cites; they want the vendor on the hook. Second, output-ownership ambiguity or vendor refusal to disclaim training rights — post-Bartz v. Anthropic (the August 2024 ruling and the $1.5B class-settlement framework that crystallized through 2025) and the consolidated NYT v. OpenAI / Microsoft litigation. Third, indemnity caps below the AI-specific floor: a $1M aggregate cap on $250K ARR was acceptable in 2022; in 2026 AI indemnity needs at least 2x ARR with separate carve-outs for hallucination, IP, and agent-action exposure. Fourth, no model-change notification — post the GPT-4 to GPT-4-Turbo behavior drift episode and the Claude 3.5 → 3.6 → 3.7 sequence, every credible GC wants 30-to-90-day notice and a pinning right. Fifth, the foundation-model sub-processor is not disclosed — the DPA fails Privacy review, and the contract fails Legal review for the same reason.</w:t>
      </w:r>
    </w:p>
    <w:p>
      <w:pPr>
        <w:pStyle w:val="BodyText"/>
      </w:pPr>
      <w:r>
        <w:rPr>
          <w:b/>
          <w:bCs/>
        </w:rPr>
        <w:t xml:space="preserve">Review cycle.</w:t>
      </w:r>
      <w:r>
        <w:t xml:space="preserve"> </w:t>
      </w:r>
      <w:r>
        <w:t xml:space="preserve">First redline at 2–4 weeks. Negotiation rounds at 2–5, against the 1–2 you would expect for traditional SaaS. Total time-in-queue for Legal at F1000 in 2026:</w:t>
      </w:r>
      <w:r>
        <w:t xml:space="preserve"> </w:t>
      </w:r>
      <w:r>
        <w:rPr>
          <w:b/>
          <w:bCs/>
        </w:rPr>
        <w:t xml:space="preserve">8–16 weeks</w:t>
      </w:r>
      <w:r>
        <w:t xml:space="preserve">. The vendor whose AE promises the GC will sign in two weeks is the vendor who has not actually been through an F1000 AI legal review.</w:t>
      </w:r>
    </w:p>
    <w:p>
      <w:pPr>
        <w:pStyle w:val="BodyText"/>
      </w:pPr>
      <w:r>
        <w:rPr>
          <w:b/>
          <w:bCs/>
        </w:rPr>
        <w:t xml:space="preserve">Artifacts required.</w:t>
      </w:r>
      <w:r>
        <w:t xml:space="preserve"> </w:t>
      </w:r>
      <w:r>
        <w:t xml:space="preserve">Master Services Agreement, Data Processing Addendum, AI Addendum (the 2024–2026 hardening documented in Section IV), Business Associate Agreement if PHI is in scope, sub-processor list with foundation-model providers named, insurance certificates (E&amp;O, cyber, and an AI-specific tower if ARR exceeds $1M), indemnity-backing evidence, the order form, the SLA exhibit, and third-party content licenses (post-NYT v. OpenAI). The vendor who arrives at the legal review with these artifacts pre-staged closes legal in 8 weeks. The vendor who treats each as a custom redline closes in 16, and signals to the GC that they have not done this before.</w:t>
      </w:r>
    </w:p>
    <w:p>
      <w:pPr>
        <w:pStyle w:val="BodyText"/>
      </w:pPr>
      <w:r>
        <w:rPr>
          <w:b/>
          <w:bCs/>
        </w:rPr>
        <w:t xml:space="preserve">New AI-specific concerns.</w:t>
      </w:r>
      <w:r>
        <w:t xml:space="preserve"> </w:t>
      </w:r>
      <w:r>
        <w:t xml:space="preserve">Agent-action liability — autonomous email send, autonomous ticket close, autonomous refund issued, autonomous return processed — distinct from hallucination liability and demanding its own indemnity carve-out. Training-data provenance, with documented chain-of-custody back to the underlying corpus. Output ownership and derivative-work risk in the wake of Getty v. Stability AI (2023–2025) and the music-industry suits. Model-update notice and pinning rights. Termination and exit-data rights covering persistent agent memory, trajectory logs, and any fine-tuned adapters trained on the buyer’s data.</w:t>
      </w:r>
    </w:p>
    <w:p>
      <w:pPr>
        <w:pStyle w:val="BodyText"/>
      </w:pPr>
      <w:r>
        <w:rPr>
          <w:b/>
          <w:bCs/>
        </w:rPr>
        <w:t xml:space="preserve">Escalation and blocker dynamics.</w:t>
      </w:r>
      <w:r>
        <w:t xml:space="preserve"> </w:t>
      </w:r>
      <w:r>
        <w:t xml:space="preserve">The GC escalates to the CEO or to the board audit committee. Override pathways exist when the sponsor has explicit board air-cover, when the deal is below the GC escalation floor (typically $250K–$1M ARR), or when Procurement and InfoSec have already cleared and Legal is the last gate at quarter-end. Override is rare and effectively unavailable on indemnity floors or sub-processor disclosure — both are board-reported risk lines.</w:t>
      </w:r>
    </w:p>
    <w:p>
      <w:pPr>
        <w:pStyle w:val="BodyText"/>
      </w:pPr>
      <w:r>
        <w:rPr>
          <w:b/>
          <w:bCs/>
        </w:rPr>
        <w:t xml:space="preserve">Three questions a GC will ask in 2026, verbatim.</w:t>
      </w:r>
    </w:p>
    <w:p>
      <w:pPr>
        <w:pStyle w:val="Compact"/>
        <w:numPr>
          <w:ilvl w:val="0"/>
          <w:numId w:val="1030"/>
        </w:numPr>
      </w:pPr>
      <w:r>
        <w:rPr>
          <w:i/>
          <w:iCs/>
        </w:rPr>
        <w:t xml:space="preserve">“Walk me through your indemnity stack. Cap on IP infringement, cap on hallucination, cap on agent action, and the insurance tower backing it.”</w:t>
      </w:r>
    </w:p>
    <w:p>
      <w:pPr>
        <w:pStyle w:val="Compact"/>
        <w:numPr>
          <w:ilvl w:val="0"/>
          <w:numId w:val="1030"/>
        </w:numPr>
      </w:pPr>
      <w:r>
        <w:rPr>
          <w:i/>
          <w:iCs/>
        </w:rPr>
        <w:t xml:space="preserve">“Show me the AI Addendum. Training-data carve-out, model-update notice, output ownership, kill-switch rights, termination-data rights.”</w:t>
      </w:r>
    </w:p>
    <w:p>
      <w:pPr>
        <w:pStyle w:val="Compact"/>
        <w:numPr>
          <w:ilvl w:val="0"/>
          <w:numId w:val="1030"/>
        </w:numPr>
      </w:pPr>
      <w:r>
        <w:rPr>
          <w:i/>
          <w:iCs/>
        </w:rPr>
        <w:t xml:space="preserve">“Who is your foundation-model sub-processor, and your contingency if their terms change against you mid-contract.”</w:t>
      </w:r>
    </w:p>
    <w:p>
      <w:pPr>
        <w:pStyle w:val="FirstParagraph"/>
      </w:pPr>
      <w:r>
        <w:rPr>
          <w:b/>
          <w:bCs/>
        </w:rPr>
        <w:t xml:space="preserve">Vendor tactical guide.</w:t>
      </w:r>
      <w:r>
        <w:t xml:space="preserve"> </w:t>
      </w:r>
      <w:r>
        <w:t xml:space="preserve">Publish a public AI Addendum with buyer-favorable defaults pre-baked: no training on customer data, output ownership to customer, model-update notice with pinning rights, foundation-model providers named, indemnity stack disclosed in tabular form. Pre-clear a BAA if you sell into healthcare. Volunteer insurance-tower disclosure before the GC asks. Do not redline standard EU SCCs out of the customer’s DPA — that signals you are not EU-ready and the GC will read it as exactly that. Do not negotiate hallucination indemnity to zero; the modern landing zone is 1–2x ARR carve-out separate from the general cap, and a vendor who fights this signals they intend to leave the buyer holding the Air Canada bag.</w:t>
      </w:r>
    </w:p>
    <w:p>
      <w:r>
        <w:pict>
          <v:rect style="width:0;height:1.5pt" o:hralign="center" o:hrstd="t" o:hr="t"/>
        </w:pict>
      </w:r>
    </w:p>
    <w:bookmarkEnd w:id="101"/>
    <w:bookmarkStart w:id="102" w:name="Xe9bbd86f605ff4a7209b6b1c511af3735379d5d"/>
    <w:p>
      <w:pPr>
        <w:pStyle w:val="Heading3"/>
      </w:pPr>
      <w:r>
        <w:t xml:space="preserve">Chapter II.3 — Privacy (CPO / DPO / Privacy Counsel)</w:t>
      </w:r>
    </w:p>
    <w:p>
      <w:pPr>
        <w:pStyle w:val="FirstParagraph"/>
      </w:pPr>
      <w:r>
        <w:t xml:space="preserve">If you are the CPO or the DPO, this chapter is your seat. If you are the vendor selling to them, this chapter is the contextual-integrity question your AE has never been asked and the surgical-deletion SLA your engineering team has never been asked to commit to.</w:t>
      </w:r>
    </w:p>
    <w:p>
      <w:pPr>
        <w:pStyle w:val="BodyText"/>
      </w:pPr>
      <w:r>
        <w:rPr>
          <w:b/>
          <w:bCs/>
        </w:rPr>
        <w:t xml:space="preserve">Who they are.</w:t>
      </w:r>
      <w:r>
        <w:t xml:space="preserve"> </w:t>
      </w:r>
      <w:r>
        <w:t xml:space="preserve">The CPO reports to the GC at roughly 60% of F1000, to the CISO at 20%, and to the CEO or CRO at 20%. The DPO is statutorily required for any organization processing EU personal data at scale (GDPR Article 37) and has independent statutory protection that no F1000 GC can override. Below the CPO sit Privacy Counsel (DPIA, cross-border transfers), Privacy Engineering (consent, data-subject-rights tooling, deletion mechanisms), and AI Ethics seats embedded either in privacy or on the AI Council.</w:t>
      </w:r>
    </w:p>
    <w:p>
      <w:pPr>
        <w:pStyle w:val="BodyText"/>
      </w:pPr>
      <w:r>
        <w:rPr>
          <w:b/>
          <w:bCs/>
        </w:rPr>
        <w:t xml:space="preserve">What they evaluate.</w:t>
      </w:r>
      <w:r>
        <w:t xml:space="preserve"> </w:t>
      </w:r>
      <w:r>
        <w:t xml:space="preserve">What personal data does the agent ingest, with what lawful basis, retained for how long, processed in which jurisdictions. What is the controller / processor split. What is the data-subject-rights story across access, deletion, portability, and Article 22 objection. What is the cross-border transfer mechanism — Standard Contractual Clauses, an adequacy decision, or the EU-US Data Privacy Framework. Does the agent make automated decisions about EU subjects under Article 22 (or about California subjects under the November 2025 ADMT rule). Is special-category data under GDPR Article 9 in scope, and on what documented basis. Is the DPIA done, and does it name agent-specific risks. For agents specifically, the new lens is</w:t>
      </w:r>
      <w:r>
        <w:t xml:space="preserve"> </w:t>
      </w:r>
      <w:r>
        <w:rPr>
          <w:b/>
          <w:bCs/>
        </w:rPr>
        <w:t xml:space="preserve">contextual integrity</w:t>
      </w:r>
      <w:r>
        <w:t xml:space="preserve"> </w:t>
      </w:r>
      <w:r>
        <w:t xml:space="preserve">in the Helen Nissenbaum sense — does data collected in the sales context end up routed through an HR or compliance workflow, and is the data subject’s reasonable expectation honored across the agent’s tool surface.</w:t>
      </w:r>
    </w:p>
    <w:p>
      <w:pPr>
        <w:pStyle w:val="BodyText"/>
      </w:pPr>
      <w:r>
        <w:rPr>
          <w:b/>
          <w:bCs/>
        </w:rPr>
        <w:t xml:space="preserve">What they will reject for.</w:t>
      </w:r>
      <w:r>
        <w:t xml:space="preserve"> </w:t>
      </w:r>
      <w:r>
        <w:t xml:space="preserve">Five hard lines. First, no DPIA or one that does not name agent-specific risks (persistent memory, indirect injection, sub-agent privilege, foundation-model training-set exposure). Second, cross-border transfer with no clean Schrems II-compliant mechanism. Third, training on EU personal data without lawful basis — the Italian Garante’s ChatGPT order (March 2023) is the precedent and every European Privacy Counsel cites it. Fourth, no surgical-deletion mechanism for data-subject erasure across the agent’s persistent memory, trajectory logs, and any fine-tuned weights, with completion within GDPR’s 30-day clock. Fifth, special-category data routed through the agent without documented basis — health, biometric, sexual-orientation, political-opinion, religious data hitting the same agent runtime as ordinary customer-support data is a rejection signal, not a flag.</w:t>
      </w:r>
    </w:p>
    <w:p>
      <w:pPr>
        <w:pStyle w:val="BodyText"/>
      </w:pPr>
      <w:r>
        <w:rPr>
          <w:b/>
          <w:bCs/>
        </w:rPr>
        <w:t xml:space="preserve">Review cycle.</w:t>
      </w:r>
      <w:r>
        <w:t xml:space="preserve"> </w:t>
      </w:r>
      <w:r>
        <w:t xml:space="preserve">DPIA review at 3–6 weeks. Cross-border transfer review at 2–4 weeks. Total time-in-queue for Privacy at F1000 in 2026:</w:t>
      </w:r>
      <w:r>
        <w:t xml:space="preserve"> </w:t>
      </w:r>
      <w:r>
        <w:rPr>
          <w:b/>
          <w:bCs/>
        </w:rPr>
        <w:t xml:space="preserve">6–12 weeks</w:t>
      </w:r>
      <w:r>
        <w:t xml:space="preserve">, with the upper bound applying to healthcare buyers, public-sector buyers, and EU-headquartered buyers who treat the DPO function with statutory weight.</w:t>
      </w:r>
    </w:p>
    <w:p>
      <w:pPr>
        <w:pStyle w:val="BodyText"/>
      </w:pPr>
      <w:r>
        <w:rPr>
          <w:b/>
          <w:bCs/>
        </w:rPr>
        <w:t xml:space="preserve">Artifacts required.</w:t>
      </w:r>
      <w:r>
        <w:t xml:space="preserve"> </w:t>
      </w:r>
      <w:r>
        <w:t xml:space="preserve">DPA with the buyer’s preferred SCCs (do not negotiate the SCC text itself; negotiate the supplementary measures). A DPIA template completed for the buyer’s specific use-case, not a generic vendor template. The sub-processor list with foundation-model providers named explicitly. A data-flow diagram showing what crosses which border. A retention schedule per data category. The data-subject-rights process documented, with a named SLA. Technical and Organizational Measures (TOMs) annex.</w:t>
      </w:r>
    </w:p>
    <w:p>
      <w:pPr>
        <w:pStyle w:val="BodyText"/>
      </w:pPr>
      <w:r>
        <w:rPr>
          <w:b/>
          <w:bCs/>
        </w:rPr>
        <w:t xml:space="preserve">New AI-specific concerns.</w:t>
      </w:r>
      <w:r>
        <w:t xml:space="preserve"> </w:t>
      </w:r>
      <w:r>
        <w:t xml:space="preserve">Persistent agent memory and the right to be forgotten — the question</w:t>
      </w:r>
      <w:r>
        <w:t xml:space="preserve"> </w:t>
      </w:r>
      <w:r>
        <w:t xml:space="preserve">“where does the deletion request actually propagate, and within what window”</w:t>
      </w:r>
      <w:r>
        <w:t xml:space="preserve"> </w:t>
      </w:r>
      <w:r>
        <w:t xml:space="preserve">did not exist in 2022 and is now load-bearing. Inference-time data leakage — the foundation-model provider sees the prompts; the prompts may leave the region; the prompts may be retained in vendor logs even if the foundation-model provider commits to no training. Contextual integrity across the agent’s tool surface, with explicit attention to whether sales-channel data ends up in an HR-channel inference. Article 22 automated-decision-making conformance, and the parallel CCPA ADMT rule that became effective in November 2025. EU AI Act Article 14 human-oversight tie-out, which Privacy increasingly co-owns with the AI Council in F1000 organizations.</w:t>
      </w:r>
    </w:p>
    <w:p>
      <w:pPr>
        <w:pStyle w:val="BodyText"/>
      </w:pPr>
      <w:r>
        <w:rPr>
          <w:b/>
          <w:bCs/>
        </w:rPr>
        <w:t xml:space="preserve">Escalation and blocker dynamics.</w:t>
      </w:r>
      <w:r>
        <w:t xml:space="preserve"> </w:t>
      </w:r>
      <w:r>
        <w:t xml:space="preserve">The CPO escalates to the GC, to the board audit committee, or — for EU operations — to the DPO with independent statutory protection. Override is available only when residual risk is documented in writing and the DPO records objection. Override is effectively unavailable on Article 22 violations, on data-subject-rights gaps, or on special-category data routing.</w:t>
      </w:r>
    </w:p>
    <w:p>
      <w:pPr>
        <w:pStyle w:val="BodyText"/>
      </w:pPr>
      <w:r>
        <w:rPr>
          <w:b/>
          <w:bCs/>
        </w:rPr>
        <w:t xml:space="preserve">Three questions a CPO will ask in 2026, verbatim.</w:t>
      </w:r>
    </w:p>
    <w:p>
      <w:pPr>
        <w:pStyle w:val="Compact"/>
        <w:numPr>
          <w:ilvl w:val="0"/>
          <w:numId w:val="1031"/>
        </w:numPr>
      </w:pPr>
      <w:r>
        <w:rPr>
          <w:i/>
          <w:iCs/>
        </w:rPr>
        <w:t xml:space="preserve">“Show me your data-flow diagram. Where does the prompt go, the output go, the memory persist, what borders does any of it cross.”</w:t>
      </w:r>
    </w:p>
    <w:p>
      <w:pPr>
        <w:pStyle w:val="Compact"/>
        <w:numPr>
          <w:ilvl w:val="0"/>
          <w:numId w:val="1031"/>
        </w:numPr>
      </w:pPr>
      <w:r>
        <w:rPr>
          <w:i/>
          <w:iCs/>
        </w:rPr>
        <w:t xml:space="preserve">“If a data subject asks us to delete their data, what is the surgical-deletion mechanism in your agent’s memory and trajectory logs, and what is your SLA.”</w:t>
      </w:r>
    </w:p>
    <w:p>
      <w:pPr>
        <w:pStyle w:val="Compact"/>
        <w:numPr>
          <w:ilvl w:val="0"/>
          <w:numId w:val="1031"/>
        </w:numPr>
      </w:pPr>
      <w:r>
        <w:rPr>
          <w:i/>
          <w:iCs/>
        </w:rPr>
        <w:t xml:space="preserve">“For automated decisions about EU subjects, show me the human-in-the-loop and the Article 22 conformance documentation.”</w:t>
      </w:r>
    </w:p>
    <w:p>
      <w:pPr>
        <w:pStyle w:val="FirstParagraph"/>
      </w:pPr>
      <w:r>
        <w:rPr>
          <w:b/>
          <w:bCs/>
        </w:rPr>
        <w:t xml:space="preserve">Vendor tactical guide.</w:t>
      </w:r>
      <w:r>
        <w:t xml:space="preserve"> </w:t>
      </w:r>
      <w:r>
        <w:t xml:space="preserve">Ship pre-completed DPIA templates per use-case (sales, support, HR, finance, legal) — do not make the buyer’s Privacy Counsel write yours from scratch. Offer EU-only inference routing as a first-class deployment tier, with annual attestation. Document the surgical-deletion mechanism explicitly, with a per-component SLA: persistent memory in N hours, trajectory logs in N days, fine-tuned adapter weights on the next training cycle. Pre-publish the sub-processor list with 30-day notice rights and a documented objection procedure. Volunteer the Schrems II supplementary-measures analysis before the buyer asks for it. Do not pretend that</w:t>
      </w:r>
      <w:r>
        <w:t xml:space="preserve"> </w:t>
      </w:r>
      <w:r>
        <w:t xml:space="preserve">“the foundation-model provider does not train on customer data”</w:t>
      </w:r>
      <w:r>
        <w:t xml:space="preserve"> </w:t>
      </w:r>
      <w:r>
        <w:t xml:space="preserve">is the same answer as</w:t>
      </w:r>
      <w:r>
        <w:t xml:space="preserve"> </w:t>
      </w:r>
      <w:r>
        <w:t xml:space="preserve">“the foundation-model provider does not retain prompts”</w:t>
      </w:r>
      <w:r>
        <w:t xml:space="preserve"> </w:t>
      </w:r>
      <w:r>
        <w:t xml:space="preserve">— they are different commitments and Privacy Counsel will catch the substitution every time.</w:t>
      </w:r>
    </w:p>
    <w:p>
      <w:r>
        <w:pict>
          <v:rect style="width:0;height:1.5pt" o:hralign="center" o:hrstd="t" o:hr="t"/>
        </w:pict>
      </w:r>
    </w:p>
    <w:bookmarkEnd w:id="102"/>
    <w:bookmarkStart w:id="103" w:name="X6d69e1a10d24801e89d8555ee23fc8b211f031e"/>
    <w:p>
      <w:pPr>
        <w:pStyle w:val="Heading3"/>
      </w:pPr>
      <w:r>
        <w:t xml:space="preserve">Chapter II.4 — AI Governance Council (Chair / Chief AI Officer / cross-functional)</w:t>
      </w:r>
    </w:p>
    <w:p>
      <w:pPr>
        <w:pStyle w:val="FirstParagraph"/>
      </w:pPr>
      <w:r>
        <w:t xml:space="preserve">If you are the AI Council Chair, this chapter is your seat. If you are the vendor selling to them, this chapter is the slow-but-decisive gate that exists precisely to be slow and decisive, and the artifact set you will be asked for is longer than the one you are currently shipping.</w:t>
      </w:r>
    </w:p>
    <w:p>
      <w:pPr>
        <w:pStyle w:val="BodyText"/>
      </w:pPr>
      <w:r>
        <w:rPr>
          <w:b/>
          <w:bCs/>
        </w:rPr>
        <w:t xml:space="preserve">Who they are.</w:t>
      </w:r>
      <w:r>
        <w:t xml:space="preserve"> </w:t>
      </w:r>
      <w:r>
        <w:t xml:space="preserve">The newest counterparty, stood up at virtually every F1000 between 2023 and 2025 in response to a converging regulatory stack: the EU AI Act passage (March 2024), NIST AI RMF and the GenAI Profile (January 2023 and July 2024 respectively), the Biden Executive Order (October 2023) and Trump’s superseding EO (January 2025), NYC Local Law 144 (effective July 2023), the Colorado AI Act (passed May 2024, effective February 2026), and the consolidating state-level AI legislation that accelerated through 2025. The Council chairs to a CTO, a CDO, a Chief AI Officer (a 2024–2025 role explosion), a COO, or a CRO depending on the organization. Membership: CISO, CPO, GC, the relevant business-line representative for the use-case under review, often an external advisor or an embedded ethics seat. The Council issues the internal AI Use Policy, maintains the approved-vendor list, and gates any new AI deployment above a defined risk threshold.</w:t>
      </w:r>
    </w:p>
    <w:p>
      <w:pPr>
        <w:pStyle w:val="BodyText"/>
      </w:pPr>
      <w:r>
        <w:rPr>
          <w:b/>
          <w:bCs/>
        </w:rPr>
        <w:t xml:space="preserve">What they evaluate.</w:t>
      </w:r>
      <w:r>
        <w:t xml:space="preserve"> </w:t>
      </w:r>
      <w:r>
        <w:t xml:space="preserve">Whether the vendor’s risk profile fits the organization’s AI Use Policy. Control mapping to NIST AI RMF and ISO 42001. Whether the deployment qualifies as</w:t>
      </w:r>
      <w:r>
        <w:t xml:space="preserve"> </w:t>
      </w:r>
      <w:r>
        <w:t xml:space="preserve">“high-risk”</w:t>
      </w:r>
      <w:r>
        <w:t xml:space="preserve"> </w:t>
      </w:r>
      <w:r>
        <w:t xml:space="preserve">under EU AI Act Annex III (HR, credit, education, law enforcement, critical infrastructure, biometrics, certain medical and product-safety contexts). Human-oversight effectiveness under Article 14 — not whether there is a human in the loop, but whether that human can effectively understand, monitor, interpret, intervene, and interrupt. FRIA (Fundamental Rights Impact Assessment) support if the deployment requires one. Bias testing methodology, freshness, and disclosed disparate-impact analysis. Model card and evaluation credibility. Misuse and dual-use pressure tests.</w:t>
      </w:r>
    </w:p>
    <w:p>
      <w:pPr>
        <w:pStyle w:val="BodyText"/>
      </w:pPr>
      <w:r>
        <w:rPr>
          <w:b/>
          <w:bCs/>
        </w:rPr>
        <w:t xml:space="preserve">What they will reject for.</w:t>
      </w:r>
      <w:r>
        <w:t xml:space="preserve"> </w:t>
      </w:r>
      <w:r>
        <w:t xml:space="preserve">Five hard lines. First, no evidence of NIST AI RMF or ISO 42001 conformity — these are the new floor and the AI Council will not pass a vendor who treats them as optional. Second, bias testing absent or stale; post NYC LL 144 and the Colorado AI Act, hiring and credit agents need annual disparate-impact analysis with the methodology disclosed. Third, theatrical human oversight — a</w:t>
      </w:r>
      <w:r>
        <w:t xml:space="preserve"> </w:t>
      </w:r>
      <w:r>
        <w:t xml:space="preserve">“human in the loop”</w:t>
      </w:r>
      <w:r>
        <w:t xml:space="preserve"> </w:t>
      </w:r>
      <w:r>
        <w:t xml:space="preserve">reviewing 1,000 decisions per hour at 200ms median dwell time is not effective oversight under any honest reading of Article 14, and the Council exists to call this out. Fourth, no FRIA for high-risk EU AI Act deployments — the April 2026 draft enforcement guidance makes this explicit and the August 2026 enforcement window forces compliance. Fifth, the vendor refuses to share evaluation methodology, dataset, and results in a re-runnable form — signed reproducible eval reports are the 2026 standard, no vendor ships them turnkey today, and the Council Chair who lets a vendor through without one is the Council Chair who will be explaining the gap to the board in Q1 2027.</w:t>
      </w:r>
    </w:p>
    <w:p>
      <w:pPr>
        <w:pStyle w:val="BodyText"/>
      </w:pPr>
      <w:r>
        <w:rPr>
          <w:b/>
          <w:bCs/>
        </w:rPr>
        <w:t xml:space="preserve">Review cycle.</w:t>
      </w:r>
      <w:r>
        <w:t xml:space="preserve"> </w:t>
      </w:r>
      <w:r>
        <w:t xml:space="preserve">The Council meets monthly or biweekly at most F1000 organizations. Intake-to-decision in routine cases:</w:t>
      </w:r>
      <w:r>
        <w:t xml:space="preserve"> </w:t>
      </w:r>
      <w:r>
        <w:rPr>
          <w:b/>
          <w:bCs/>
        </w:rPr>
        <w:t xml:space="preserve">6–14 weeks</w:t>
      </w:r>
      <w:r>
        <w:t xml:space="preserve">. For high-risk EU AI Act deployments requiring a FRIA:</w:t>
      </w:r>
      <w:r>
        <w:t xml:space="preserve"> </w:t>
      </w:r>
      <w:r>
        <w:rPr>
          <w:b/>
          <w:bCs/>
        </w:rPr>
        <w:t xml:space="preserve">12–24 weeks</w:t>
      </w:r>
      <w:r>
        <w:t xml:space="preserve">. The cross-functional design of the Council makes it inherently slow — every member has a separate calendar, a separate threshold for objection, and a separate set of artifacts they need to read before voting. This slowness is a feature. The vendor who pushes for accelerated Council review is the vendor who has not done one before.</w:t>
      </w:r>
    </w:p>
    <w:p>
      <w:pPr>
        <w:pStyle w:val="BodyText"/>
      </w:pPr>
      <w:r>
        <w:rPr>
          <w:b/>
          <w:bCs/>
        </w:rPr>
        <w:t xml:space="preserve">Artifacts required.</w:t>
      </w:r>
      <w:r>
        <w:t xml:space="preserve"> </w:t>
      </w:r>
      <w:r>
        <w:t xml:space="preserve">A real model card with substance — not marketing. An evaluation report, signed and reproducible preferred. A red-team report with methodology named (Lakera Red, Robust Intelligence, HiddenLayer, or a credible internal team with external attestation). NIST AI RMF GenAI Profile control mapping with control IDs and reproducible evidence. ISO 42001 mapping. A FRIA template the buyer can adapt for their specific use-case. Bias audit conformant to NYC LL 144 and Colorado AI Act methodology. Indirect-prompt-injection attestation. Article 14 human-oversight design document for the buyer’s specific use-case. Sub-agent privilege-separation design. Trajectory observability surface — what the buyer can see, in what format, with what retention.</w:t>
      </w:r>
    </w:p>
    <w:p>
      <w:pPr>
        <w:pStyle w:val="BodyText"/>
      </w:pPr>
      <w:r>
        <w:rPr>
          <w:b/>
          <w:bCs/>
        </w:rPr>
        <w:t xml:space="preserve">New AI-specific concerns.</w:t>
      </w:r>
      <w:r>
        <w:t xml:space="preserve"> </w:t>
      </w:r>
      <w:r>
        <w:t xml:space="preserve">Foundation-model risk inherited from the underlying lab — Anthropic’s Responsible Scaling Policy, OpenAI’s Preparedness Framework, Google’s Frontier Safety Framework — and how the vendor passes that through into their own deployment commitments. High-risk classification under EU AI Act Annex III for the buyer’s specific use-case. Evaluation reproducibility and tamper-resistance: model pin, dataset hash, harness version, signed attestation, all of which must hold under the scrutiny a regulator subpoena will apply. Human-oversight effectiveness as a system property, not a UI feature. Cumulative portfolio risk across the buyer’s full agent fleet — the Council looks at the marginal vendor against the existing portfolio, not in isolation.</w:t>
      </w:r>
    </w:p>
    <w:p>
      <w:pPr>
        <w:pStyle w:val="BodyText"/>
      </w:pPr>
      <w:r>
        <w:rPr>
          <w:b/>
          <w:bCs/>
        </w:rPr>
        <w:t xml:space="preserve">Escalation and blocker dynamics.</w:t>
      </w:r>
      <w:r>
        <w:t xml:space="preserve"> </w:t>
      </w:r>
      <w:r>
        <w:t xml:space="preserve">The Council escalates to the executive committee or board risk committee. Override is rare and effectively unavailable on FRIA gaps, on documented bias findings, or on Article 14 deficiencies. The Council exists to be the slow, decisive gate — it is overridden downward only when the sponsor brings the CEO in early and the CEO accepts written residual-risk acceptance.</w:t>
      </w:r>
    </w:p>
    <w:p>
      <w:pPr>
        <w:pStyle w:val="BodyText"/>
      </w:pPr>
      <w:r>
        <w:rPr>
          <w:b/>
          <w:bCs/>
        </w:rPr>
        <w:t xml:space="preserve">Three questions an AI Council Chair will ask in 2026, verbatim.</w:t>
      </w:r>
    </w:p>
    <w:p>
      <w:pPr>
        <w:pStyle w:val="Compact"/>
        <w:numPr>
          <w:ilvl w:val="0"/>
          <w:numId w:val="1032"/>
        </w:numPr>
      </w:pPr>
      <w:r>
        <w:rPr>
          <w:i/>
          <w:iCs/>
        </w:rPr>
        <w:t xml:space="preserve">“Show me your evaluation report — signed, reproducible, with model pin, dataset hash, harness version, and methodology. Walk me through your red-team for indirect prompt injection.”</w:t>
      </w:r>
    </w:p>
    <w:p>
      <w:pPr>
        <w:pStyle w:val="Compact"/>
        <w:numPr>
          <w:ilvl w:val="0"/>
          <w:numId w:val="1032"/>
        </w:numPr>
      </w:pPr>
      <w:r>
        <w:rPr>
          <w:i/>
          <w:iCs/>
        </w:rPr>
        <w:t xml:space="preserve">“Map your controls to NIST AI RMF GenAI Profile and ISO 42001. If you have an EU AI Act conformity assessment, show it. If not, tell me when.”</w:t>
      </w:r>
    </w:p>
    <w:p>
      <w:pPr>
        <w:pStyle w:val="Compact"/>
        <w:numPr>
          <w:ilvl w:val="0"/>
          <w:numId w:val="1032"/>
        </w:numPr>
      </w:pPr>
      <w:r>
        <w:rPr>
          <w:i/>
          <w:iCs/>
        </w:rPr>
        <w:t xml:space="preserve">“Show me the human-oversight design for our use-case. Article 14 in practice. Not the marketing version.”</w:t>
      </w:r>
    </w:p>
    <w:p>
      <w:pPr>
        <w:pStyle w:val="FirstParagraph"/>
      </w:pPr>
      <w:r>
        <w:rPr>
          <w:b/>
          <w:bCs/>
        </w:rPr>
        <w:t xml:space="preserve">Vendor tactical guide.</w:t>
      </w:r>
      <w:r>
        <w:t xml:space="preserve"> </w:t>
      </w:r>
      <w:r>
        <w:t xml:space="preserve">Publish a signed reproducible eval. Publish a real model card. Publish NIST AI RMF and ISO 42001 mappings with control IDs and reproducible evidence. Volunteer the FRIA template before the Council asks. Bring an AI Safety or AI Trust engineer to the Council meeting — not the AE, not the GRC analyst. Do not pretend a benchmark is an evaluation. Do not pretend a marketing summary is a red-team. Do not bring an Article 14 tie-out that consists of</w:t>
      </w:r>
      <w:r>
        <w:t xml:space="preserve"> </w:t>
      </w:r>
      <w:r>
        <w:t xml:space="preserve">“the operator can see the agent’s actions in the UI”</w:t>
      </w:r>
      <w:r>
        <w:t xml:space="preserve"> </w:t>
      </w:r>
      <w:r>
        <w:t xml:space="preserve">— that is a UI feature, not a system property, and the Council will reject it. The vendor who closes Council fastest is the vendor who walks in with the artifact set already in place and lets the Council ask the third-order questions instead of forcing them to ask the first-order ones.</w:t>
      </w:r>
    </w:p>
    <w:p>
      <w:r>
        <w:pict>
          <v:rect style="width:0;height:1.5pt" o:hralign="center" o:hrstd="t" o:hr="t"/>
        </w:pict>
      </w:r>
    </w:p>
    <w:bookmarkEnd w:id="103"/>
    <w:bookmarkStart w:id="104" w:name="X9e58d289503e17d0dc31c4830aaeed2170be3cb"/>
    <w:p>
      <w:pPr>
        <w:pStyle w:val="Heading3"/>
      </w:pPr>
      <w:r>
        <w:t xml:space="preserve">Chapter II.5 — Procurement (CPO / Strategic Sourcing / Vendor Management)</w:t>
      </w:r>
    </w:p>
    <w:p>
      <w:pPr>
        <w:pStyle w:val="FirstParagraph"/>
      </w:pPr>
      <w:r>
        <w:t xml:space="preserve">If you are the Chief Procurement Officer, this chapter is your seat. If you are the vendor selling to them, this chapter is the unit-economics breakdown your competitive comparison failed and the exit story your roadmap deck did not contain.</w:t>
      </w:r>
    </w:p>
    <w:p>
      <w:pPr>
        <w:pStyle w:val="BodyText"/>
      </w:pPr>
      <w:r>
        <w:rPr>
          <w:b/>
          <w:bCs/>
        </w:rPr>
        <w:t xml:space="preserve">Who they are.</w:t>
      </w:r>
      <w:r>
        <w:t xml:space="preserve"> </w:t>
      </w:r>
      <w:r>
        <w:t xml:space="preserve">The CPO reports to the CFO at roughly 70% of F1000 and to the COO at 20%. Below the CPO sit Strategic Sourcing (the category manager who runs the RFP), Vendor Management (post-signature performance), Procurement Operations (the purchase-to-pay plumbing), and the seat that did not exist in 2022 and now does — the</w:t>
      </w:r>
      <w:r>
        <w:t xml:space="preserve"> </w:t>
      </w:r>
      <w:r>
        <w:rPr>
          <w:b/>
          <w:bCs/>
        </w:rPr>
        <w:t xml:space="preserve">AI Category Manager</w:t>
      </w:r>
      <w:r>
        <w:t xml:space="preserve">. The AI Category Manager exists because the cloud bill went non-linear in 2024–2025, the apples-to-oranges pricing-comparison problem made traditional sourcing methodology break, and someone in the CPO’s organization needed to own the pricing-model heterogeneity across per-seat, per-token, per-trajectory, per-resolved-case, and per-outcome vendor offers.</w:t>
      </w:r>
    </w:p>
    <w:p>
      <w:pPr>
        <w:pStyle w:val="BodyText"/>
      </w:pPr>
      <w:r>
        <w:rPr>
          <w:b/>
          <w:bCs/>
        </w:rPr>
        <w:t xml:space="preserve">What they evaluate.</w:t>
      </w:r>
      <w:r>
        <w:t xml:space="preserve"> </w:t>
      </w:r>
      <w:r>
        <w:t xml:space="preserve">Commercial terms — pricing model, term length, ramp, true-up structure, MFN, cap-and-collar mechanisms. Vendor viability — financials, customer concentration, investor profile, runway, the burn-to-ARR ratio for vendors below $100M. Reference checks — three to five named at-scale customers in the buyer’s industry, willing to take a call. Competitive bake-off against the top alternatives in the category. Total cost — including foundation-model passthrough, infrastructure footprint on the buyer’s side, integration cost, and the operator-translation overhead. Negotiation history with industry peers (Procurement organizations talk to each other). The exit story — what happens on day 1, day 30, day 90, day 365 of a termination.</w:t>
      </w:r>
    </w:p>
    <w:p>
      <w:pPr>
        <w:pStyle w:val="BodyText"/>
      </w:pPr>
      <w:r>
        <w:rPr>
          <w:b/>
          <w:bCs/>
        </w:rPr>
        <w:t xml:space="preserve">What they will reject for.</w:t>
      </w:r>
      <w:r>
        <w:t xml:space="preserve"> </w:t>
      </w:r>
      <w:r>
        <w:t xml:space="preserve">Five hard lines. First, pricing not benchmarkable — every vendor in the agent category uses a different unit (per-trajectory, per-token, per-resolved-case, per-seat, per-outcome) and Procurement cannot run a competitive comparison without a normalized basis. Second, vendor viability concerns: a sub-$10M ARR vendor selling to F1000 with no path to capitalization, no enterprise references, and no auditable financials does not pass viability review in 2026 regardless of how good the demo is. Third, no exit story — what happens to persistent memory, trajectory logs, fine-tuned adapters, and integrations on termination is a contract question, not a roadmap question. Fourth, MFN refusal at scale when the buyer is in the top-10% of the vendor’s ACV. Fifth, pricing volatility from unbounded foundation-model passthrough — Procurement will not sign a contract whose total cost over three years is a function of OpenAI’s or Anthropic’s price decisions.</w:t>
      </w:r>
    </w:p>
    <w:p>
      <w:pPr>
        <w:pStyle w:val="BodyText"/>
      </w:pPr>
      <w:r>
        <w:rPr>
          <w:b/>
          <w:bCs/>
        </w:rPr>
        <w:t xml:space="preserve">Review cycle.</w:t>
      </w:r>
      <w:r>
        <w:t xml:space="preserve"> </w:t>
      </w:r>
      <w:r>
        <w:t xml:space="preserve">RFP and competitive bake-off at 6–16 weeks. Commercial negotiation at 4–10 weeks. Reference calls at 1–3 weeks. Total time-in-queue for Procurement at F1000 in 2026:</w:t>
      </w:r>
      <w:r>
        <w:t xml:space="preserve"> </w:t>
      </w:r>
      <w:r>
        <w:rPr>
          <w:b/>
          <w:bCs/>
        </w:rPr>
        <w:t xml:space="preserve">10–24 weeks</w:t>
      </w:r>
      <w:r>
        <w:t xml:space="preserve">, often running in parallel with Legal and InfoSec. The vendor who shortens this lane shortens the deal more than any other compression.</w:t>
      </w:r>
    </w:p>
    <w:p>
      <w:pPr>
        <w:pStyle w:val="BodyText"/>
      </w:pPr>
      <w:r>
        <w:rPr>
          <w:b/>
          <w:bCs/>
        </w:rPr>
        <w:t xml:space="preserve">Artifacts required.</w:t>
      </w:r>
      <w:r>
        <w:t xml:space="preserve"> </w:t>
      </w:r>
      <w:r>
        <w:t xml:space="preserve">Pricing with multi-year ramp, with stress-tested scenarios at +20% and +50% usage. Three to five named at-scale in-industry references willing to take a call. Financial viability documentation — audited financials for vendors above $50M ARR, capitalization summary for everyone, runway and burn disclosure. Order form, SLA exhibit, competitive benchmarking data. An exit-and-portability section in the MSA itself, not a roadmap commitment. Minimum-commit and true-up structure with documented thresholds.</w:t>
      </w:r>
    </w:p>
    <w:p>
      <w:pPr>
        <w:pStyle w:val="BodyText"/>
      </w:pPr>
      <w:r>
        <w:rPr>
          <w:b/>
          <w:bCs/>
        </w:rPr>
        <w:t xml:space="preserve">New AI-specific concerns.</w:t>
      </w:r>
      <w:r>
        <w:t xml:space="preserve"> </w:t>
      </w:r>
      <w:r>
        <w:t xml:space="preserve">Foundation-model passthrough margin and the buyer’s exposure to model-price increases — vendors who build their P&amp;L assuming inference cost stays flat are vendors whose pricing terms will not survive a Bedrock or Azure OpenAI repricing event. Trajectory cost variance — per-trajectory pricing is unmodellable for the buyer if the trajectories vary 10x in token consumption, so buyers want per-trajectory ceilings or per-tenant budgets. Outcome-based pricing legitimacy — Sierra’s</w:t>
      </w:r>
      <w:r>
        <w:t xml:space="preserve"> </w:t>
      </w:r>
      <w:r>
        <w:t xml:space="preserve">“pay on resolved case”</w:t>
      </w:r>
      <w:r>
        <w:t xml:space="preserve"> </w:t>
      </w:r>
      <w:r>
        <w:t xml:space="preserve">model is attractive but the attribution methodology is contested, Bret Taylor’s thesis is being pressure-tested across CX in 2025–2026 and has begun migrating to legal, finance, and customer-success, and Procurement’s job is to price the gaming risk. AI vendor viability through the shakeout — 11x’s quality-ceiling concession and the ARR-and-churn disclosures from Hayden Sukkar in 2024–2025 taught Procurement that AI-agent revenue does not predict survival, and the lesson is now hard-coded into viability scorecards. Total cost including the buyer’s own compute, observability stack, and trajectory storage — usually 30–60% on top of the vendor invoice and almost never disclosed by the vendor up front.</w:t>
      </w:r>
    </w:p>
    <w:p>
      <w:pPr>
        <w:pStyle w:val="BodyText"/>
      </w:pPr>
      <w:r>
        <w:rPr>
          <w:b/>
          <w:bCs/>
        </w:rPr>
        <w:t xml:space="preserve">Escalation and blocker dynamics.</w:t>
      </w:r>
      <w:r>
        <w:t xml:space="preserve"> </w:t>
      </w:r>
      <w:r>
        <w:t xml:space="preserve">Procurement escalates to the CFO. Override is available when the sponsor has CFO or CEO air-cover for strategic spend; override is effectively unavailable on viability concerns or on pricing-unbenchmarkable rejections. The CPO who lets a non-viable vendor through is the CPO who explains the migration cost to the CFO 18 months later.</w:t>
      </w:r>
    </w:p>
    <w:p>
      <w:pPr>
        <w:pStyle w:val="BodyText"/>
      </w:pPr>
      <w:r>
        <w:rPr>
          <w:b/>
          <w:bCs/>
        </w:rPr>
        <w:t xml:space="preserve">Three questions a CPO will ask in 2026, verbatim.</w:t>
      </w:r>
    </w:p>
    <w:p>
      <w:pPr>
        <w:pStyle w:val="Compact"/>
        <w:numPr>
          <w:ilvl w:val="0"/>
          <w:numId w:val="1033"/>
        </w:numPr>
      </w:pPr>
      <w:r>
        <w:rPr>
          <w:i/>
          <w:iCs/>
        </w:rPr>
        <w:t xml:space="preserve">“Model your pricing three years out at our projected usage, stress-tested for foundation-model price increases of 20% and a usage spike of 3x. What is the cap, what is the renegotiation trigger.”</w:t>
      </w:r>
    </w:p>
    <w:p>
      <w:pPr>
        <w:pStyle w:val="Compact"/>
        <w:numPr>
          <w:ilvl w:val="0"/>
          <w:numId w:val="1033"/>
        </w:numPr>
      </w:pPr>
      <w:r>
        <w:rPr>
          <w:i/>
          <w:iCs/>
        </w:rPr>
        <w:t xml:space="preserve">“Three at-scale references in our industry. I will call them. I will ask what they would change about the contract.”</w:t>
      </w:r>
    </w:p>
    <w:p>
      <w:pPr>
        <w:pStyle w:val="Compact"/>
        <w:numPr>
          <w:ilvl w:val="0"/>
          <w:numId w:val="1033"/>
        </w:numPr>
      </w:pPr>
      <w:r>
        <w:rPr>
          <w:i/>
          <w:iCs/>
        </w:rPr>
        <w:t xml:space="preserve">“What does my exit look like on day 1, 30, 90, 365? Where is my data, my agent state, what is the migration cost.”</w:t>
      </w:r>
    </w:p>
    <w:p>
      <w:pPr>
        <w:pStyle w:val="FirstParagraph"/>
      </w:pPr>
      <w:r>
        <w:rPr>
          <w:b/>
          <w:bCs/>
        </w:rPr>
        <w:t xml:space="preserve">Vendor tactical guide.</w:t>
      </w:r>
      <w:r>
        <w:t xml:space="preserve"> </w:t>
      </w:r>
      <w:r>
        <w:t xml:space="preserve">Publish transparent benchmarkable pricing — resolved cases or completed trajectories with an SLA, not raw tokens. Offer usage caps and per-tenant ceilings as a default contract term, not a negotiation concession. Offer foundation-model passthrough transparency with documented margin. Bring three references willing to take a call — and brief them honestly, because the CPO’s reference call is going to ask</w:t>
      </w:r>
      <w:r>
        <w:t xml:space="preserve"> </w:t>
      </w:r>
      <w:r>
        <w:t xml:space="preserve">“what would you change about the contract”</w:t>
      </w:r>
      <w:r>
        <w:t xml:space="preserve"> </w:t>
      </w:r>
      <w:r>
        <w:t xml:space="preserve">and the reference is going to answer truthfully. Document the exit story in the MSA up front, with named SLAs per artifact (memory export in N days, trajectory-log export in N days, fine-tuned-adapter handover in N weeks, deletion confirmation log within N hours of completion). The vendor who treats Procurement as the last lane to clear is the vendor whose deal goes sideways at quarter-end. The vendor who treats Procurement as a co-architect of the commercial terms gets a second contract on the next renewal.</w:t>
      </w:r>
    </w:p>
    <w:p>
      <w:r>
        <w:pict>
          <v:rect style="width:0;height:1.5pt" o:hralign="center" o:hrstd="t" o:hr="t"/>
        </w:pict>
      </w:r>
    </w:p>
    <w:bookmarkEnd w:id="104"/>
    <w:bookmarkStart w:id="105" w:name="X87b324a9b7b134a3f6847a766a7e87f4fe568e8"/>
    <w:p>
      <w:pPr>
        <w:pStyle w:val="Heading3"/>
      </w:pPr>
      <w:r>
        <w:t xml:space="preserve">Chapter II.6 — Business Sponsor (CRO / CMO / VP CS / business-line owner)</w:t>
      </w:r>
    </w:p>
    <w:p>
      <w:pPr>
        <w:pStyle w:val="FirstParagraph"/>
      </w:pPr>
      <w:r>
        <w:t xml:space="preserve">If you are the business sponsor, this chapter is your seat. If you are the vendor selling to them, this chapter is your true customer — and the operator-translation gap that quietly kills more agent deployments than any other failure mode.</w:t>
      </w:r>
    </w:p>
    <w:p>
      <w:pPr>
        <w:pStyle w:val="BodyText"/>
      </w:pPr>
      <w:r>
        <w:rPr>
          <w:b/>
          <w:bCs/>
        </w:rPr>
        <w:t xml:space="preserve">Who they are.</w:t>
      </w:r>
      <w:r>
        <w:t xml:space="preserve"> </w:t>
      </w:r>
      <w:r>
        <w:t xml:space="preserve">The executive who actually wants the tool. The CRO for sales agents. The CMO for marketing automation and content. The VP of Customer Success or VP of Support for service agents. The CFO for finance-ops automation. The CHRO for HR agents (with the heavy political layer that comes with it). The Chief Legal Operations Officer for legal-tech. The sponsor is the vendor’s internal champion and the seller’s true customer. The sponsor reports to the CEO or to the board on deployment outcomes. The sponsor has quarterly P&amp;L pressure, and that quarterly pressure is the variable that determines pilot speed and willingness to absorb procurement friction.</w:t>
      </w:r>
    </w:p>
    <w:p>
      <w:pPr>
        <w:pStyle w:val="BodyText"/>
      </w:pPr>
      <w:r>
        <w:rPr>
          <w:b/>
          <w:bCs/>
        </w:rPr>
        <w:t xml:space="preserve">What they evaluate.</w:t>
      </w:r>
      <w:r>
        <w:t xml:space="preserve"> </w:t>
      </w:r>
      <w:r>
        <w:t xml:space="preserve">Will the agent hit the number — the specific quarterly metric the sponsor reports to the CEO. How fast does it get to value (the TTM curve). What is the change-management cost across the affected team. What is the team-adoption story (the agent that ships and is not used is the agent that gets renewed at zero). What is the operator-translation cost — the line manager who actually runs the deployment day-to-day, translating between the agent’s outputs and the human team’s workflow. What is the vendor-roadmap alignment with the sponsor’s strategy, and where is the divergence risk.</w:t>
      </w:r>
    </w:p>
    <w:p>
      <w:pPr>
        <w:pStyle w:val="BodyText"/>
      </w:pPr>
      <w:r>
        <w:rPr>
          <w:b/>
          <w:bCs/>
        </w:rPr>
        <w:t xml:space="preserve">What they will reject for.</w:t>
      </w:r>
      <w:r>
        <w:t xml:space="preserve"> </w:t>
      </w:r>
      <w:r>
        <w:t xml:space="preserve">Five hard lines. First, time-to-meaningful-result over 90 days — sponsors operate on quarterly P&amp;L cycles and cannot wait two quarters for a flat outcome. Second, operator-translation gap unaddressed — the vendor who pitches the line manager but ships the cockpit UI for the engineer is the vendor whose pilot stalls at week 4 because nobody on the team knows how to drive it. Third, outcome attribution that feels dishonest —</w:t>
      </w:r>
      <w:r>
        <w:t xml:space="preserve"> </w:t>
      </w:r>
      <w:r>
        <w:t xml:space="preserve">“we resolved X cases”</w:t>
      </w:r>
      <w:r>
        <w:t xml:space="preserve"> </w:t>
      </w:r>
      <w:r>
        <w:t xml:space="preserve">with vendor-defined resolution criteria, where the resolution criteria conveniently align to the vendor’s per-resolved-case pricing model. Post-11x, every CRO reads outcome-attribution claims with appropriate skepticism. Fourth, no co-marketing or case-study leverage — sponsors get internal credit for being early on the case study, and a vendor who refuses to co-author is leaving the sponsor’s career incentive on the table. Fifth, roadmap divergence from the sponsor’s strategy — the agent that solves a Q2 2026 problem the sponsor has already stopped caring about is not the agent the sponsor signs.</w:t>
      </w:r>
    </w:p>
    <w:p>
      <w:pPr>
        <w:pStyle w:val="BodyText"/>
      </w:pPr>
      <w:r>
        <w:rPr>
          <w:b/>
          <w:bCs/>
        </w:rPr>
        <w:t xml:space="preserve">Review cycle.</w:t>
      </w:r>
      <w:r>
        <w:t xml:space="preserve"> </w:t>
      </w:r>
      <w:r>
        <w:t xml:space="preserve">Sponsor engagement is the fastest lane in the procurement gauntlet. Intro to internal champion at</w:t>
      </w:r>
      <w:r>
        <w:t xml:space="preserve"> </w:t>
      </w:r>
      <w:r>
        <w:rPr>
          <w:b/>
          <w:bCs/>
        </w:rPr>
        <w:t xml:space="preserve">2–6 weeks</w:t>
      </w:r>
      <w:r>
        <w:t xml:space="preserve">. The sponsor then carries the deal across the other six counterparties — which is where the actual time-in-queue accumulates. A vendor who lands the sponsor and then loses two months in InfoSec, Privacy, Legal, AI Council, Procurement, and EA has not lost the sponsor; the sponsor has lost confidence in the vendor’s ability to clear the gauntlet, and in the next deal the sponsor will quietly look elsewhere.</w:t>
      </w:r>
    </w:p>
    <w:p>
      <w:pPr>
        <w:pStyle w:val="BodyText"/>
      </w:pPr>
      <w:r>
        <w:rPr>
          <w:b/>
          <w:bCs/>
        </w:rPr>
        <w:t xml:space="preserve">Artifacts required.</w:t>
      </w:r>
      <w:r>
        <w:t xml:space="preserve"> </w:t>
      </w:r>
      <w:r>
        <w:t xml:space="preserve">Product demo with the sponsor’s own data if possible (not a generic demo with sample data). In-vertical and in-function case studies — three to five, with named comparable customers. Implementation timeline mapped to the sponsor’s fiscal calendar. A success-metrics framework the sponsor can defend to their CEO and their board. Reference calls with peer-level sponsors at comparable companies.</w:t>
      </w:r>
    </w:p>
    <w:p>
      <w:pPr>
        <w:pStyle w:val="BodyText"/>
      </w:pPr>
      <w:r>
        <w:rPr>
          <w:b/>
          <w:bCs/>
        </w:rPr>
        <w:t xml:space="preserve">New AI-specific concerns.</w:t>
      </w:r>
      <w:r>
        <w:t xml:space="preserve"> </w:t>
      </w:r>
      <w:r>
        <w:t xml:space="preserve">Reputational risk from agent error — a sales agent mis-sending an outbound to the CEO of a top-10 customer is a career risk for the CRO and the sponsor knows it. Internal political optics of replacing seats with agents — CHROs, CMOs, and CROs are sensitive to the</w:t>
      </w:r>
      <w:r>
        <w:t xml:space="preserve"> </w:t>
      </w:r>
      <w:r>
        <w:t xml:space="preserve">“AI replaces humans”</w:t>
      </w:r>
      <w:r>
        <w:t xml:space="preserve"> </w:t>
      </w:r>
      <w:r>
        <w:t xml:space="preserve">framing and want augment-not-replace talk-tracks they can deploy in town halls. Outcome attribution under board scrutiny — when the board asks</w:t>
      </w:r>
      <w:r>
        <w:t xml:space="preserve"> </w:t>
      </w:r>
      <w:r>
        <w:t xml:space="preserve">“did this agent actually move the number,”</w:t>
      </w:r>
      <w:r>
        <w:t xml:space="preserve"> </w:t>
      </w:r>
      <w:r>
        <w:t xml:space="preserve">the sponsor needs to answer with attribution methodology that survives the audit committee. Operator-translation cost — the line manager running the deployment may be the binding constraint on time-to-value, not the agent itself. Quarterly model-quality drift — an agent deployed in Q1 whose performance shifted in Q3 because the underlying foundation model updated is the agent that produces a difficult earnings-call moment for the sponsor’s executive.</w:t>
      </w:r>
    </w:p>
    <w:p>
      <w:pPr>
        <w:pStyle w:val="BodyText"/>
      </w:pPr>
      <w:r>
        <w:rPr>
          <w:b/>
          <w:bCs/>
        </w:rPr>
        <w:t xml:space="preserve">Escalation and blocker dynamics.</w:t>
      </w:r>
      <w:r>
        <w:t xml:space="preserve"> </w:t>
      </w:r>
      <w:r>
        <w:t xml:space="preserve">The sponsor escalates to the CEO. The sponsor is rarely blocked except on hard regulatory or security floors that trace back to InfoSec, Privacy, Legal, or AI Council. When blocked, the sponsor either drops the deal, escalates for CEO override, or negotiates a smaller-scope deployment that fits inside the existing compliance envelope. The honest pattern in 2026 is that sponsors who escalate too often lose internal credibility, and sponsors who escalate too rarely lose deals to faster-moving peers — the calibration is real and the vendor’s job is to make the sponsor look good either way.</w:t>
      </w:r>
    </w:p>
    <w:p>
      <w:pPr>
        <w:pStyle w:val="BodyText"/>
      </w:pPr>
      <w:r>
        <w:rPr>
          <w:b/>
          <w:bCs/>
        </w:rPr>
        <w:t xml:space="preserve">Three questions a sponsor will ask in 2026, verbatim.</w:t>
      </w:r>
    </w:p>
    <w:p>
      <w:pPr>
        <w:pStyle w:val="Compact"/>
        <w:numPr>
          <w:ilvl w:val="0"/>
          <w:numId w:val="1034"/>
        </w:numPr>
      </w:pPr>
      <w:r>
        <w:rPr>
          <w:i/>
          <w:iCs/>
        </w:rPr>
        <w:t xml:space="preserve">“What did the last three customers at my scale do in their first 90 days, measurable outcome at day 90.”</w:t>
      </w:r>
    </w:p>
    <w:p>
      <w:pPr>
        <w:pStyle w:val="Compact"/>
        <w:numPr>
          <w:ilvl w:val="0"/>
          <w:numId w:val="1034"/>
        </w:numPr>
      </w:pPr>
      <w:r>
        <w:rPr>
          <w:i/>
          <w:iCs/>
        </w:rPr>
        <w:t xml:space="preserve">“My line manager runs this day-to-day. Show me their week.”</w:t>
      </w:r>
    </w:p>
    <w:p>
      <w:pPr>
        <w:pStyle w:val="Compact"/>
        <w:numPr>
          <w:ilvl w:val="0"/>
          <w:numId w:val="1034"/>
        </w:numPr>
      </w:pPr>
      <w:r>
        <w:rPr>
          <w:i/>
          <w:iCs/>
        </w:rPr>
        <w:t xml:space="preserve">“When the model drifts or the agent acts wrong, who calls me, when, what is the playbook.”</w:t>
      </w:r>
    </w:p>
    <w:p>
      <w:pPr>
        <w:pStyle w:val="FirstParagraph"/>
      </w:pPr>
      <w:r>
        <w:rPr>
          <w:b/>
          <w:bCs/>
        </w:rPr>
        <w:t xml:space="preserve">Vendor tactical guide.</w:t>
      </w:r>
      <w:r>
        <w:t xml:space="preserve"> </w:t>
      </w:r>
      <w:r>
        <w:t xml:space="preserve">Run a 30-day paid pilot with a defined success metric — paid pilots filter out tire-kickers and signal sponsor commitment to the rest of the buyer’s organization. Bring two reference sponsors on a peer call within the first three weeks, before the sponsor has to defend the deal internally. Map the operator-translation surface explicitly — name the line manager’s persona, walk through their week, identify the workflow integration points and the escalation paths. Co-author the case study before signing, not after — the sponsor wants the artifact in their file the day they make the decision, not the quarter after they have to defend it. Do not pitch the sponsor on token economics, model architecture, or sub-agent privilege design — those are the other six counterparties’ questions. Pitch the sponsor on the number, the time-to-value, and the operator’s week.</w:t>
      </w:r>
    </w:p>
    <w:p>
      <w:r>
        <w:pict>
          <v:rect style="width:0;height:1.5pt" o:hralign="center" o:hrstd="t" o:hr="t"/>
        </w:pict>
      </w:r>
    </w:p>
    <w:bookmarkEnd w:id="105"/>
    <w:bookmarkStart w:id="107" w:name="X321fb040e3d6aa4bd42386b4e03022610f51a4f"/>
    <w:p>
      <w:pPr>
        <w:pStyle w:val="Heading3"/>
      </w:pPr>
      <w:r>
        <w:t xml:space="preserve">Chapter II.7 — Enterprise Architecture / IT Ops (CIO / Chief Architect / Head of Platform)</w:t>
      </w:r>
    </w:p>
    <w:p>
      <w:pPr>
        <w:pStyle w:val="FirstParagraph"/>
      </w:pPr>
      <w:r>
        <w:t xml:space="preserve">If you are the Chief Architect or Head of Platform Engineering, this chapter is your seat — and the F1000 procurement model that under-counted you for two decades has finally caught up. If you are the vendor selling to them, this chapter is the reference-architecture conformance review your AE has been pretending was an InfoSec problem and the OpenTelemetry GenAI export your engineering team has been treating as a roadmap item.</w:t>
      </w:r>
    </w:p>
    <w:p>
      <w:pPr>
        <w:pStyle w:val="BodyText"/>
      </w:pPr>
      <w:r>
        <w:rPr>
          <w:b/>
          <w:bCs/>
        </w:rPr>
        <w:t xml:space="preserve">Who they are.</w:t>
      </w:r>
      <w:r>
        <w:t xml:space="preserve"> </w:t>
      </w:r>
      <w:r>
        <w:t xml:space="preserve">The CIO reports to the CEO at roughly 70% of F1000, to the COO at 20%, and to the CFO at 10%. Below the CIO sit the Chief Architect (who owns the reference architecture and the technology radar), the Head of Platform Engineering or IT Operations (who owns run-the-business, on-call rotation, and capacity planning), the Head of Integration (the SaaS-to-SaaS plumbing layer), and the seat that did not exist in 2022 and is now standard at F1000 — the</w:t>
      </w:r>
      <w:r>
        <w:t xml:space="preserve"> </w:t>
      </w:r>
      <w:r>
        <w:rPr>
          <w:b/>
          <w:bCs/>
        </w:rPr>
        <w:t xml:space="preserve">AI Platform Engineering</w:t>
      </w:r>
      <w:r>
        <w:t xml:space="preserve"> </w:t>
      </w:r>
      <w:r>
        <w:t xml:space="preserve">team. AI Platform Engineering owns the LLM gateway, the eval and observability stack, the vector store, the agent runtime, and the per-trajectory cost telemetry. They are the team who actually gets paged when the agent fan-out cascades into a downstream-system DoS.</w:t>
      </w:r>
    </w:p>
    <w:p>
      <w:pPr>
        <w:pStyle w:val="BodyText"/>
      </w:pPr>
      <w:r>
        <w:rPr>
          <w:b/>
          <w:bCs/>
        </w:rPr>
        <w:t xml:space="preserve">What they evaluate.</w:t>
      </w:r>
      <w:r>
        <w:t xml:space="preserve"> </w:t>
      </w:r>
      <w:r>
        <w:t xml:space="preserve">Reference-architecture fit — does the vendor work with the buyer’s identity fabric, observability pipeline, secrets management, deployment toolchain, and change-management process. Operability footprint — runbook quality, dashboard depth, alert specification, cost-telemetry data model. Capacity — concurrency, throughput, sub-agent fan-out behavior under load. Failure modes — graceful degradation, circuit breakers, the behavior of the system when the foundation-model provider returns 429s for an hour. Multi-region, multi-cloud, and multi-tenancy posture.</w:t>
      </w:r>
    </w:p>
    <w:p>
      <w:pPr>
        <w:pStyle w:val="BodyText"/>
      </w:pPr>
      <w:r>
        <w:rPr>
          <w:b/>
          <w:bCs/>
        </w:rPr>
        <w:t xml:space="preserve">What they will reject for.</w:t>
      </w:r>
      <w:r>
        <w:t xml:space="preserve"> </w:t>
      </w:r>
      <w:r>
        <w:t xml:space="preserve">Five hard lines. First, non-conformance to reference architecture — the vendor demands a private VPC peer when SAML/OIDC suffices, cannot ship logs to the buyer’s observability pipeline, or insists on bespoke identity. Second, unbounded sub-agent fan-out without circuit breaker — an agent spawning 100 sub-agents on a single trigger is a denial-of-service risk against downstream systems and the EA team will not let it through. Third, no per-trajectory cost telemetry — EA cannot govern what it cannot see, and per-trajectory metering is the agent-era equivalent of per-API-call billing transparency. Fourth, OAuth blast radius unbounded —</w:t>
      </w:r>
      <w:r>
        <w:t xml:space="preserve"> </w:t>
      </w:r>
      <w:r>
        <w:t xml:space="preserve">“read all email, all calendar, all files”</w:t>
      </w:r>
      <w:r>
        <w:t xml:space="preserve"> </w:t>
      </w:r>
      <w:r>
        <w:t xml:space="preserve">when the agent’s purpose justifies a narrow scope is a rejection on principle, not a negotiation. Fifth, no runbook, no RTO, no RPO, and no documented failure-mode catalog — operability is a contract item, not a roadmap commitment.</w:t>
      </w:r>
    </w:p>
    <w:p>
      <w:pPr>
        <w:pStyle w:val="BodyText"/>
      </w:pPr>
      <w:r>
        <w:rPr>
          <w:b/>
          <w:bCs/>
        </w:rPr>
        <w:t xml:space="preserve">Review cycle.</w:t>
      </w:r>
      <w:r>
        <w:t xml:space="preserve"> </w:t>
      </w:r>
      <w:r>
        <w:rPr>
          <w:b/>
          <w:bCs/>
        </w:rPr>
        <w:t xml:space="preserve">4–10 weeks</w:t>
      </w:r>
      <w:r>
        <w:t xml:space="preserve">, often running in parallel with InfoSec. Longer when the integration design requires new reference-architecture exceptions, which it usually does for first-of-kind agent runtimes and for any vendor whose deployment posture has not been seen in the buyer’s environment before.</w:t>
      </w:r>
    </w:p>
    <w:p>
      <w:pPr>
        <w:pStyle w:val="BodyText"/>
      </w:pPr>
      <w:r>
        <w:rPr>
          <w:b/>
          <w:bCs/>
        </w:rPr>
        <w:t xml:space="preserve">Artifacts required.</w:t>
      </w:r>
      <w:r>
        <w:t xml:space="preserve"> </w:t>
      </w:r>
      <w:r>
        <w:t xml:space="preserve">Architecture diagram with trust boundaries explicit. Integration design covering identity, observability, secrets, deployment, and change management. Operability runbook with named on-call contacts and RTO/RPO commitments. Capacity-and-concurrency benchmarks at the buyer’s expected load. Cost-telemetry data model with a documented export interface. Multi-region design if the buyer operates in multiple jurisdictions. Failure-mode catalog with circuit breakers per failure class. OAuth scope inventory with least-privilege justification per scope.</w:t>
      </w:r>
    </w:p>
    <w:p>
      <w:pPr>
        <w:pStyle w:val="BodyText"/>
      </w:pPr>
      <w:r>
        <w:rPr>
          <w:b/>
          <w:bCs/>
        </w:rPr>
        <w:t xml:space="preserve">New AI-specific concerns.</w:t>
      </w:r>
      <w:r>
        <w:t xml:space="preserve"> </w:t>
      </w:r>
      <w:r>
        <w:t xml:space="preserve">Foundation-model dependency in the reference architecture — where does the model run, who pays for inference, what is the contingency when the lab issues a CVE or rate-limits the buyer mid-quarter. Per-trajectory cost variance versus the predictable per-API-call SaaS economics the EA team built their finance models around. OAuth-blast-radius governance — agents asking for</w:t>
      </w:r>
      <w:r>
        <w:t xml:space="preserve"> </w:t>
      </w:r>
      <w:r>
        <w:t xml:space="preserve">“read everything”</w:t>
      </w:r>
      <w:r>
        <w:t xml:space="preserve"> </w:t>
      </w:r>
      <w:r>
        <w:t xml:space="preserve">trigger EA review at F1000 even when InfoSec has cleared the credential-security question. Trajectory observability through the buyer’s OpenTelemetry pipeline (OpenTelemetry GenAI conventions matured through 2024–2025 and stabilized through Q4 2025; they are table-stakes at F1000 in 2026 and a vendor without OTel GenAI conformance is signaling that they have not done F1000 work at scale). Sub-agent privilege separation as an identity-fabric question — when an agent spawns a sub-agent, what tools and credentials does it inherit, and what does the buyer’s identity fabric actually see in the audit log.</w:t>
      </w:r>
    </w:p>
    <w:p>
      <w:pPr>
        <w:pStyle w:val="BodyText"/>
      </w:pPr>
      <w:r>
        <w:rPr>
          <w:b/>
          <w:bCs/>
        </w:rPr>
        <w:t xml:space="preserve">Escalation and blocker dynamics.</w:t>
      </w:r>
      <w:r>
        <w:t xml:space="preserve"> </w:t>
      </w:r>
      <w:r>
        <w:t xml:space="preserve">EA escalates to the CEO or COO. Override is rare and effectively unavailable on reference-architecture conformance or on operability gaps. The reference architecture exists because the F1000 has spent two decades cleaning up the consequences of every</w:t>
      </w:r>
      <w:r>
        <w:t xml:space="preserve"> </w:t>
      </w:r>
      <w:r>
        <w:t xml:space="preserve">“exception”</w:t>
      </w:r>
      <w:r>
        <w:t xml:space="preserve"> </w:t>
      </w:r>
      <w:r>
        <w:t xml:space="preserve">it ever granted, and the Chief Architect is the institutional memory of those consequences. Vendors who try to negotiate around the reference architecture instead of conforming to it are the vendors whose deals fall apart in week 8.</w:t>
      </w:r>
    </w:p>
    <w:p>
      <w:pPr>
        <w:pStyle w:val="BodyText"/>
      </w:pPr>
      <w:r>
        <w:rPr>
          <w:b/>
          <w:bCs/>
        </w:rPr>
        <w:t xml:space="preserve">Three questions a Chief Architect will ask in 2026, verbatim.</w:t>
      </w:r>
    </w:p>
    <w:p>
      <w:pPr>
        <w:pStyle w:val="Compact"/>
        <w:numPr>
          <w:ilvl w:val="0"/>
          <w:numId w:val="1035"/>
        </w:numPr>
      </w:pPr>
      <w:r>
        <w:rPr>
          <w:i/>
          <w:iCs/>
        </w:rPr>
        <w:t xml:space="preserve">“Reference-architecture fit. Identity, observability, secrets, deployment, multi-region. Here is our published architecture — tell me where you don’t fit.”</w:t>
      </w:r>
    </w:p>
    <w:p>
      <w:pPr>
        <w:pStyle w:val="Compact"/>
        <w:numPr>
          <w:ilvl w:val="0"/>
          <w:numId w:val="1035"/>
        </w:numPr>
      </w:pPr>
      <w:r>
        <w:rPr>
          <w:i/>
          <w:iCs/>
        </w:rPr>
        <w:t xml:space="preserve">“Sub-agent fan-out behavior under failure. What is the circuit breaker, the cost ceiling per trajectory, what does my SIEM see.”</w:t>
      </w:r>
    </w:p>
    <w:p>
      <w:pPr>
        <w:pStyle w:val="Compact"/>
        <w:numPr>
          <w:ilvl w:val="0"/>
          <w:numId w:val="1035"/>
        </w:numPr>
      </w:pPr>
      <w:r>
        <w:rPr>
          <w:i/>
          <w:iCs/>
        </w:rPr>
        <w:t xml:space="preserve">“Per-trajectory cost telemetry. Show me the data model and the export.”</w:t>
      </w:r>
    </w:p>
    <w:p>
      <w:pPr>
        <w:pStyle w:val="FirstParagraph"/>
      </w:pPr>
      <w:r>
        <w:rPr>
          <w:b/>
          <w:bCs/>
        </w:rPr>
        <w:t xml:space="preserve">Vendor tactical guide.</w:t>
      </w:r>
      <w:r>
        <w:t xml:space="preserve"> </w:t>
      </w:r>
      <w:r>
        <w:t xml:space="preserve">Ship OpenTelemetry GenAI conventions native — not as a roadmap commitment, as a current capability. Expose per-trajectory cost metering with a documented export interface. Document OAuth scopes per tool with least-privilege justification, and offer narrower scopes as a default rather than asking the buyer to negotiate them down. Publish a reference architecture with buyer’s-VPC as a first-class deployment tier — not a</w:t>
      </w:r>
      <w:r>
        <w:t xml:space="preserve"> </w:t>
      </w:r>
      <w:r>
        <w:t xml:space="preserve">“we can do that on request”</w:t>
      </w:r>
      <w:r>
        <w:t xml:space="preserve"> </w:t>
      </w:r>
      <w:r>
        <w:t xml:space="preserve">caveat. Bring the Solutions Architect to the EA meeting and let them answer the integration questions directly. Do not let the AE handle the EA review; the AE will fold on a question they do not understand and the Chief Architect will read the fold as a vendor-maturity signal.</w:t>
      </w:r>
    </w:p>
    <w:p>
      <w:pPr>
        <w:pStyle w:val="BodyText"/>
      </w:pPr>
      <w:r>
        <w:t xml:space="preserve">The Chief Architect is the seventh chair, and they are the one who will tell you — in the post-mortem, not the pre-mortem — exactly why the agent vendor you bought in Q1 is the agent vendor you will be migrating off in Q4.</w:t>
      </w:r>
    </w:p>
    <w:p>
      <w:r>
        <w:pict>
          <v:rect style="width:0;height:1.5pt" o:hralign="center" o:hrstd="t" o:hr="t"/>
        </w:pict>
      </w:r>
    </w:p>
    <w:p>
      <w:pPr>
        <w:pStyle w:val="FirstParagraph"/>
      </w:pPr>
      <w:r>
        <w:rPr>
          <w:i/>
          <w:iCs/>
        </w:rPr>
        <w:t xml:space="preserve">End of Section II. Sections III and IV (Seven Overlays, Fourteen Addenda) are in PLAYBOOK_part_B.md. Sections V through VIII (Decision Tree, Scoring Rubric, Glossary, Appendix Contract Clauses, Closing) are in PLAYBOOK_part_C.md.</w:t>
      </w:r>
    </w:p>
    <w:bookmarkStart w:id="106" w:name="X78954c026e6eb276c51303c5e5b04feec6bd7da"/>
    <w:p>
      <w:pPr>
        <w:pStyle w:val="Heading4"/>
      </w:pPr>
      <w:r>
        <w:t xml:space="preserve">The AI Vendor Procurement Playbook — Part B</w:t>
      </w:r>
    </w:p>
    <w:p>
      <w:pPr>
        <w:pStyle w:val="FirstParagraph"/>
      </w:pPr>
      <w:r>
        <w:rPr>
          <w:b/>
          <w:bCs/>
        </w:rPr>
        <w:t xml:space="preserve">Sections III + IV · The Seven Agent-Specific Overlays + The 15 AI-Specific Addenda</w:t>
      </w:r>
      <w:r>
        <w:t xml:space="preserve"> </w:t>
      </w:r>
      <w:r>
        <w:rPr>
          <w:i/>
          <w:iCs/>
        </w:rPr>
        <w:t xml:space="preserve">Edition 1.0 · Spring 2026 · Author: Alex Yedi</w:t>
      </w:r>
    </w:p>
    <w:p>
      <w:r>
        <w:pict>
          <v:rect style="width:0;height:1.5pt" o:hralign="center" o:hrstd="t" o:hr="t"/>
        </w:pict>
      </w:r>
    </w:p>
    <w:bookmarkEnd w:id="106"/>
    <w:bookmarkEnd w:id="107"/>
    <w:bookmarkEnd w:id="108"/>
    <w:bookmarkStart w:id="118" w:name="X75be09ae67ecb215d40e487f62a2ac8b6b2e751"/>
    <w:p>
      <w:pPr>
        <w:pStyle w:val="Heading2"/>
      </w:pPr>
      <w:r>
        <w:t xml:space="preserve">Section III · The Seven Agent-Specific Overlays (plus §III.8 · Per-Trajectory FinOps)</w:t>
      </w:r>
    </w:p>
    <w:p>
      <w:pPr>
        <w:pStyle w:val="FirstParagraph"/>
      </w:pPr>
      <w:r>
        <w:t xml:space="preserve">Section II walked the seven counterparties — InfoSec, Legal, Privacy, AI Governance, Procurement, Business Sponsor, and (at F1000 specifically) Enterprise Architecture. Those chapters answered the question:</w:t>
      </w:r>
      <w:r>
        <w:t xml:space="preserve"> </w:t>
      </w:r>
      <w:r>
        <w:rPr>
          <w:i/>
          <w:iCs/>
        </w:rPr>
        <w:t xml:space="preserve">who in the buyer org chart is asking this, and why</w:t>
      </w:r>
      <w:r>
        <w:t xml:space="preserve">. This section answers a different question:</w:t>
      </w:r>
      <w:r>
        <w:t xml:space="preserve"> </w:t>
      </w:r>
      <w:r>
        <w:rPr>
          <w:i/>
          <w:iCs/>
        </w:rPr>
        <w:t xml:space="preserve">what are the seven controls that exist only because the vendor is shipping an agent and not a SaaS?</w:t>
      </w:r>
    </w:p>
    <w:p>
      <w:pPr>
        <w:pStyle w:val="BodyText"/>
      </w:pPr>
      <w:r>
        <w:t xml:space="preserve">The distinction matters. A 2014–2023 SaaS procurement asks the seven counterparties seven sets of questions, and the vendor passes or fails on a SOC 2, a DPA, an MSA, an SLA, and a reference call. None of those artifacts answer the question of what happens when the agent reads a tainted email and writes the wrong value to a system of record. None of them answer the question of which model version the eval was run against, or what the rollback path looks like when the action was already committed downstream. Those are agent-specific questions, and they map to seven specific overlays — controls that did not exist in 2022, that emerged through 2024 and 2025 in the seam between SaaS procurement and AI governance, and that hardened into a procurement floor through Q1 and Q2 2026.</w:t>
      </w:r>
    </w:p>
    <w:p>
      <w:pPr>
        <w:pStyle w:val="BodyText"/>
      </w:pPr>
      <w:r>
        <w:t xml:space="preserve">Each overlay maps to one or more counterparties. Tool-Boundary Policy is owned by InfoSec and AI Governance jointly. Indirect Prompt-Injection Adaptive Red-Team is owned by InfoSec. Action-Rollback Documentation is owned by InfoSec, the controller (under Procurement-adjacent SOX exposure), and the Business Sponsor. Sub-Agent Privilege Separation is owned by InfoSec and Enterprise Architecture. Signed Reproducible Eval Reports are owned by AI Governance, with Legal and InfoSec as co-signers. EU AI Act Article 14 Tie-Out is owned by AI Governance, Legal, and Privacy. Sectoral Overlays attach to the regulated-vertical counterparty seat (model-risk in FSI, the BAA owner in healthcare, the program security officer in defense). And §III.8 — Per-Trajectory FinOps — is owned by Enterprise Architecture and the CFO’s FP&amp;A team jointly, and it is the overlay most likely to be missed in a 2026 procurement cycle.</w:t>
      </w:r>
    </w:p>
    <w:p>
      <w:pPr>
        <w:pStyle w:val="BodyText"/>
      </w:pPr>
      <w:r>
        <w:t xml:space="preserve">Each overlay chapter follows the same seven-part structure: plain-English definition, why it matters now, the buyer-side question, the vendor-side artifact, sample contract language, the red flag to reject for, and the current vendor landscape as of May 2026. Use the sample language as drafting material; do not adopt it verbatim without your GC’s review.</w:t>
      </w:r>
    </w:p>
    <w:p>
      <w:r>
        <w:pict>
          <v:rect style="width:0;height:1.5pt" o:hralign="center" o:hrstd="t" o:hr="t"/>
        </w:pict>
      </w:r>
    </w:p>
    <w:bookmarkStart w:id="109" w:name="chapter-iii.1-tool-boundary-policy"/>
    <w:p>
      <w:pPr>
        <w:pStyle w:val="Heading3"/>
      </w:pPr>
      <w:r>
        <w:t xml:space="preserve">Chapter III.1 — Tool-Boundary Policy</w:t>
      </w:r>
    </w:p>
    <w:p>
      <w:pPr>
        <w:pStyle w:val="FirstParagraph"/>
      </w:pPr>
      <w:r>
        <w:rPr>
          <w:b/>
          <w:bCs/>
        </w:rPr>
        <w:t xml:space="preserve">Plain English.</w:t>
      </w:r>
      <w:r>
        <w:t xml:space="preserve"> </w:t>
      </w:r>
      <w:r>
        <w:t xml:space="preserve">A tool-boundary policy is the written, vendor-supplied map of every tool the agent can call, every action each tool can take, every condition under which the agent is allowed to call it unattended, every condition under which the agent must escalate to a human, and the exact privilege scope the agent holds against the tool. Without this document, the buyer is approving an agent on the basis of demos. With this document, the buyer is approving an agent on the basis of policy.</w:t>
      </w:r>
    </w:p>
    <w:p>
      <w:pPr>
        <w:pStyle w:val="BodyText"/>
      </w:pPr>
      <w:r>
        <w:rPr>
          <w:b/>
          <w:bCs/>
        </w:rPr>
        <w:t xml:space="preserve">Why it matters now.</w:t>
      </w:r>
      <w:r>
        <w:t xml:space="preserve"> </w:t>
      </w:r>
      <w:r>
        <w:t xml:space="preserve">Three things changed between Q1 2024 and Q2 2026. First, computer-use launched in October 2024 (Claude) and matured through 2025 with OSWorld scores climbing into the mid-50s — still well below the human 72% — which made unattended SaaS-UI agents commercially marketed but operationally fragile. Second, MCP graduated to Linux Foundation governance in December 2025, making tool inventories more legible across vendors but also exposing how few vendors had a written tool-boundary policy at all. Third, the Colorado AI Act (May 2024) and the EU AI Act (passed March 2024, GPAI obligations live August 2025, Article 14 implementation guidance to draft April 2026) made the lack of a written boundary a regulatory exposure, not just an operational one. A 2026 procurement review without a tool-boundary policy is a 2026 procurement review you cannot defend in a Q1 2027 audit.</w:t>
      </w:r>
    </w:p>
    <w:p>
      <w:pPr>
        <w:pStyle w:val="BodyText"/>
      </w:pPr>
      <w:r>
        <w:rPr>
          <w:b/>
          <w:bCs/>
        </w:rPr>
        <w:t xml:space="preserve">The buyer-side question.</w:t>
      </w:r>
      <w:r>
        <w:t xml:space="preserve"> </w:t>
      </w:r>
      <w:r>
        <w:t xml:space="preserve">The InfoSec lead and the AI Council Chair will ask, jointly:</w:t>
      </w:r>
      <w:r>
        <w:t xml:space="preserve"> </w:t>
      </w:r>
      <w:r>
        <w:rPr>
          <w:i/>
          <w:iCs/>
        </w:rPr>
        <w:t xml:space="preserve">“For each tool this agent can call, name the action verbs available, the scope of each action, the privilege the agent runs under, the conditions under which the agent invokes the tool unattended, the conditions under which the agent must request human approval, the conditions under which the tool is blocked entirely because the planning context is tainted by external content, and the audit log emitted per call.”</w:t>
      </w:r>
      <w:r>
        <w:t xml:space="preserve"> </w:t>
      </w:r>
      <w:r>
        <w:t xml:space="preserve">A vendor that hands you a thirty-page document satisfies this question. A vendor that says</w:t>
      </w:r>
      <w:r>
        <w:t xml:space="preserve"> </w:t>
      </w:r>
      <w:r>
        <w:rPr>
          <w:i/>
          <w:iCs/>
        </w:rPr>
        <w:t xml:space="preserve">“the agent uses your existing approval flows”</w:t>
      </w:r>
      <w:r>
        <w:t xml:space="preserve"> </w:t>
      </w:r>
      <w:r>
        <w:t xml:space="preserve">does not.</w:t>
      </w:r>
    </w:p>
    <w:p>
      <w:pPr>
        <w:pStyle w:val="BodyText"/>
      </w:pPr>
      <w:r>
        <w:rPr>
          <w:b/>
          <w:bCs/>
        </w:rPr>
        <w:t xml:space="preserve">The vendor-side artifact.</w:t>
      </w:r>
      <w:r>
        <w:t xml:space="preserve"> </w:t>
      </w:r>
      <w:r>
        <w:t xml:space="preserve">A Tool-Boundary Policy Document. Twelve to forty pages depending on tool surface. Per tool: action verbs and scopes; default privilege grant; sub-agent privilege if any; conditions for unattended invocation; conditions for human-in-the-loop approval; conditions for tainted-context blocking; rollback story; audit log schema. Sierra, Decagon, Glean, and Harvey have these documents internally; not all of them will share without an NDA. Hebbia, Rogo, and Hippocratic, in my experience, will share once you ask in the right form. Demand it before you sign a pilot, not before you sign a production contract — the asymmetry in your favor closes the moment money has moved.</w:t>
      </w:r>
    </w:p>
    <w:p>
      <w:pPr>
        <w:pStyle w:val="BodyText"/>
      </w:pPr>
      <w:r>
        <w:rPr>
          <w:b/>
          <w:bCs/>
        </w:rPr>
        <w:t xml:space="preserve">Sample contract language.</w:t>
      </w:r>
      <w:r>
        <w:t xml:space="preserve"> </w:t>
      </w:r>
      <w:r>
        <w:rPr>
          <w:i/>
          <w:iCs/>
        </w:rPr>
        <w:t xml:space="preserve">“Vendor shall maintain and provide to Customer, upon request and at least annually, a Tool-Boundary Policy Document covering every tool the Agent is configured to invoke against any Customer System. The Document shall enumerate, per tool: (a) available action verbs and their scopes; (b) the privilege under which the Agent invokes the tool; (c) the conditions under which the tool may be invoked without human approval; (d) the conditions under which human approval is required prior to invocation; (e) the conditions under which the tool is blocked when planning context contains untrusted external content; (f) the audit log schema emitted per invocation. Material changes to the Document shall be communicated to Customer no less than thirty (30) days before deployment to production. Vendor’s failure to maintain or disclose this Document is a material breach permitting Customer to terminate this Agreement without penalty and recover prepaid fees on a prorated basis.”</w:t>
      </w:r>
    </w:p>
    <w:p>
      <w:pPr>
        <w:pStyle w:val="BodyText"/>
      </w:pPr>
      <w:r>
        <w:rPr>
          <w:b/>
          <w:bCs/>
        </w:rPr>
        <w:t xml:space="preserve">The red flag — what to reject for.</w:t>
      </w:r>
      <w:r>
        <w:t xml:space="preserve"> </w:t>
      </w:r>
      <w:r>
        <w:t xml:space="preserve">Reject any vendor who answers</w:t>
      </w:r>
      <w:r>
        <w:t xml:space="preserve"> </w:t>
      </w:r>
      <w:r>
        <w:t xml:space="preserve">“the agent only does what you authorize it to do”</w:t>
      </w:r>
      <w:r>
        <w:t xml:space="preserve"> </w:t>
      </w:r>
      <w:r>
        <w:t xml:space="preserve">without supplying the document. That sentence is a defense lawyer’s nightmare and a procurement officer’s escape clause. Also reject any vendor whose policy lists fewer than four privilege tiers across the tool surface — agents that operate at a single privilege level are agents that will eventually do something they should not have.</w:t>
      </w:r>
    </w:p>
    <w:p>
      <w:pPr>
        <w:pStyle w:val="BodyText"/>
      </w:pPr>
      <w:r>
        <w:rPr>
          <w:b/>
          <w:bCs/>
        </w:rPr>
        <w:t xml:space="preserve">Current landscape.</w:t>
      </w:r>
      <w:r>
        <w:t xml:space="preserve"> </w:t>
      </w:r>
      <w:r>
        <w:t xml:space="preserve">Sierra is the clearest leader; their AgentOS documentation is the closest thing to a public tool-boundary policy in the vertical-agent space. Harvey is competent here because the legal-vertical buyer demands it. Hippocratic publishes a partial version as part of HIPAA preparation. Glean publishes a thin version aimed at enterprise search rather than action. Decagon is improving but lagging Sierra by roughly a year. Hebbia and Rogo, both NYC-native, are documenting internally faster than they are publishing — a procurement opportunity in your favor if you push. 11x is a cautionary tale: synthetic-SDR vendors built without a tool-boundary policy in 2024 are the vendors whose ARR went flat in 2025 because RevOps buyers stopped trusting outcome attribution. The pattern repeats elsewhere.</w:t>
      </w:r>
    </w:p>
    <w:p>
      <w:r>
        <w:pict>
          <v:rect style="width:0;height:1.5pt" o:hralign="center" o:hrstd="t" o:hr="t"/>
        </w:pict>
      </w:r>
    </w:p>
    <w:bookmarkEnd w:id="109"/>
    <w:bookmarkStart w:id="110" w:name="X059d339e620754f8a3749f5d084c175950228e0"/>
    <w:p>
      <w:pPr>
        <w:pStyle w:val="Heading3"/>
      </w:pPr>
      <w:r>
        <w:t xml:space="preserve">Chapter III.2 — Indirect-Prompt-Injection Adaptive Red-Team</w:t>
      </w:r>
    </w:p>
    <w:p>
      <w:pPr>
        <w:pStyle w:val="FirstParagraph"/>
      </w:pPr>
      <w:r>
        <w:rPr>
          <w:b/>
          <w:bCs/>
        </w:rPr>
        <w:t xml:space="preserve">Plain English.</w:t>
      </w:r>
      <w:r>
        <w:t xml:space="preserve"> </w:t>
      </w:r>
      <w:r>
        <w:t xml:space="preserve">An indirect prompt injection happens when content the agent reads from a tool — a customer email, a CRM note, a PDF, a webpage, an MCP server response — contains instructions to the agent that override what the operator asked. An adaptive red-team is a continuously updated adversarial test suite that generates new injections against the live agent, against the current model version, against the current system prompt. A static red-team is a test suite that ran once against a public corpus. They are not the same thing, and 99% of the indirect-injection numbers vendors cite refer to the second.</w:t>
      </w:r>
    </w:p>
    <w:p>
      <w:pPr>
        <w:pStyle w:val="BodyText"/>
      </w:pPr>
      <w:r>
        <w:rPr>
          <w:b/>
          <w:bCs/>
        </w:rPr>
        <w:t xml:space="preserve">Why it matters now.</w:t>
      </w:r>
      <w:r>
        <w:t xml:space="preserve"> </w:t>
      </w:r>
      <w:r>
        <w:t xml:space="preserve">Indirect prompt injection became the unsolved problem of the agent layer through 2024 and 2025. Public-corpus defenses (Lakera Guard, NeMo Guardrails, Promptfoo) cleared 95%+ on their own benchmarks; adaptive-adversary methodology — where the red team updates faster than the defense — clears 60–80% honestly. The gap is the dollar-exposure gap. Adam Raine’s case against OpenAI in California court, the Air Canada chatbot ruling (February 2024) that held the airline liable for its bot’s hallucinated refund policy, and the NYT v. OpenAI proceedings all crystallize the legal argument that the vendor is responsible for what the agent does in the presence of adversarial inputs. The Microsoft Copilot Studio prompt-injection demos at Black Hat 2024 and the EchoLeak class disclosures through 2025 made the threat surface concrete enough that no F1000 InfoSec team treats it as theoretical anymore. By 2026 the procurement question is not</w:t>
      </w:r>
      <w:r>
        <w:t xml:space="preserve"> </w:t>
      </w:r>
      <w:r>
        <w:rPr>
          <w:i/>
          <w:iCs/>
        </w:rPr>
        <w:t xml:space="preserve">whether</w:t>
      </w:r>
      <w:r>
        <w:t xml:space="preserve"> </w:t>
      </w:r>
      <w:r>
        <w:t xml:space="preserve">the agent has indirect-injection defense. It is whether the defense is adaptive, whether it is honestly disclosed, and whether the test methodology survives review.</w:t>
      </w:r>
    </w:p>
    <w:p>
      <w:pPr>
        <w:pStyle w:val="BodyText"/>
      </w:pPr>
      <w:r>
        <w:rPr>
          <w:b/>
          <w:bCs/>
        </w:rPr>
        <w:t xml:space="preserve">The buyer-side question.</w:t>
      </w:r>
      <w:r>
        <w:t xml:space="preserve"> </w:t>
      </w:r>
      <w:r>
        <w:t xml:space="preserve">The CISO will ask:</w:t>
      </w:r>
      <w:r>
        <w:t xml:space="preserve"> </w:t>
      </w:r>
      <w:r>
        <w:rPr>
          <w:i/>
          <w:iCs/>
        </w:rPr>
        <w:t xml:space="preserve">“Show me the most recent adaptive-adversary red-team report against this specific agent, this specific model version, this specific system prompt, run within the last 90 days. Name the methodology. Name the team that ran it. Name the success rate against tool returns, against retrieved document context, against multi-turn injection sequences. Disclose the failure modes.”</w:t>
      </w:r>
      <w:r>
        <w:t xml:space="preserve"> </w:t>
      </w:r>
      <w:r>
        <w:t xml:space="preserve">The InfoSec lead will follow with:</w:t>
      </w:r>
      <w:r>
        <w:t xml:space="preserve"> </w:t>
      </w:r>
      <w:r>
        <w:rPr>
          <w:i/>
          <w:iCs/>
        </w:rPr>
        <w:t xml:space="preserve">“What is your refresh cadence and your kill-switch procedure when a new injection class breaks the defense?”</w:t>
      </w:r>
    </w:p>
    <w:p>
      <w:pPr>
        <w:pStyle w:val="BodyText"/>
      </w:pPr>
      <w:r>
        <w:rPr>
          <w:b/>
          <w:bCs/>
        </w:rPr>
        <w:t xml:space="preserve">The vendor-side artifact.</w:t>
      </w:r>
      <w:r>
        <w:t xml:space="preserve"> </w:t>
      </w:r>
      <w:r>
        <w:t xml:space="preserve">A signed adaptive-adversary red-team report. Quarterly minimum. Conducted by an external team (Lakera Red, Robust Intelligence, HiddenLayer, or a credible internal team with an external attestation). Tied to a model pin, a system prompt hash, and a tool inventory. Discloses adaptive-adversary success rates honestly — anything above 90% should be treated with skepticism, anything below 60% should be treated as a fail. Includes the kill-switch procedure: how the vendor disables the tool, the model, or the agent when a new injection class is discovered, and the buyer-notification SLA.</w:t>
      </w:r>
    </w:p>
    <w:p>
      <w:pPr>
        <w:pStyle w:val="BodyText"/>
      </w:pPr>
      <w:r>
        <w:rPr>
          <w:b/>
          <w:bCs/>
        </w:rPr>
        <w:t xml:space="preserve">Sample contract language.</w:t>
      </w:r>
      <w:r>
        <w:t xml:space="preserve"> </w:t>
      </w:r>
      <w:r>
        <w:rPr>
          <w:i/>
          <w:iCs/>
        </w:rPr>
        <w:t xml:space="preserve">“Vendor shall conduct an adaptive-adversary indirect-prompt-injection red-team assessment against the Agent no less frequently than quarterly. Each assessment shall be tied to a specific model identifier, system prompt hash, and tool inventory, and shall report adaptive-adversary success rates against tool returns, retrieved document context, and multi-turn injection sequences. Vendor shall provide the report to Customer within thirty (30) days of completion. Discovery of an injection class against which the Agent’s defense rate falls below sixty percent (60%) shall constitute a Security Incident requiring notification to Customer within forty-eight (48) hours, and Vendor shall make available a kill-switch procedure permitting Customer to disable the affected tool or agent pending remediation.”</w:t>
      </w:r>
    </w:p>
    <w:p>
      <w:pPr>
        <w:pStyle w:val="BodyText"/>
      </w:pPr>
      <w:r>
        <w:rPr>
          <w:b/>
          <w:bCs/>
        </w:rPr>
        <w:t xml:space="preserve">The red flag — what to reject for.</w:t>
      </w:r>
      <w:r>
        <w:t xml:space="preserve"> </w:t>
      </w:r>
      <w:r>
        <w:t xml:space="preserve">Any vendor citing &gt;95% indirect-injection detection without naming the adaptive-adversary methodology. Any vendor citing public-corpus benchmarks only. Any vendor unable to commit to a 48-hour notification SLA on a defense-rate drop. Any vendor whose kill-switch procedure requires opening a support ticket — the kill-switch must be in the buyer’s hands or in a documented automated path.</w:t>
      </w:r>
    </w:p>
    <w:p>
      <w:pPr>
        <w:pStyle w:val="BodyText"/>
      </w:pPr>
      <w:r>
        <w:rPr>
          <w:b/>
          <w:bCs/>
        </w:rPr>
        <w:t xml:space="preserve">Current landscape.</w:t>
      </w:r>
      <w:r>
        <w:t xml:space="preserve"> </w:t>
      </w:r>
      <w:r>
        <w:t xml:space="preserve">Lakera is the most honest disclosure in the category and the right red-team partner for most F1000 buyers; their adaptive numbers track between 60% and 80% depending on agent surface, and they say so. Robust Intelligence sells more broadly. HiddenLayer is improving on the model-supply-chain side. Anthropic and OpenAI both publish responsible-disclosure timelines and have improved through 2025; neither yet ships a turnkey adaptive-adversary report for the buyer’s specific deployment. The vertical-agent vendors (Sierra, Decagon, Harvey) are partnering with the red-team specialists rather than building internally — which is fine, and on balance preferable, because conflict-of-interest is real when the vendor is the one grading their own homework. Reject vendors who refuse to name their red-team partner.</w:t>
      </w:r>
    </w:p>
    <w:p>
      <w:r>
        <w:pict>
          <v:rect style="width:0;height:1.5pt" o:hralign="center" o:hrstd="t" o:hr="t"/>
        </w:pict>
      </w:r>
    </w:p>
    <w:bookmarkEnd w:id="110"/>
    <w:bookmarkStart w:id="111" w:name="X92a3f106e37e5606ad34cca73db46a2c3f563ad"/>
    <w:p>
      <w:pPr>
        <w:pStyle w:val="Heading3"/>
      </w:pPr>
      <w:r>
        <w:t xml:space="preserve">Chapter III.3 — Action-Rollback Documentation</w:t>
      </w:r>
    </w:p>
    <w:p>
      <w:pPr>
        <w:pStyle w:val="FirstParagraph"/>
      </w:pPr>
      <w:r>
        <w:rPr>
          <w:b/>
          <w:bCs/>
        </w:rPr>
        <w:t xml:space="preserve">Plain English.</w:t>
      </w:r>
      <w:r>
        <w:t xml:space="preserve"> </w:t>
      </w:r>
      <w:r>
        <w:t xml:space="preserve">An action-rollback story is the written, per-write-tool description of what happens when the agent executes the wrong action against a Customer system of record. It names the recovery path, the recovery time, the data residency of the rollback log, and the conditions under which rollback is impossible. Without this document, you are buying optimism. With this document, you are buying a recovery procedure.</w:t>
      </w:r>
    </w:p>
    <w:p>
      <w:pPr>
        <w:pStyle w:val="BodyText"/>
      </w:pPr>
      <w:r>
        <w:rPr>
          <w:b/>
          <w:bCs/>
        </w:rPr>
        <w:t xml:space="preserve">Why it matters now.</w:t>
      </w:r>
      <w:r>
        <w:t xml:space="preserve"> </w:t>
      </w:r>
      <w:r>
        <w:t xml:space="preserve">Air Canada (February 2024) is the cleanest precedent: the airline argued the chatbot was a separate legal entity; the British Columbia tribunal disagreed and held Air Canada liable for the chatbot’s hallucinated bereavement-refund policy. That ruling is about output, not action. Replace</w:t>
      </w:r>
      <w:r>
        <w:t xml:space="preserve"> </w:t>
      </w:r>
      <w:r>
        <w:t xml:space="preserve">“hallucinated policy”</w:t>
      </w:r>
      <w:r>
        <w:t xml:space="preserve"> </w:t>
      </w:r>
      <w:r>
        <w:t xml:space="preserve">with</w:t>
      </w:r>
      <w:r>
        <w:t xml:space="preserve"> </w:t>
      </w:r>
      <w:r>
        <w:t xml:space="preserve">“wrongly posted journal entry,”</w:t>
      </w:r>
      <w:r>
        <w:t xml:space="preserve"> </w:t>
      </w:r>
      <w:r>
        <w:t xml:space="preserve">“duplicate refund,”</w:t>
      </w:r>
      <w:r>
        <w:t xml:space="preserve"> </w:t>
      </w:r>
      <w:r>
        <w:t xml:space="preserve">“unauthorized scope grant,”</w:t>
      </w:r>
      <w:r>
        <w:t xml:space="preserve"> </w:t>
      </w:r>
      <w:r>
        <w:t xml:space="preserve">or</w:t>
      </w:r>
      <w:r>
        <w:t xml:space="preserve"> </w:t>
      </w:r>
      <w:r>
        <w:t xml:space="preserve">“deleted customer record”</w:t>
      </w:r>
      <w:r>
        <w:t xml:space="preserve"> </w:t>
      </w:r>
      <w:r>
        <w:t xml:space="preserve">and the legal exposure compounds. Through 2024 and 2025 the production-failure mode that recurs most often in F500 post-mortems is not the agent failing visibly; it is the agent succeeding-as-judged and writing the wrong value to a system of record. Silent failure is the dominant operational risk of the agent era. Action-rollback documentation is how procurement holds the vendor to a recovery contract.</w:t>
      </w:r>
    </w:p>
    <w:p>
      <w:pPr>
        <w:pStyle w:val="BodyText"/>
      </w:pPr>
      <w:r>
        <w:rPr>
          <w:b/>
          <w:bCs/>
        </w:rPr>
        <w:t xml:space="preserve">The buyer-side question.</w:t>
      </w:r>
      <w:r>
        <w:t xml:space="preserve"> </w:t>
      </w:r>
      <w:r>
        <w:t xml:space="preserve">The CIO and the controller will ask jointly:</w:t>
      </w:r>
      <w:r>
        <w:t xml:space="preserve"> </w:t>
      </w:r>
      <w:r>
        <w:rPr>
          <w:i/>
          <w:iCs/>
        </w:rPr>
        <w:t xml:space="preserve">“For every write tool this agent can call against our systems, show me: (a) the recovery procedure when the wrong value is written; (b) the maximum recovery time; (c) the audit log a controller will accept; (d) the conditions under which recovery is impossible, and the indemnity that attaches to those conditions.”</w:t>
      </w:r>
      <w:r>
        <w:t xml:space="preserve"> </w:t>
      </w:r>
      <w:r>
        <w:t xml:space="preserve">The AI Council Chair will follow with:</w:t>
      </w:r>
      <w:r>
        <w:t xml:space="preserve"> </w:t>
      </w:r>
      <w:r>
        <w:rPr>
          <w:i/>
          <w:iCs/>
        </w:rPr>
        <w:t xml:space="preserve">“How does this procedure integrate with our existing incident-response runbook?”</w:t>
      </w:r>
    </w:p>
    <w:p>
      <w:pPr>
        <w:pStyle w:val="BodyText"/>
      </w:pPr>
      <w:r>
        <w:rPr>
          <w:b/>
          <w:bCs/>
        </w:rPr>
        <w:t xml:space="preserve">The vendor-side artifact.</w:t>
      </w:r>
      <w:r>
        <w:t xml:space="preserve"> </w:t>
      </w:r>
      <w:r>
        <w:t xml:space="preserve">An Action-Rollback Document, per write tool, signed off by the vendor’s engineering and security leads. Per tool: the underlying recovery mechanism (database row versioning, idempotency keys, soft-delete with restore window, dead-letter queues for irreversible side effects); the maximum recovery time SLA; the audit-log schema; the irreversible-action list (e.g., sending an email, charging a card, executing a trade, posting to a public channel) and the human-approval gate that must precede each; the rollback testing cadence.</w:t>
      </w:r>
    </w:p>
    <w:p>
      <w:pPr>
        <w:pStyle w:val="BodyText"/>
      </w:pPr>
      <w:r>
        <w:rPr>
          <w:b/>
          <w:bCs/>
        </w:rPr>
        <w:t xml:space="preserve">Sample contract language.</w:t>
      </w:r>
      <w:r>
        <w:t xml:space="preserve"> </w:t>
      </w:r>
      <w:r>
        <w:rPr>
          <w:i/>
          <w:iCs/>
        </w:rPr>
        <w:t xml:space="preserve">“Vendor shall maintain a written Action-Rollback Procedure for every Write Tool the Agent is configured to invoke against any Customer System of Record. The Procedure shall specify, per tool: (a) the recovery mechanism (including row versioning, idempotency, soft-delete, or dead-letter queue) and the maximum time-to-restore SLA; (b) the audit log emitted per write, in a format Customer’s controller will accept for SOX or equivalent financial-control review; (c) the list of irreversible actions, and for each, the human-approval gate that must precede invocation; (d) the rollback testing cadence, with results provided to Customer no less frequently than semi-annually. Failure of a rollback within the SLA window shall constitute a Service Failure and entitle Customer to service credits as specified in the Service Level Schedule, in addition to any remedies available for material breach.”</w:t>
      </w:r>
    </w:p>
    <w:p>
      <w:pPr>
        <w:pStyle w:val="BodyText"/>
      </w:pPr>
      <w:r>
        <w:rPr>
          <w:b/>
          <w:bCs/>
        </w:rPr>
        <w:t xml:space="preserve">The red flag — what to reject for.</w:t>
      </w:r>
      <w:r>
        <w:t xml:space="preserve"> </w:t>
      </w:r>
      <w:r>
        <w:t xml:space="preserve">Any vendor whose answer is</w:t>
      </w:r>
      <w:r>
        <w:t xml:space="preserve"> </w:t>
      </w:r>
      <w:r>
        <w:t xml:space="preserve">“we have logging.”</w:t>
      </w:r>
      <w:r>
        <w:t xml:space="preserve"> </w:t>
      </w:r>
      <w:r>
        <w:t xml:space="preserve">Logging is not rollback. Any vendor whose irreversible-action list is shorter than three items — they have not thought about it. Any vendor unwilling to commit to a maximum time-to-restore SLA. Any vendor whose rollback testing has not been conducted in the last twelve months.</w:t>
      </w:r>
    </w:p>
    <w:p>
      <w:pPr>
        <w:pStyle w:val="BodyText"/>
      </w:pPr>
      <w:r>
        <w:rPr>
          <w:b/>
          <w:bCs/>
        </w:rPr>
        <w:t xml:space="preserve">Current landscape.</w:t>
      </w:r>
      <w:r>
        <w:t xml:space="preserve"> </w:t>
      </w:r>
      <w:r>
        <w:t xml:space="preserve">This is the single weakest overlay in the current vendor field. Sierra has the most mature internal practice but does not publish externally. Hippocratic, because of HIPAA, has the cleanest write-side discipline in the regulated-vertical space — their action-confirmation gates are real and audited. Harvey is acceptable for legal-research workflows because the write surface is narrow. Decagon is improving but uneven across customer instances. Glean has effectively no write story at scale because its product is read-dominant — which is fine for Glean, less fine for the buyer who is asking Glean to start writing back into the CRM. Hebbia and Rogo are documenting privately. The vendors with the worst action-rollback documentation as of May 2026 are the synthetic-SDR vendors (11x and its peers), the autonomous-coding-agent category (Cognition, Devin’s earlier iterations) where rollback meant</w:t>
      </w:r>
      <w:r>
        <w:t xml:space="preserve"> </w:t>
      </w:r>
      <w:r>
        <w:t xml:space="preserve">“revert the PR”</w:t>
      </w:r>
      <w:r>
        <w:t xml:space="preserve"> </w:t>
      </w:r>
      <w:r>
        <w:t xml:space="preserve">rather than</w:t>
      </w:r>
      <w:r>
        <w:t xml:space="preserve"> </w:t>
      </w:r>
      <w:r>
        <w:t xml:space="preserve">“restore the production deployment,”</w:t>
      </w:r>
      <w:r>
        <w:t xml:space="preserve"> </w:t>
      </w:r>
      <w:r>
        <w:t xml:space="preserve">and any vendor pitching unattended computer-use into a production SaaS without naming the rollback story. Reject these.</w:t>
      </w:r>
    </w:p>
    <w:p>
      <w:r>
        <w:pict>
          <v:rect style="width:0;height:1.5pt" o:hralign="center" o:hrstd="t" o:hr="t"/>
        </w:pict>
      </w:r>
    </w:p>
    <w:bookmarkEnd w:id="111"/>
    <w:bookmarkStart w:id="112" w:name="Xd4b90816196778ba98d942300c81ae65e087d97"/>
    <w:p>
      <w:pPr>
        <w:pStyle w:val="Heading3"/>
      </w:pPr>
      <w:r>
        <w:t xml:space="preserve">Chapter III.4 — Sub-Agent Privilege Separation</w:t>
      </w:r>
    </w:p>
    <w:p>
      <w:pPr>
        <w:pStyle w:val="FirstParagraph"/>
      </w:pPr>
      <w:r>
        <w:rPr>
          <w:b/>
          <w:bCs/>
        </w:rPr>
        <w:t xml:space="preserve">Plain English.</w:t>
      </w:r>
      <w:r>
        <w:t xml:space="preserve"> </w:t>
      </w:r>
      <w:r>
        <w:t xml:space="preserve">Most production agents are not one agent. They are an orchestrator that delegates to two-to-ten sub-agents (a planner, an executor, a verifier, a tool-specific worker, a memory-writer, an escalation handler). Sub-agent privilege separation is the architectural and contractual commitment that each sub-agent runs at the minimum privilege necessary for its role, that an executor sub-agent cannot escalate itself into a privilege a planner would hold, and that the privilege boundary is enforced at runtime — not just at design time.</w:t>
      </w:r>
    </w:p>
    <w:p>
      <w:pPr>
        <w:pStyle w:val="BodyText"/>
      </w:pPr>
      <w:r>
        <w:rPr>
          <w:b/>
          <w:bCs/>
        </w:rPr>
        <w:t xml:space="preserve">Why it matters now.</w:t>
      </w:r>
      <w:r>
        <w:t xml:space="preserve"> </w:t>
      </w:r>
      <w:r>
        <w:t xml:space="preserve">The transition from single-agent ReAct loops to multi-agent / planner-executor architectures accelerated through 2025 as</w:t>
      </w:r>
      <w:r>
        <w:t xml:space="preserve"> </w:t>
      </w:r>
      <w:r>
        <w:rPr>
          <w:rStyle w:val="VerbatimChar"/>
        </w:rPr>
        <w:t xml:space="preserve">reasoning_effort</w:t>
      </w:r>
      <w:r>
        <w:t xml:space="preserve"> </w:t>
      </w:r>
      <w:r>
        <w:t xml:space="preserve">became a buyer-controllable knob (OpenAI o-series, Claude 4.5 / 4.6 / 4.7, Gemini 2.5+) and as the planner-executor split emerged as the dominant cost-optimization pattern at the trajectory level. The security consequence is that a single compromise — an indirect injection into the planner — can now propagate down a privilege chain that the buyer never mapped. Without sub-agent privilege separation, an injection that reaches the executor reaches everything the executor can reach. With it, the blast radius is bounded. Through 2025 and into 2026 the architectural reality outran the procurement framing; buyers were still asking</w:t>
      </w:r>
      <w:r>
        <w:t xml:space="preserve"> </w:t>
      </w:r>
      <w:r>
        <w:t xml:space="preserve">“what does the agent do”</w:t>
      </w:r>
      <w:r>
        <w:t xml:space="preserve"> </w:t>
      </w:r>
      <w:r>
        <w:t xml:space="preserve">while vendors were shipping six-sub-agent systems. The procurement question has to catch up.</w:t>
      </w:r>
    </w:p>
    <w:p>
      <w:pPr>
        <w:pStyle w:val="BodyText"/>
      </w:pPr>
      <w:r>
        <w:rPr>
          <w:b/>
          <w:bCs/>
        </w:rPr>
        <w:t xml:space="preserve">The buyer-side question.</w:t>
      </w:r>
      <w:r>
        <w:t xml:space="preserve"> </w:t>
      </w:r>
      <w:r>
        <w:t xml:space="preserve">The InfoSec lead and the AI Council Chair will ask:</w:t>
      </w:r>
      <w:r>
        <w:t xml:space="preserve"> </w:t>
      </w:r>
      <w:r>
        <w:rPr>
          <w:i/>
          <w:iCs/>
        </w:rPr>
        <w:t xml:space="preserve">“Diagram every sub-agent in this architecture. Per sub-agent, name the role, the privilege scope, the tool inventory, the memory it can read, the memory it can write, and the conditions under which it can invoke another sub-agent. Show me how the privilege boundary is enforced at runtime, not in code review. Show me your test cases for cross-sub-agent privilege escalation.”</w:t>
      </w:r>
    </w:p>
    <w:p>
      <w:pPr>
        <w:pStyle w:val="BodyText"/>
      </w:pPr>
      <w:r>
        <w:rPr>
          <w:b/>
          <w:bCs/>
        </w:rPr>
        <w:t xml:space="preserve">The vendor-side artifact.</w:t>
      </w:r>
      <w:r>
        <w:t xml:space="preserve"> </w:t>
      </w:r>
      <w:r>
        <w:t xml:space="preserve">A Sub-Agent Architecture Document. Diagram per role. Privilege matrix. Runtime enforcement mechanism (capabilities, signed delegation tokens, separate execution contexts). Test cases for privilege escalation, with results. The honest version of this document is uncomfortable for the vendor to share because it tends to show the seams in their architecture. That discomfort is your leverage during pilot procurement.</w:t>
      </w:r>
    </w:p>
    <w:p>
      <w:pPr>
        <w:pStyle w:val="BodyText"/>
      </w:pPr>
      <w:r>
        <w:rPr>
          <w:b/>
          <w:bCs/>
        </w:rPr>
        <w:t xml:space="preserve">Sample contract language.</w:t>
      </w:r>
      <w:r>
        <w:t xml:space="preserve"> </w:t>
      </w:r>
      <w:r>
        <w:rPr>
          <w:i/>
          <w:iCs/>
        </w:rPr>
        <w:t xml:space="preserve">“Vendor shall maintain a Sub-Agent Architecture Document enumerating every sub-agent in the Agent system, the role and privilege scope of each, the tool inventory available to each, the read- and write-scopes against persistent memory, and the conditions under which one sub-agent may invoke another. Vendor shall enforce sub-agent privilege boundaries at runtime via capability tokens, signed delegation, or equivalent mechanism, and shall maintain test cases against cross-sub-agent privilege escalation. The Document and the most recent test results shall be provided to Customer upon request and at least annually. Architectural changes that alter the sub-agent privilege matrix shall be communicated to Customer no less than thirty (30) days before production deployment.”</w:t>
      </w:r>
    </w:p>
    <w:p>
      <w:pPr>
        <w:pStyle w:val="BodyText"/>
      </w:pPr>
      <w:r>
        <w:rPr>
          <w:b/>
          <w:bCs/>
        </w:rPr>
        <w:t xml:space="preserve">The red flag — what to reject for.</w:t>
      </w:r>
      <w:r>
        <w:t xml:space="preserve"> </w:t>
      </w:r>
      <w:r>
        <w:t xml:space="preserve">Any vendor whose architecture diagram is one box labeled</w:t>
      </w:r>
      <w:r>
        <w:t xml:space="preserve"> </w:t>
      </w:r>
      <w:r>
        <w:t xml:space="preserve">“the agent.”</w:t>
      </w:r>
      <w:r>
        <w:t xml:space="preserve"> </w:t>
      </w:r>
      <w:r>
        <w:t xml:space="preserve">Any vendor whose privilege enforcement is</w:t>
      </w:r>
      <w:r>
        <w:t xml:space="preserve"> </w:t>
      </w:r>
      <w:r>
        <w:t xml:space="preserve">“we check it in code review.”</w:t>
      </w:r>
      <w:r>
        <w:t xml:space="preserve"> </w:t>
      </w:r>
      <w:r>
        <w:t xml:space="preserve">Any vendor unable to produce test cases for cross-sub-agent privilege escalation. Any vendor where the planner and the executor run in the same execution context with the same tool inventory — that is a single-agent system pretending to be a multi-agent system, and the architectural complexity will surface as security debt within twelve months.</w:t>
      </w:r>
    </w:p>
    <w:p>
      <w:pPr>
        <w:pStyle w:val="BodyText"/>
      </w:pPr>
      <w:r>
        <w:rPr>
          <w:b/>
          <w:bCs/>
        </w:rPr>
        <w:t xml:space="preserve">Current landscape.</w:t>
      </w:r>
      <w:r>
        <w:t xml:space="preserve"> </w:t>
      </w:r>
      <w:r>
        <w:t xml:space="preserve">Anthropic and OpenAI both publish architectural patterns for sub-agent privilege separation in their developer documentation; Anthropic’s sub-agent / tool-use patterns are the cleaner public reference as of Q2 2026. Sierra, Decagon, and Harvey all operate multi-agent architectures with named privilege boundaries internally; Sierra’s is the most mature and the most willing to be documented for buyer review. Hippocratic uses sub-agent separation by clinical-task boundary, which maps cleanly to HIPAA minimum-necessary; the artifact is good. Glean is a read-dominant orchestrator and the sub-agent question is less load-bearing. The general-purpose autonomous-coding-agent category (Cognition / Devin and its peers) is the weakest here — single-context multi-tool agents with insufficient privilege separation between the planner and the executor, which is why their production-failure modes tend to be catastrophic rather than bounded. The agent-building frameworks (LangGraph, CrewAI, AutoGen, Letta) document sub-agent patterns but do not enforce them; the enforcement burden falls on the vendor or the buyer.</w:t>
      </w:r>
    </w:p>
    <w:p>
      <w:r>
        <w:pict>
          <v:rect style="width:0;height:1.5pt" o:hralign="center" o:hrstd="t" o:hr="t"/>
        </w:pict>
      </w:r>
    </w:p>
    <w:bookmarkEnd w:id="112"/>
    <w:bookmarkStart w:id="113" w:name="X04d6723ab7206c3bfb60a646e59e8a41d268109"/>
    <w:p>
      <w:pPr>
        <w:pStyle w:val="Heading3"/>
      </w:pPr>
      <w:r>
        <w:t xml:space="preserve">Chapter III.5 — Signed Reproducible Eval Reports</w:t>
      </w:r>
    </w:p>
    <w:p>
      <w:pPr>
        <w:pStyle w:val="FirstParagraph"/>
      </w:pPr>
      <w:r>
        <w:rPr>
          <w:b/>
          <w:bCs/>
        </w:rPr>
        <w:t xml:space="preserve">Plain English.</w:t>
      </w:r>
      <w:r>
        <w:t xml:space="preserve"> </w:t>
      </w:r>
      <w:r>
        <w:t xml:space="preserve">A signed reproducible eval report is a written artifact tied to a specific model identifier, a specific dataset hash, a specific harness version, and a specific evaluation methodology, that the buyer can independently reproduce within their own observability stack and that survives a regulator subpoena. It is the agent-era equivalent of a SOC 2 Type II report. It does not currently exist at turnkey grade from any major vendor. That gap is the highest-leverage wedge in this Playbook.</w:t>
      </w:r>
    </w:p>
    <w:p>
      <w:pPr>
        <w:pStyle w:val="BodyText"/>
      </w:pPr>
      <w:r>
        <w:rPr>
          <w:b/>
          <w:bCs/>
        </w:rPr>
        <w:t xml:space="preserve">Why it matters now.</w:t>
      </w:r>
      <w:r>
        <w:t xml:space="preserve"> </w:t>
      </w:r>
      <w:r>
        <w:t xml:space="preserve">Through 2024 and 2025 the eval-platform category (Braintrust, LangSmith, Galileo, Patronus, Arize) commoditized on the observability side. Inspect AI (UK AI Safety Institute) emerged as the audit-grade open-source harness through 2025. OpenTelemetry GenAI conventions stabilized through Q4 2025 and into Q1 2026. What did not emerge is the missing piece: a</w:t>
      </w:r>
      <w:r>
        <w:t xml:space="preserve"> </w:t>
      </w:r>
      <w:r>
        <w:rPr>
          <w:i/>
          <w:iCs/>
        </w:rPr>
        <w:t xml:space="preserve">signed</w:t>
      </w:r>
      <w:r>
        <w:t xml:space="preserve"> </w:t>
      </w:r>
      <w:r>
        <w:t xml:space="preserve">report that ties a model pin to a dataset hash to a harness version to a reproduction procedure, that is portable across buyers, and that an EU AI Act conformity assessor in late 2026 will accept as evidence. Every vendor produces internal benchmarks. None of those benchmarks are buyer-reproducible. None of them are signed. None of them survive a subpoena. The Bartz settlement framework and the NYT v. OpenAI proceedings make this exposure concrete: the question</w:t>
      </w:r>
      <w:r>
        <w:t xml:space="preserve"> </w:t>
      </w:r>
      <w:r>
        <w:t xml:space="preserve">“what did you know and when did you know it about your model’s behavior on this class of input”</w:t>
      </w:r>
      <w:r>
        <w:t xml:space="preserve"> </w:t>
      </w:r>
      <w:r>
        <w:t xml:space="preserve">is now a litigated question, and the answer is the eval report. If your vendor cannot produce one in defensible form, your company is the one holding the bag.</w:t>
      </w:r>
    </w:p>
    <w:p>
      <w:pPr>
        <w:pStyle w:val="BodyText"/>
      </w:pPr>
      <w:r>
        <w:rPr>
          <w:b/>
          <w:bCs/>
        </w:rPr>
        <w:t xml:space="preserve">The buyer-side question.</w:t>
      </w:r>
      <w:r>
        <w:t xml:space="preserve"> </w:t>
      </w:r>
      <w:r>
        <w:t xml:space="preserve">The AI Council Chair, the CISO, and the GC will ask jointly:</w:t>
      </w:r>
      <w:r>
        <w:t xml:space="preserve"> </w:t>
      </w:r>
      <w:r>
        <w:rPr>
          <w:i/>
          <w:iCs/>
        </w:rPr>
        <w:t xml:space="preserve">“Provide a signed reproducible eval report for this agent against use cases representative of our deployment. The report must specify: (a) the exact model identifier (e.g., claude-opus-4-7-20260301); (b) the dataset identifier and hash; (c) the harness version; (d) the metrics, methodology, and confidence intervals; (e) reproduction instructions detailed enough for our team to independently re-run the eval and verify within five points of your reported score. The report must be signed by a named vendor representative and dated within the last 180 days.”</w:t>
      </w:r>
    </w:p>
    <w:p>
      <w:pPr>
        <w:pStyle w:val="BodyText"/>
      </w:pPr>
      <w:r>
        <w:rPr>
          <w:b/>
          <w:bCs/>
        </w:rPr>
        <w:t xml:space="preserve">The vendor-side artifact.</w:t>
      </w:r>
      <w:r>
        <w:t xml:space="preserve"> </w:t>
      </w:r>
      <w:r>
        <w:t xml:space="preserve">A Signed Reproducible Eval Report. Per release, per major use case. Format: written report plus reproduction artifacts (dataset, harness configuration, model identifier). Refresh: at least quarterly, immediately on model-version change. Signature: named vendor representative with attestation language. Reproduction: the buyer should be able to re-run within their observability stack and land within five points of the reported score; if they cannot, the report is untrusted by definition.</w:t>
      </w:r>
    </w:p>
    <w:p>
      <w:pPr>
        <w:pStyle w:val="BodyText"/>
      </w:pPr>
      <w:r>
        <w:rPr>
          <w:b/>
          <w:bCs/>
        </w:rPr>
        <w:t xml:space="preserve">Sample contract language.</w:t>
      </w:r>
      <w:r>
        <w:t xml:space="preserve"> </w:t>
      </w:r>
      <w:r>
        <w:rPr>
          <w:i/>
          <w:iCs/>
        </w:rPr>
        <w:t xml:space="preserve">“Vendor shall provide to Customer, no less frequently than quarterly and within thirty (30) days of any model-version change affecting the Agent, a Signed Reproducible Eval Report covering use cases representative of Customer’s deployment. The Report shall specify the model identifier, dataset identifier and hash, harness version, metrics, methodology, confidence intervals, and reproduction instructions. Reproduction by Customer’s team within a reasonable window shall yield a score within five (5) points of the Report’s stated score. A reproduction failure outside this tolerance shall constitute a material breach of the eval-evidence warranty, and Customer shall have the right to terminate this Agreement for cause and recover prepaid fees on a prorated basis.”</w:t>
      </w:r>
    </w:p>
    <w:p>
      <w:pPr>
        <w:pStyle w:val="BodyText"/>
      </w:pPr>
      <w:r>
        <w:rPr>
          <w:b/>
          <w:bCs/>
        </w:rPr>
        <w:t xml:space="preserve">The red flag — what to reject for.</w:t>
      </w:r>
      <w:r>
        <w:t xml:space="preserve"> </w:t>
      </w:r>
      <w:r>
        <w:t xml:space="preserve">Any vendor citing</w:t>
      </w:r>
      <w:r>
        <w:t xml:space="preserve"> </w:t>
      </w:r>
      <w:r>
        <w:t xml:space="preserve">“our internal benchmark”</w:t>
      </w:r>
      <w:r>
        <w:t xml:space="preserve"> </w:t>
      </w:r>
      <w:r>
        <w:t xml:space="preserve">without supplying the artifact. Any vendor unable or unwilling to share the dataset hash. Any vendor unwilling to commit to reproduction within five points. Any vendor whose report is dated more than 180 days ago. Any vendor whose eval is run against a public benchmark only — SWE-Bench Verified, GAIA, AgentBench — without a use-case-specific eval against your representative tasks. Public benchmarks are necessary; they are not sufficient.</w:t>
      </w:r>
    </w:p>
    <w:p>
      <w:pPr>
        <w:pStyle w:val="BodyText"/>
      </w:pPr>
      <w:r>
        <w:rPr>
          <w:b/>
          <w:bCs/>
        </w:rPr>
        <w:t xml:space="preserve">Current landscape.</w:t>
      </w:r>
      <w:r>
        <w:t xml:space="preserve"> </w:t>
      </w:r>
      <w:r>
        <w:t xml:space="preserve">Inspect AI is the closest open-source approximation of an audit-grade harness and is the right backbone to ask vendors to support. Braintrust, LangSmith, and Galileo are good observability-side platforms but do not solve the signing problem. Anthropic publishes responsible-disclosure-style model cards for each major release; OpenAI does the same; neither yet ships a turnkey signed report tied to a buyer’s specific deployment. The vertical-agent vendors are uneven: Harvey publishes legal-benchmark performance with reproducibility hooks, Hippocratic publishes clinical-task evals with the right methodological discipline, Sierra reports outcome-based metrics that translate poorly to a regulator subpoena framing, Decagon and Glean lag. Hebbia and Rogo publish less but document internally with reasonable rigor. This is the load-bearing Bet #1 wedge: the canonical buyer-side standard for signed reproducible eval reports does not exist, and the first credible publisher of that standard will set the procurement default for the next five years.</w:t>
      </w:r>
    </w:p>
    <w:p>
      <w:r>
        <w:pict>
          <v:rect style="width:0;height:1.5pt" o:hralign="center" o:hrstd="t" o:hr="t"/>
        </w:pict>
      </w:r>
    </w:p>
    <w:bookmarkEnd w:id="113"/>
    <w:bookmarkStart w:id="114" w:name="Xb22c9602bcc8bc7e90302c259476b23f873fe29"/>
    <w:p>
      <w:pPr>
        <w:pStyle w:val="Heading3"/>
      </w:pPr>
      <w:r>
        <w:t xml:space="preserve">Chapter III.6 — EU AI Act Article 14 Human-Oversight Tie-Out</w:t>
      </w:r>
    </w:p>
    <w:p>
      <w:pPr>
        <w:pStyle w:val="FirstParagraph"/>
      </w:pPr>
      <w:r>
        <w:rPr>
          <w:b/>
          <w:bCs/>
        </w:rPr>
        <w:t xml:space="preserve">Plain English.</w:t>
      </w:r>
      <w:r>
        <w:t xml:space="preserve"> </w:t>
      </w:r>
      <w:r>
        <w:t xml:space="preserve">Article 14 of the EU AI Act requires that high-risk AI systems be designed and developed so that natural persons can effectively oversee them. A human-oversight tie-out is the written, control-by-control mapping from the vendor’s product to the specific Article 14 requirements (the operator’s ability to understand the system, monitor operation, interpret output, decide not to use the output, intervene, and interrupt). The mapping must hold for the buyer’s specific deployment, must be refreshed when the system changes, and must produce evidence a conformity assessor will accept.</w:t>
      </w:r>
    </w:p>
    <w:p>
      <w:pPr>
        <w:pStyle w:val="BodyText"/>
      </w:pPr>
      <w:r>
        <w:rPr>
          <w:b/>
          <w:bCs/>
        </w:rPr>
        <w:t xml:space="preserve">Why it matters now.</w:t>
      </w:r>
      <w:r>
        <w:t xml:space="preserve"> </w:t>
      </w:r>
      <w:r>
        <w:t xml:space="preserve">The EU AI Act passed March 2024. GPAI obligations entered force August 2025. Conformity-assessment guidance drafts landed February 2026. Article 14 implementation guidance went to draft in April 2026 — the most-actionable near-term lever in the entire regulatory stack, with first enforcement actions expected late 2026 or Q1 2027. Whether the Act becomes a $10B+ procurement category or stays a niche defensive posture depends on the size and pattern of the first fines. Either way, every F1000 with EU operations is buying agents into a regime that did not exist when the agent-vendor MSAs they currently sign were written. The tie-out is how the buyer demonstrates compliance and shifts a portion of the burden onto the vendor through contract.</w:t>
      </w:r>
    </w:p>
    <w:p>
      <w:pPr>
        <w:pStyle w:val="BodyText"/>
      </w:pPr>
      <w:r>
        <w:rPr>
          <w:b/>
          <w:bCs/>
        </w:rPr>
        <w:t xml:space="preserve">The buyer-side question.</w:t>
      </w:r>
      <w:r>
        <w:t xml:space="preserve"> </w:t>
      </w:r>
      <w:r>
        <w:t xml:space="preserve">The AI Council Chair, the GC, and the privacy counsel will ask jointly:</w:t>
      </w:r>
      <w:r>
        <w:t xml:space="preserve"> </w:t>
      </w:r>
      <w:r>
        <w:rPr>
          <w:i/>
          <w:iCs/>
        </w:rPr>
        <w:t xml:space="preserve">“Provide a control-by-control mapping of this agent’s design and operational features to the Article 14 oversight requirements as drafted. Per requirement, name the product feature, the operator action enabled, the evidence emitted, the refresh procedure when the system changes, and the conformity-assessment artifact. Include the parallel mapping to NIST AI RMF GenAI Profile and ISO 42001 where applicable.”</w:t>
      </w:r>
    </w:p>
    <w:p>
      <w:pPr>
        <w:pStyle w:val="BodyText"/>
      </w:pPr>
      <w:r>
        <w:rPr>
          <w:b/>
          <w:bCs/>
        </w:rPr>
        <w:t xml:space="preserve">The vendor-side artifact.</w:t>
      </w:r>
      <w:r>
        <w:t xml:space="preserve"> </w:t>
      </w:r>
      <w:r>
        <w:t xml:space="preserve">An Article 14 Tie-Out Document. Tabular form: Article 14 sub-requirement on the left, product feature in the middle, evidence and refresh procedure on the right. Cross-referenced to NIST AI RMF GenAI Profile (2024 update) and ISO 42001 (2023) where the buyer’s regime requires it. Refresh cadence: annually minimum, immediately on any change that affects the oversight surface. Signature: a named vendor representative with attestation. Buyer-side reusable for the EU operations regulatory file.</w:t>
      </w:r>
    </w:p>
    <w:p>
      <w:pPr>
        <w:pStyle w:val="BodyText"/>
      </w:pPr>
      <w:r>
        <w:rPr>
          <w:b/>
          <w:bCs/>
        </w:rPr>
        <w:t xml:space="preserve">Sample contract language.</w:t>
      </w:r>
      <w:r>
        <w:t xml:space="preserve"> </w:t>
      </w:r>
      <w:r>
        <w:rPr>
          <w:i/>
          <w:iCs/>
        </w:rPr>
        <w:t xml:space="preserve">“Vendor shall maintain and provide to Customer, upon request and at least annually, a Human Oversight Tie-Out Document mapping the Agent’s design and operational features to the requirements of Article 14 of Regulation (EU) 2024/1689 (the EU AI Act) and to the National Institute of Standards and Technology AI Risk Management Framework Generative AI Profile and to ISO/IEC 42001:2023 where applicable to Customer’s regulatory regime. The Document shall be refreshed within sixty (60) days of any change to the Agent that materially affects its oversight surface. Vendor warrants that the Document, taken together with the supporting evidence referenced therein, is sufficient to support Customer’s good-faith demonstration of Article 14 compliance for Customer’s deployment of the Agent. Material misrepresentation of Article 14 conformity in the Document shall constitute a material breach.”</w:t>
      </w:r>
    </w:p>
    <w:p>
      <w:pPr>
        <w:pStyle w:val="BodyText"/>
      </w:pPr>
      <w:r>
        <w:rPr>
          <w:b/>
          <w:bCs/>
        </w:rPr>
        <w:t xml:space="preserve">The red flag — what to reject for.</w:t>
      </w:r>
      <w:r>
        <w:t xml:space="preserve"> </w:t>
      </w:r>
      <w:r>
        <w:t xml:space="preserve">Any vendor whose answer is</w:t>
      </w:r>
      <w:r>
        <w:t xml:space="preserve"> </w:t>
      </w:r>
      <w:r>
        <w:t xml:space="preserve">“we have SOC 2.”</w:t>
      </w:r>
      <w:r>
        <w:t xml:space="preserve"> </w:t>
      </w:r>
      <w:r>
        <w:t xml:space="preserve">SOC 2 is necessary for cloud posture; it is not an Article 14 tie-out. Any vendor whose tie-out is conceptual rather than control-by-control. Any vendor unwilling to warrant the document. Any vendor whose interpretation of Article 14 treats oversight as a UI feature (</w:t>
      </w:r>
      <w:r>
        <w:t xml:space="preserve">“the operator can see the agent’s actions”</w:t>
      </w:r>
      <w:r>
        <w:t xml:space="preserve">) rather than a system property (</w:t>
      </w:r>
      <w:r>
        <w:t xml:space="preserve">“the operator can understand, monitor, interpret, override, intervene, and interrupt”</w:t>
      </w:r>
      <w:r>
        <w:t xml:space="preserve">). Any vendor whose timeline for producing a tie-out is longer than your timeline for signing a renewal.</w:t>
      </w:r>
    </w:p>
    <w:p>
      <w:pPr>
        <w:pStyle w:val="BodyText"/>
      </w:pPr>
      <w:r>
        <w:rPr>
          <w:b/>
          <w:bCs/>
        </w:rPr>
        <w:t xml:space="preserve">Current landscape.</w:t>
      </w:r>
      <w:r>
        <w:t xml:space="preserve"> </w:t>
      </w:r>
      <w:r>
        <w:t xml:space="preserve">The European AI Office’s Article 14 guidance is in draft and changes weekly through Q2 2026; vendors who claim certainty before final guidance is a posture, not a fact, and you should price it accordingly. The vendors with the strongest EU posture as of May 2026 are Mistral (sovereign), Anthropic (early publication of Responsible Scaling Policy maps that translate adjacently), OpenAI (Preparedness Framework similarly), and the regulated-vertical leaders (Hippocratic for clinical, Harvey for legal). The vertical-agent CX leaders (Sierra, Decagon) are improving but historically US-centric. The synthetic-SDR category effectively does not have an EU posture and you should treat their EU sales accordingly. ISO 42001 certification is becoming a procurement asset — Drata and Vanta both ship readiness mappings — but it is not the same artifact as an Article 14 tie-out and you should not let your CPO conflate them.</w:t>
      </w:r>
    </w:p>
    <w:p>
      <w:r>
        <w:pict>
          <v:rect style="width:0;height:1.5pt" o:hralign="center" o:hrstd="t" o:hr="t"/>
        </w:pict>
      </w:r>
    </w:p>
    <w:bookmarkEnd w:id="114"/>
    <w:bookmarkStart w:id="115" w:name="X7d3463573cc3555f1f2839800e4b26a7156356b"/>
    <w:p>
      <w:pPr>
        <w:pStyle w:val="Heading3"/>
      </w:pPr>
      <w:r>
        <w:t xml:space="preserve">Chapter III.7 — Sectoral Overlays (Healthcare, Financial Services, Defense)</w:t>
      </w:r>
    </w:p>
    <w:p>
      <w:pPr>
        <w:pStyle w:val="FirstParagraph"/>
      </w:pPr>
      <w:r>
        <w:rPr>
          <w:b/>
          <w:bCs/>
        </w:rPr>
        <w:t xml:space="preserve">Plain English.</w:t>
      </w:r>
      <w:r>
        <w:t xml:space="preserve"> </w:t>
      </w:r>
      <w:r>
        <w:t xml:space="preserve">Sectoral overlays are the regime-specific control sets that attach when the agent operates inside healthcare (HIPAA, FDA SaMD, HITRUST), financial services (FINRA, broker-dealer rules, NYDFS Part 500, model-risk management under SR 11-7), or defense (FedRAMP, IL5, CMMC, ITAR). They are not optional. They are additive on top of the six other overlays and they bite hardest where the regulatory posture pre-existed the agent and was never re-drafted to contemplate one.</w:t>
      </w:r>
    </w:p>
    <w:p>
      <w:pPr>
        <w:pStyle w:val="BodyText"/>
      </w:pPr>
      <w:r>
        <w:rPr>
          <w:b/>
          <w:bCs/>
        </w:rPr>
        <w:t xml:space="preserve">Why it matters now.</w:t>
      </w:r>
      <w:r>
        <w:t xml:space="preserve"> </w:t>
      </w:r>
      <w:r>
        <w:t xml:space="preserve">Healthcare AI vendors learned through 2024 and 2025 that ambient-scribe products (Abridge, Nuance DAX, Augmedix) cleared the HIPAA bar because the data flow was scoped; full clinical agents (Hippocratic AI, Glass Health, OpenEvidence) face a harder bar because the action surface is wider. Financial-services AI faced a 2025 wave of FINRA guidance on AI-generated communications, broker-dealer suitability with AI assistance, and the OCC’s interpretation of SR 11-7 model-risk management as it applies to LLMs in credit-decision flows. Defense procurement through 2025 and into 2026 hardened the FedRAMP Moderate-to-High-to-IL5 ladder for AI workloads, and CMMC Level 2 (effective broadly through 2025) added a controlled-unclassified-information layer that affects every defense-adjacent agent procurement. None of these regimes assumed agents that take autonomous actions when they were drafted. All of them now must accommodate them, and the accommodation is happening through vendor contracts, not through statute.</w:t>
      </w:r>
    </w:p>
    <w:p>
      <w:pPr>
        <w:pStyle w:val="BodyText"/>
      </w:pPr>
      <w:r>
        <w:rPr>
          <w:b/>
          <w:bCs/>
        </w:rPr>
        <w:t xml:space="preserve">The buyer-side question.</w:t>
      </w:r>
      <w:r>
        <w:t xml:space="preserve"> </w:t>
      </w:r>
      <w:r>
        <w:t xml:space="preserve">Depends on the sector.</w:t>
      </w:r>
    </w:p>
    <w:p>
      <w:pPr>
        <w:pStyle w:val="BodyText"/>
      </w:pPr>
      <w:r>
        <w:rPr>
          <w:i/>
          <w:iCs/>
        </w:rPr>
        <w:t xml:space="preserve">Healthcare:</w:t>
      </w:r>
      <w:r>
        <w:t xml:space="preserve"> </w:t>
      </w:r>
      <w:r>
        <w:t xml:space="preserve">The Privacy Counsel and the AI Council Chair will ask:</w:t>
      </w:r>
      <w:r>
        <w:t xml:space="preserve"> </w:t>
      </w:r>
      <w:r>
        <w:rPr>
          <w:i/>
          <w:iCs/>
        </w:rPr>
        <w:t xml:space="preserve">“Provide the HIPAA Business Associate Agreement; the Minimum Necessary analysis per workflow; the FDA SaMD classification if applicable, with substantial-equivalence pathway or de novo justification; the HITRUST CSF v11.x certification or readiness; the patient-safety incident-response procedure; the audit log retention duration and accessibility.”</w:t>
      </w:r>
    </w:p>
    <w:p>
      <w:pPr>
        <w:pStyle w:val="BodyText"/>
      </w:pPr>
      <w:r>
        <w:rPr>
          <w:i/>
          <w:iCs/>
        </w:rPr>
        <w:t xml:space="preserve">Financial Services:</w:t>
      </w:r>
      <w:r>
        <w:t xml:space="preserve"> </w:t>
      </w:r>
      <w:r>
        <w:t xml:space="preserve">The Compliance Officer and the CRO will ask:</w:t>
      </w:r>
      <w:r>
        <w:t xml:space="preserve"> </w:t>
      </w:r>
      <w:r>
        <w:rPr>
          <w:i/>
          <w:iCs/>
        </w:rPr>
        <w:t xml:space="preserve">“Provide the model-risk-management documentation per SR 11-7 (validation, monitoring, governance); the FINRA Communications with the Public review for any customer-facing output; the broker-dealer suitability analysis if applicable; the NYDFS Part 500 cybersecurity tie-out; the books-and-records retention per Rule 17a-4 for any agent-generated content.”</w:t>
      </w:r>
    </w:p>
    <w:p>
      <w:pPr>
        <w:pStyle w:val="BodyText"/>
      </w:pPr>
      <w:r>
        <w:rPr>
          <w:i/>
          <w:iCs/>
        </w:rPr>
        <w:t xml:space="preserve">Defense:</w:t>
      </w:r>
      <w:r>
        <w:t xml:space="preserve"> </w:t>
      </w:r>
      <w:r>
        <w:t xml:space="preserve">The CISO and the program security officer will ask:</w:t>
      </w:r>
      <w:r>
        <w:t xml:space="preserve"> </w:t>
      </w:r>
      <w:r>
        <w:rPr>
          <w:i/>
          <w:iCs/>
        </w:rPr>
        <w:t xml:space="preserve">“Provide the FedRAMP authorization at the required impact level; the CMMC Level 2 assessment; the ITAR registration if any controlled technical data is in scope; the IL5 designation if applicable; the sovereign-cloud deployment story; the supply-chain risk management plan including the model-provider relationship.”</w:t>
      </w:r>
    </w:p>
    <w:p>
      <w:pPr>
        <w:pStyle w:val="BodyText"/>
      </w:pPr>
      <w:r>
        <w:rPr>
          <w:b/>
          <w:bCs/>
        </w:rPr>
        <w:t xml:space="preserve">The vendor-side artifact.</w:t>
      </w:r>
      <w:r>
        <w:t xml:space="preserve"> </w:t>
      </w:r>
      <w:r>
        <w:t xml:space="preserve">Sector-specific. In all cases: a sectoral overlay packet stapled to the six other overlays. Healthcare adds a BAA, a FDA pathway document if applicable, a HITRUST readiness or certification artifact, and a Minimum Necessary mapping. Financial services adds SR 11-7 model-risk documentation, a FINRA communications review process, a books-and-records retention attestation, and a NYDFS 500 cybersecurity tie-out. Defense adds the FedRAMP package, CMMC level, ITAR status, and the sovereign-cloud or air-gapped deployment story.</w:t>
      </w:r>
    </w:p>
    <w:p>
      <w:pPr>
        <w:pStyle w:val="BodyText"/>
      </w:pPr>
      <w:r>
        <w:rPr>
          <w:b/>
          <w:bCs/>
        </w:rPr>
        <w:t xml:space="preserve">Sample contract language.</w:t>
      </w:r>
      <w:r>
        <w:t xml:space="preserve"> </w:t>
      </w:r>
      <w:r>
        <w:rPr>
          <w:i/>
          <w:iCs/>
        </w:rPr>
        <w:t xml:space="preserve">(Healthcare illustrative — finance and defense follow same pattern.)</w:t>
      </w:r>
      <w:r>
        <w:t xml:space="preserve"> </w:t>
      </w:r>
      <w:r>
        <w:rPr>
          <w:i/>
          <w:iCs/>
        </w:rPr>
        <w:t xml:space="preserve">“Vendor shall execute a Business Associate Agreement substantially in the form attached as Exhibit B. Vendor shall provide a Minimum Necessary analysis covering each Tool the Agent is configured to invoke against Customer’s protected-health-information systems. If the Agent qualifies as Software as a Medical Device under FDA regulation, Vendor shall provide its 510(k), De Novo, or PMA documentation; absent such qualification, Vendor shall provide its written analysis supporting the non-SaMD determination, refreshed annually. Vendor shall maintain HITRUST CSF certification at level v11.x or higher throughout the Term and shall provide annual attestation. Any Security Incident affecting Customer PHI shall be notified within twenty-four (24) hours of discovery.”</w:t>
      </w:r>
    </w:p>
    <w:p>
      <w:pPr>
        <w:pStyle w:val="BodyText"/>
      </w:pPr>
      <w:r>
        <w:rPr>
          <w:b/>
          <w:bCs/>
        </w:rPr>
        <w:t xml:space="preserve">The red flag — what to reject for.</w:t>
      </w:r>
      <w:r>
        <w:t xml:space="preserve"> </w:t>
      </w:r>
      <w:r>
        <w:t xml:space="preserve">Any healthcare AI vendor without a BAA. Any financial-services AI vendor without an SR 11-7 mapping. Any defense AI vendor without a FedRAMP authorization at the required impact level or a documented IL5 path. Any vendor in any of these sectors claiming</w:t>
      </w:r>
      <w:r>
        <w:t xml:space="preserve"> </w:t>
      </w:r>
      <w:r>
        <w:t xml:space="preserve">“horizontal”</w:t>
      </w:r>
      <w:r>
        <w:t xml:space="preserve"> </w:t>
      </w:r>
      <w:r>
        <w:t xml:space="preserve">capability without the sectoral artifact — horizontal vendors are not wrong, they are early, and you are not the customer who pays for them to get late.</w:t>
      </w:r>
    </w:p>
    <w:p>
      <w:pPr>
        <w:pStyle w:val="BodyText"/>
      </w:pPr>
      <w:r>
        <w:rPr>
          <w:b/>
          <w:bCs/>
        </w:rPr>
        <w:t xml:space="preserve">Current landscape.</w:t>
      </w:r>
      <w:r>
        <w:t xml:space="preserve"> </w:t>
      </w:r>
      <w:r>
        <w:t xml:space="preserve">Healthcare: Abridge, Suki, Nuance DAX, and Augmedix are clean on the ambient-scribe pattern. Hippocratic AI is the leader on full clinical-agent posture and ships the HITRUST, BAA, and Minimum Necessary artifacts in usable form. OpenEvidence, Glass Health, and Hyro vary. Financial services: Harvey is competent at the legal-services edge of finance (deal documents, regulatory research). Rogo is the NYC-native financial-vertical agent with the cleanest sell-side posture; their SR 11-7 narrative is developing and worth pushing on during pilot. Hebbia operates in financial services with knowledge-worker posture rather than action posture, which simplifies their regulatory burden. The horizontal vendors (Sierra, Decagon, Glean) operate in regulated sectors as tenants of customer compliance, which works for read-dominant workflows and breaks down for action-dominant ones. Defense: Anthropic ships through Palantir for defense-adjacent workloads; OpenAI through Microsoft Azure Government. Scale AI’s evolution post-Meta-investment shifted the defense-AI vendor map through 2024 and 2025. There is no clean independent defense-AI vendor in the agent layer as of May 2026; the procurement question is which prime contractor’s AI subsystem you are buying, and the BAA / FedRAMP / ITAR posture follows from the prime.</w:t>
      </w:r>
    </w:p>
    <w:p>
      <w:r>
        <w:pict>
          <v:rect style="width:0;height:1.5pt" o:hralign="center" o:hrstd="t" o:hr="t"/>
        </w:pict>
      </w:r>
    </w:p>
    <w:bookmarkEnd w:id="115"/>
    <w:bookmarkStart w:id="116" w:name="X0464e8032a56b0126e89187f88ac49f5c73ec6b"/>
    <w:p>
      <w:pPr>
        <w:pStyle w:val="Heading3"/>
      </w:pPr>
      <w:r>
        <w:t xml:space="preserve">Chapter III.8 — Per-Trajectory FinOps Module</w:t>
      </w:r>
    </w:p>
    <w:p>
      <w:pPr>
        <w:pStyle w:val="FirstParagraph"/>
      </w:pPr>
      <w:r>
        <w:rPr>
          <w:b/>
          <w:bCs/>
        </w:rPr>
        <w:t xml:space="preserve">Plain English.</w:t>
      </w:r>
      <w:r>
        <w:t xml:space="preserve"> </w:t>
      </w:r>
      <w:r>
        <w:t xml:space="preserve">A per-trajectory FinOps module is the buyer-side discipline of measuring, attributing, and re-routing the dollar cost of every agent trajectory — every multi-step sequence of model calls, sub-agent invocations, and tool calls a single task triggers — at the line-item level. It is the AI-era equivalent of cloud FinOps, except that the unit of consumption is not a CPU-second or a GB-month but a trajectory, and the trajectory is composed of fan-out calls the buyer cannot see without instrumentation. A 2026 agent procurement that does not include per-trajectory cost telemetry is a 2026 agent procurement that will surprise the CFO mid-year. This overlay sits beside the other seven because it is the only one that bites against the cloud bill rather than the security or governance posture, and Enterprise Architecture and FP&amp;A — not InfoSec — are the counterparties who own it.</w:t>
      </w:r>
    </w:p>
    <w:p>
      <w:pPr>
        <w:pStyle w:val="BodyText"/>
      </w:pPr>
      <w:r>
        <w:rPr>
          <w:b/>
          <w:bCs/>
        </w:rPr>
        <w:t xml:space="preserve">Why it matters now.</w:t>
      </w:r>
      <w:r>
        <w:t xml:space="preserve"> </w:t>
      </w:r>
      <w:r>
        <w:t xml:space="preserve">Two events through Q1 2026 made per-trajectory FinOps a procurement question rather than a developer-tooling concern. First, Anthropic shipped the Claude Agent SDK 2.0 in April 2026 with a per-trajectory billing console — the</w:t>
      </w:r>
      <w:r>
        <w:t xml:space="preserve"> </w:t>
      </w:r>
      <w:r>
        <w:t xml:space="preserve">“trace cost”</w:t>
      </w:r>
      <w:r>
        <w:t xml:space="preserve"> </w:t>
      </w:r>
      <w:r>
        <w:t xml:space="preserve">view — that lets a buyer see, for the first time, the dollar cost of a single 47-call agent trace as a line item. Second, OpenAI’s Responses API exposed parallel per-trajectory billing at roughly the same time. Together, the two changes converted a category of cost that previously hid inside vendor COGS into a category the buyer can audit and the vendor can be asked to disclose. The economics underneath the disclosure are large: at $1M+ annual AI spend, a planner-executor split that routes 80% of trajectory steps to a cheaper-tier model (Sonnet, GPT-4-mini, Gemini Flash) instead of running the entire trajectory at Opus / GPT-4 / Gemini Pro produces savings of 30–60% on multi-hop workloads. The advisory window is bounded: AWS Bedrock auto-routing of planner-executor splits is expected to ship in production form by H2 2027, which will absorb most of the explicit-FinOps surface into runtime defaults. Through that 12–18 month window, per-trajectory FinOps is a live procurement lever and a live margin lever; after the window closes, it becomes a hyperscaler default.</w:t>
      </w:r>
    </w:p>
    <w:p>
      <w:pPr>
        <w:pStyle w:val="BodyText"/>
      </w:pPr>
      <w:r>
        <w:rPr>
          <w:b/>
          <w:bCs/>
        </w:rPr>
        <w:t xml:space="preserve">The buyer-side question.</w:t>
      </w:r>
      <w:r>
        <w:t xml:space="preserve"> </w:t>
      </w:r>
      <w:r>
        <w:t xml:space="preserve">The Enterprise Architect and the FP&amp;A lead will ask, jointly:</w:t>
      </w:r>
      <w:r>
        <w:t xml:space="preserve"> </w:t>
      </w:r>
      <w:r>
        <w:rPr>
          <w:i/>
          <w:iCs/>
        </w:rPr>
        <w:t xml:space="preserve">“Show me per-trajectory cost telemetry for this agent across our top ten use cases, broken out by model tier, sub-agent, and tool call. For each trajectory class, name the dollar cost at p50, p90, and p99. Show me the planner-executor split if any. Show me the cost-per-resolved-outcome at our projected volume, stress-tested for a 3x usage spike and a 20% foundation-model price increase. Show me the budget cap and the renegotiation trigger when we hit it.”</w:t>
      </w:r>
    </w:p>
    <w:p>
      <w:pPr>
        <w:pStyle w:val="BodyText"/>
      </w:pPr>
      <w:r>
        <w:rPr>
          <w:b/>
          <w:bCs/>
        </w:rPr>
        <w:t xml:space="preserve">The vendor-side artifact.</w:t>
      </w:r>
      <w:r>
        <w:t xml:space="preserve"> </w:t>
      </w:r>
      <w:r>
        <w:t xml:space="preserve">A Per-Trajectory Cost Disclosure Document and a live cost-telemetry feed. Disclosure document: per use-case trajectory taxonomy, per-class cost distribution at p50/p90/p99, planner-executor split documentation, foundation-model passthrough margin if any, and the cost-attribution methodology. Live feed: per-trajectory cost as a metric exposed via OpenTelemetry GenAI conventions or an equivalent vendor API, integrated into the buyer’s observability pipeline. Refresh: monthly minimum on the disclosure document; continuous on the live feed. Format: machine-readable for the buyer’s FinOps tooling.</w:t>
      </w:r>
    </w:p>
    <w:p>
      <w:pPr>
        <w:pStyle w:val="BodyText"/>
      </w:pPr>
      <w:r>
        <w:rPr>
          <w:b/>
          <w:bCs/>
        </w:rPr>
        <w:t xml:space="preserve">Sample contract language.</w:t>
      </w:r>
      <w:r>
        <w:t xml:space="preserve"> </w:t>
      </w:r>
      <w:r>
        <w:rPr>
          <w:i/>
          <w:iCs/>
        </w:rPr>
        <w:t xml:space="preserve">“Vendor shall expose per-trajectory cost telemetry to Customer via the OpenTelemetry GenAI conventions or an equivalent documented API, including, per Agent invocation: (a) the dollar cost of foundation-model inference, broken out by model tier and sub-agent role; (b) the dollar cost of any third-party tool, telephony, or infrastructure call attributable to the trajectory; (c) the trajectory identifier sufficient to trace the call chain in Vendor’s system. Vendor shall maintain and provide to Customer, on a monthly basis, a Per-Trajectory Cost Disclosure Document covering Customer’s top ten trajectory classes by volume, including p50, p90, and p99 cost distributions. Vendor’s foundation-model passthrough shall be billed at no more than [110%] of Vendor’s documented unit cost from the underlying model provider, with annual audit rights. Customer shall have the right to renegotiate the unit-economics floor at any quarter in which actual per-trajectory cost exceeds the disclosed p99 by more than [25%].”</w:t>
      </w:r>
    </w:p>
    <w:p>
      <w:pPr>
        <w:pStyle w:val="BodyText"/>
      </w:pPr>
      <w:r>
        <w:rPr>
          <w:b/>
          <w:bCs/>
        </w:rPr>
        <w:t xml:space="preserve">The red flag — what to reject for.</w:t>
      </w:r>
      <w:r>
        <w:t xml:space="preserve"> </w:t>
      </w:r>
      <w:r>
        <w:t xml:space="preserve">Any vendor whose answer is</w:t>
      </w:r>
      <w:r>
        <w:t xml:space="preserve"> </w:t>
      </w:r>
      <w:r>
        <w:t xml:space="preserve">“we charge per resolved conversation, the trajectory cost is our problem.”</w:t>
      </w:r>
      <w:r>
        <w:t xml:space="preserve"> </w:t>
      </w:r>
      <w:r>
        <w:t xml:space="preserve">That answer is fine until the vendor’s gross margin compresses and the renegotiation lands at your door. Any vendor refusing to expose per-trajectory cost telemetry through any interface. Any vendor running every step of every trajectory at the highest model tier — that is the canonical 30–60% margin leak and it will surface as a cost surprise within two quarters. Any vendor whose pricing-model allows foundation-model price increases to pass through unbounded — the right structure is a cap, an audit hook, and a renegotiation trigger. Any vendor whose answer is</w:t>
      </w:r>
      <w:r>
        <w:t xml:space="preserve"> </w:t>
      </w:r>
      <w:r>
        <w:t xml:space="preserve">“we do not disclose inference cost as a category.”</w:t>
      </w:r>
      <w:r>
        <w:t xml:space="preserve"> </w:t>
      </w:r>
      <w:r>
        <w:t xml:space="preserve">That answer is the 22% inference-fraction-vs-2.50-charged math from the Sierra back-of-envelope, and your CFO is going to find it eventually.</w:t>
      </w:r>
    </w:p>
    <w:p>
      <w:pPr>
        <w:pStyle w:val="BodyText"/>
      </w:pPr>
      <w:r>
        <w:rPr>
          <w:b/>
          <w:bCs/>
        </w:rPr>
        <w:t xml:space="preserve">Current landscape.</w:t>
      </w:r>
      <w:r>
        <w:t xml:space="preserve"> </w:t>
      </w:r>
      <w:r>
        <w:t xml:space="preserve">Anthropic’s Claude Agent SDK 2.0 (April 2026) and OpenAI’s Responses API are the upstream enabling primitives. Sierra has resisted per-trajectory cost transparency at the contract level because the per-resolution pricing model depends on the inference-fraction asymmetry; expect resistance, push anyway. Decagon has partially complied on Tier-1 deals through Q1 2026 — that is the precedent to cite when negotiating. Cresta and Gong AI Studio bolt cost telemetry onto per-seat platforms; the data is available but you have to ask. Glean exposes per-query cost with reasonable transparency, which is consistent with the read-dominant posture. Harvey, Rogo, and Hebbia run per-seat pricing where the trajectory question is less load-bearing — but the moment any of them adds an outcome-tied module, the disclosure question reactivates. The hyperscaler offers (AWS Bedrock, Azure OpenAI, Google Vertex) are the cleanest at-source disclosure; they are also the providers most likely to absorb the FinOps surface into runtime defaults by H2 2027 — buy the advisory window now while it exists. The agent-observability platforms (Braintrust, LangSmith, Galileo, Helicone, Langfuse) ship per-trajectory cost as a first-class metric and are the right buyer-side instrumentation tier for any F1000 spending more than $500K/year on agent vendors.</w:t>
      </w:r>
    </w:p>
    <w:p>
      <w:r>
        <w:pict>
          <v:rect style="width:0;height:1.5pt" o:hralign="center" o:hrstd="t" o:hr="t"/>
        </w:pict>
      </w:r>
    </w:p>
    <w:bookmarkEnd w:id="116"/>
    <w:bookmarkStart w:id="117" w:name="X54f1c29343ad119925228b21fbe1240911295a3"/>
    <w:p>
      <w:pPr>
        <w:pStyle w:val="Heading3"/>
      </w:pPr>
      <w:r>
        <w:t xml:space="preserve">Closing flag — the (7, J+M) accident-of-light surface</w:t>
      </w:r>
    </w:p>
    <w:p>
      <w:pPr>
        <w:pStyle w:val="FirstParagraph"/>
      </w:pPr>
      <w:r>
        <w:t xml:space="preserve">One observation worth flagging at the close of Section III, not as a chapter but as a follow-on consideration for the Playbook companion vector. The seven counterparties × eight Job-phase-map columns produce a 56-cell coordinate system. One cell that lights up under load is (7, J+M) — Enterprise Architecture across the</w:t>
      </w:r>
      <w:r>
        <w:t xml:space="preserve"> </w:t>
      </w:r>
      <w:r>
        <w:rPr>
          <w:i/>
          <w:iCs/>
        </w:rPr>
        <w:t xml:space="preserve">Modify</w:t>
      </w:r>
      <w:r>
        <w:t xml:space="preserve"> </w:t>
      </w:r>
      <w:r>
        <w:t xml:space="preserve">and</w:t>
      </w:r>
      <w:r>
        <w:t xml:space="preserve"> </w:t>
      </w:r>
      <w:r>
        <w:rPr>
          <w:i/>
          <w:iCs/>
        </w:rPr>
        <w:t xml:space="preserve">Monitor</w:t>
      </w:r>
      <w:r>
        <w:t xml:space="preserve"> </w:t>
      </w:r>
      <w:r>
        <w:t xml:space="preserve">phases of the procurement-seam workflow itself. Trajectory-grade enablement coaching for the procurement counterparties — the buyer-side InfoSec, AI Council, and EA staff who actually run the seven overlays in flight against named vendors — is the surface that emerges when you compose this Playbook with the operational reality of running it inside an F1000. It is not a chapter in this edition. It is the natural next-edition companion: a coaching curriculum for the procurement-seam operator, structured trajectory-by-trajectory against the seven overlays and the fourteen-plus-one addenda. Flagging it here so the next-edition scope is on the record.</w:t>
      </w:r>
    </w:p>
    <w:p>
      <w:r>
        <w:pict>
          <v:rect style="width:0;height:1.5pt" o:hralign="center" o:hrstd="t" o:hr="t"/>
        </w:pict>
      </w:r>
    </w:p>
    <w:bookmarkEnd w:id="117"/>
    <w:bookmarkEnd w:id="118"/>
    <w:bookmarkStart w:id="136" w:name="Xa5ef0891723abe38218e9ec18e8b38f76cd3ef7"/>
    <w:p>
      <w:pPr>
        <w:pStyle w:val="Heading2"/>
      </w:pPr>
      <w:r>
        <w:t xml:space="preserve">Section IV · The 15 AI-Specific Addenda (with sample contract language)</w:t>
      </w:r>
    </w:p>
    <w:p>
      <w:pPr>
        <w:pStyle w:val="FirstParagraph"/>
      </w:pPr>
      <w:r>
        <w:t xml:space="preserve">Section III defined the seven (now eight) procurement controls that exist because the vendor is shipping an agent and not a SaaS. Section IV is the contractual surface where those controls bind. The fourteen addenda below — plus a fifteenth on outcome-definition mechanics — hardened into the F1000 buyer-side AI template between Q4 2024 and Q2 2026 in response to a specific event chain: Bartz v. Anthropic, Tremblay v. OpenAI, the Air Canada chatbot ruling, the Italian Garante’s ChatGPT order, the EU AI Act passage and August 2025 GPAI obligations, the Microsoft Copilot Studio prompt-injection demos, the EchoLeak class disclosures, the GPT-4-to-Turbo silent-update fallout, the Claude 3.5→3.6→3.7 sequence, the CrowdStrike outage of July 2024, NYC Local Law 144 effective July 2023, the Colorado AI Act effective February 2026, and the Anthropic Claude Agent SDK 2.0 / OpenAI Responses API per-trajectory billing exposure of April 2026. Each addendum names the precedent that drove it, the counterparty owner, the vendor response patterns observed in the field, and the risk if the vendor refuses. Use the sample language as a drafting starting point; do not adopt verbatim without your GC’s review. Close with the three sectoral overlays (FSI, healthcare, defense/government) that attach on top.</w:t>
      </w:r>
    </w:p>
    <w:p>
      <w:r>
        <w:pict>
          <v:rect style="width:0;height:1.5pt" o:hralign="center" o:hrstd="t" o:hr="t"/>
        </w:pict>
      </w:r>
    </w:p>
    <w:bookmarkStart w:id="119" w:name="Xd10317e5f2819a0b4980efcf62f7d66d1959341"/>
    <w:p>
      <w:pPr>
        <w:pStyle w:val="Heading3"/>
      </w:pPr>
      <w:r>
        <w:t xml:space="preserve">Addendum #1 — Training-data rights · No training on customer data</w:t>
      </w:r>
    </w:p>
    <w:p>
      <w:pPr>
        <w:pStyle w:val="FirstParagraph"/>
      </w:pPr>
      <w:r>
        <w:rPr>
          <w:b/>
          <w:bCs/>
        </w:rPr>
        <w:t xml:space="preserve">Verbatim sample contract language.</w:t>
      </w:r>
      <w:r>
        <w:t xml:space="preserve"> </w:t>
      </w:r>
      <w:r>
        <w:rPr>
          <w:i/>
          <w:iCs/>
        </w:rPr>
        <w:t xml:space="preserve">“Vendor shall not use Customer Data, including prompts, completions, embeddings, or any derivative thereof, to train, fine-tune, or improve any Vendor or third-party model, without Customer’s prior written consent on a per-use-case basis. This restriction shall apply to all sub-processors of Vendor, including foundation-model providers, and Vendor shall flow this restriction down through all sub-processor agreements. Vendor shall provide annual written attestation of compliance and shall maintain audit rights permitting Customer to verify compliance no more than once per year and as reasonably necessary following a Security Incident.”</w:t>
      </w:r>
    </w:p>
    <w:p>
      <w:pPr>
        <w:pStyle w:val="BodyText"/>
      </w:pPr>
      <w:r>
        <w:rPr>
          <w:b/>
          <w:bCs/>
        </w:rPr>
        <w:t xml:space="preserve">Why it emerged.</w:t>
      </w:r>
      <w:r>
        <w:t xml:space="preserve"> </w:t>
      </w:r>
      <w:r>
        <w:t xml:space="preserve">Bartz v. Anthropic (filed 2024, settlement framework $1.5B aggregate through 2025) and Tremblay v. OpenAI (June 2024) crystallized the training-data exposure category at billion-dollar scale. The consolidated authors’ suits and the NYT v. OpenAI proceedings made the training-rights ambiguity in 2022–2023 vendor templates into a litigated category by 2025. The April 2026 Bartz preliminary injunction (N.D. Cal.) cited output-ownership ambiguity in enterprise contracts as a contributing factor; OpenAI Enterprise and Anthropic Enterprise both updated MSAs in Q1 2026 in response.</w:t>
      </w:r>
    </w:p>
    <w:p>
      <w:pPr>
        <w:pStyle w:val="BodyText"/>
      </w:pPr>
      <w:r>
        <w:rPr>
          <w:b/>
          <w:bCs/>
        </w:rPr>
        <w:t xml:space="preserve">Owner.</w:t>
      </w:r>
      <w:r>
        <w:t xml:space="preserve"> </w:t>
      </w:r>
      <w:r>
        <w:t xml:space="preserve">Legal (commercial counsel) + Privacy.</w:t>
      </w:r>
    </w:p>
    <w:p>
      <w:pPr>
        <w:pStyle w:val="BodyText"/>
      </w:pPr>
      <w:r>
        <w:rPr>
          <w:b/>
          <w:bCs/>
        </w:rPr>
        <w:t xml:space="preserve">Vendor response patterns.</w:t>
      </w:r>
      <w:r>
        <w:t xml:space="preserve"> </w:t>
      </w:r>
      <w:r>
        <w:t xml:space="preserve">Compliant by default at OpenAI Enterprise, Anthropic Enterprise / Workspace, AWS Bedrock, Azure OpenAI, Google Vertex, Glean, Sierra, Harvey enterprise SKUs. Negotiated at smaller vendors who want fine-tuning rights in exchange for pricing concessions. Refused at data-monetizing vendors — refusal is the signal that the vendor’s business model depends on customer-data ingestion, and the buyer should treat that as disqualifying for any deployment touching MNPI, PII, or proprietary corpora.</w:t>
      </w:r>
    </w:p>
    <w:p>
      <w:pPr>
        <w:pStyle w:val="BodyText"/>
      </w:pPr>
      <w:r>
        <w:rPr>
          <w:b/>
          <w:bCs/>
        </w:rPr>
        <w:t xml:space="preserve">Risk if vendor refuses.</w:t>
      </w:r>
      <w:r>
        <w:t xml:space="preserve"> </w:t>
      </w:r>
      <w:r>
        <w:t xml:space="preserve">Deal-killer at F1000. Also a Bartz-class litigation exposure if the buyer signs around the clause and the vendor’s training pipeline is later subpoenaed.</w:t>
      </w:r>
    </w:p>
    <w:p>
      <w:r>
        <w:pict>
          <v:rect style="width:0;height:1.5pt" o:hralign="center" o:hrstd="t" o:hr="t"/>
        </w:pict>
      </w:r>
    </w:p>
    <w:bookmarkEnd w:id="119"/>
    <w:bookmarkStart w:id="120" w:name="addendum-2-output-ownership-clarity"/>
    <w:p>
      <w:pPr>
        <w:pStyle w:val="Heading3"/>
      </w:pPr>
      <w:r>
        <w:t xml:space="preserve">Addendum #2 — Output ownership clarity</w:t>
      </w:r>
    </w:p>
    <w:p>
      <w:pPr>
        <w:pStyle w:val="FirstParagraph"/>
      </w:pPr>
      <w:r>
        <w:rPr>
          <w:b/>
          <w:bCs/>
        </w:rPr>
        <w:t xml:space="preserve">Verbatim sample contract language.</w:t>
      </w:r>
      <w:r>
        <w:t xml:space="preserve"> </w:t>
      </w:r>
      <w:r>
        <w:rPr>
          <w:i/>
          <w:iCs/>
        </w:rPr>
        <w:t xml:space="preserve">“As between the parties, Customer owns all Outputs generated by the Service in response to Customer prompts and Customer Data, subject only to Vendor’s underlying intellectual property in the Service itself. Vendor hereby assigns to Customer any rights it may otherwise have in such Outputs. Vendor shall indemnify Customer against any third-party claim that an Output, as generated and delivered by the Service, infringes a third-party copyright, trademark, or trade secret, subject to the indemnity stack set out in the Master Agreement.”</w:t>
      </w:r>
    </w:p>
    <w:p>
      <w:pPr>
        <w:pStyle w:val="BodyText"/>
      </w:pPr>
      <w:r>
        <w:rPr>
          <w:b/>
          <w:bCs/>
        </w:rPr>
        <w:t xml:space="preserve">Why it emerged.</w:t>
      </w:r>
      <w:r>
        <w:t xml:space="preserve"> </w:t>
      </w:r>
      <w:r>
        <w:t xml:space="preserve">Getty v. Stability AI (2023–2025), the consolidated music-industry suits against major model providers (2024–2026), and the NYT v. OpenAI proceedings made output-ownership ambiguity a litigated category. Default vendor templates pre-2024 assumed buyer ownership of inputs and joint or vendor ownership of outputs — wrong for almost every enterprise use case. The Bartz preliminary injunction (April 2026, N.D. Cal.) cited output-ownership ambiguity in enterprise contracts as a contributing factor in the underlying claim posture.</w:t>
      </w:r>
    </w:p>
    <w:p>
      <w:pPr>
        <w:pStyle w:val="BodyText"/>
      </w:pPr>
      <w:r>
        <w:rPr>
          <w:b/>
          <w:bCs/>
        </w:rPr>
        <w:t xml:space="preserve">Owner.</w:t>
      </w:r>
      <w:r>
        <w:t xml:space="preserve"> </w:t>
      </w:r>
      <w:r>
        <w:t xml:space="preserve">Legal (IP counsel).</w:t>
      </w:r>
    </w:p>
    <w:p>
      <w:pPr>
        <w:pStyle w:val="BodyText"/>
      </w:pPr>
      <w:r>
        <w:rPr>
          <w:b/>
          <w:bCs/>
        </w:rPr>
        <w:t xml:space="preserve">Vendor response patterns.</w:t>
      </w:r>
      <w:r>
        <w:t xml:space="preserve"> </w:t>
      </w:r>
      <w:r>
        <w:t xml:space="preserve">Compliant by default at every credible enterprise vendor as of Q2 2026 — OpenAI Enterprise, Anthropic Enterprise, AWS Bedrock, Sierra, Decagon, Harvey, Hippocratic. The negotiation friction has moved to the indemnity-stack question (Addendum #4), not to the ownership question. Resistance now is a signal of a small or pre-enterprise vendor that has not updated its template; push and they will fold.</w:t>
      </w:r>
    </w:p>
    <w:p>
      <w:pPr>
        <w:pStyle w:val="BodyText"/>
      </w:pPr>
      <w:r>
        <w:rPr>
          <w:b/>
          <w:bCs/>
        </w:rPr>
        <w:t xml:space="preserve">Risk if vendor refuses.</w:t>
      </w:r>
      <w:r>
        <w:t xml:space="preserve"> </w:t>
      </w:r>
      <w:r>
        <w:t xml:space="preserve">Deal-killer. Also a third-party-IP-claim exposure if the vendor’s training-data provenance is contested and the buyer holds no indemnity.</w:t>
      </w:r>
    </w:p>
    <w:p>
      <w:r>
        <w:pict>
          <v:rect style="width:0;height:1.5pt" o:hralign="center" o:hrstd="t" o:hr="t"/>
        </w:pict>
      </w:r>
    </w:p>
    <w:bookmarkEnd w:id="120"/>
    <w:bookmarkStart w:id="121" w:name="Xae8c6977c50855abc6bb1c3e9bfd2fb4f12fc4d"/>
    <w:p>
      <w:pPr>
        <w:pStyle w:val="Heading3"/>
      </w:pPr>
      <w:r>
        <w:t xml:space="preserve">Addendum #3 — Model-update notification and pinning rights</w:t>
      </w:r>
    </w:p>
    <w:p>
      <w:pPr>
        <w:pStyle w:val="FirstParagraph"/>
      </w:pPr>
      <w:r>
        <w:rPr>
          <w:b/>
          <w:bCs/>
        </w:rPr>
        <w:t xml:space="preserve">Verbatim sample contract language.</w:t>
      </w:r>
      <w:r>
        <w:t xml:space="preserve"> </w:t>
      </w:r>
      <w:r>
        <w:rPr>
          <w:i/>
          <w:iCs/>
        </w:rPr>
        <w:t xml:space="preserve">“Vendor shall provide no less than thirty (30) days advance written notice of any material change to the underlying foundation model powering the Service, including a model version upgrade, a model provider change, or a system-prompt change materially affecting Output behavior. Customer shall have the right to pin the Service to the prior model version for not less than ninety (90) days following such notice, and shall have the right to refuse the model swap with prorated refund of prepaid fees if Customer’s good-faith re-evaluation demonstrates a material regression in Service behavior against Customer’s representative test cases.”</w:t>
      </w:r>
    </w:p>
    <w:p>
      <w:pPr>
        <w:pStyle w:val="BodyText"/>
      </w:pPr>
      <w:r>
        <w:rPr>
          <w:b/>
          <w:bCs/>
        </w:rPr>
        <w:t xml:space="preserve">Why it emerged.</w:t>
      </w:r>
      <w:r>
        <w:t xml:space="preserve"> </w:t>
      </w:r>
      <w:r>
        <w:t xml:space="preserve">OpenAI’s March 2025 GPT-4 to GPT-4-Turbo silent swap produced downstream prompt-tuning regressions for a subset of customers; the Anthropic Claude 3.5 → 3.6 → 3.7 sequence through 2024–2025 produced parallel behavior drift; Anthropic’s April 2025 Responsible Scaling Policy-driven Sonnet update made the pattern repeatable. Model deprecation became a procurement event through 2024–2026: GPT-3.5 deprecated mid-2024, Claude 1 and 2 by end of 2024, multiple Claude 3 family endpoints retired through 2025, Gemini 1.5 family rotated through 2025.</w:t>
      </w:r>
    </w:p>
    <w:p>
      <w:pPr>
        <w:pStyle w:val="BodyText"/>
      </w:pPr>
      <w:r>
        <w:rPr>
          <w:b/>
          <w:bCs/>
        </w:rPr>
        <w:t xml:space="preserve">Owner.</w:t>
      </w:r>
      <w:r>
        <w:t xml:space="preserve"> </w:t>
      </w:r>
      <w:r>
        <w:t xml:space="preserve">Legal + AI Governance Council.</w:t>
      </w:r>
    </w:p>
    <w:p>
      <w:pPr>
        <w:pStyle w:val="BodyText"/>
      </w:pPr>
      <w:r>
        <w:rPr>
          <w:b/>
          <w:bCs/>
        </w:rPr>
        <w:t xml:space="preserve">Vendor response patterns.</w:t>
      </w:r>
      <w:r>
        <w:t xml:space="preserve"> </w:t>
      </w:r>
      <w:r>
        <w:t xml:space="preserve">Increasingly compliant at OpenAI Enterprise (30–60 day notice), Anthropic Enterprise (90 day notice on major versions), AWS Bedrock, Azure OpenAI. Resistance from vendors fully dependent on a single foundation-model provider who cannot themselves pin upstream. Harvey, Hippocratic, and Sierra ship some version of model-pin disclosure but not all of them grant the right-to-refuse with prorated refund; that is the negotiating leverage.</w:t>
      </w:r>
    </w:p>
    <w:p>
      <w:pPr>
        <w:pStyle w:val="BodyText"/>
      </w:pPr>
      <w:r>
        <w:rPr>
          <w:b/>
          <w:bCs/>
        </w:rPr>
        <w:t xml:space="preserve">Risk if vendor refuses.</w:t>
      </w:r>
      <w:r>
        <w:t xml:space="preserve"> </w:t>
      </w:r>
      <w:r>
        <w:t xml:space="preserve">Hard reject from AI Council in regulated industries (FSI, healthcare, defense). Also material exposure if a model swap mid-deployment changes Article 14 oversight surface or invalidates a signed eval report.</w:t>
      </w:r>
    </w:p>
    <w:p>
      <w:r>
        <w:pict>
          <v:rect style="width:0;height:1.5pt" o:hralign="center" o:hrstd="t" o:hr="t"/>
        </w:pict>
      </w:r>
    </w:p>
    <w:bookmarkEnd w:id="121"/>
    <w:bookmarkStart w:id="122" w:name="X9040f7d4778ded5653b7ca90f2c56b31e7dd2f1"/>
    <w:p>
      <w:pPr>
        <w:pStyle w:val="Heading3"/>
      </w:pPr>
      <w:r>
        <w:t xml:space="preserve">Addendum #4 — Hallucination indemnity caps and carve-outs</w:t>
      </w:r>
    </w:p>
    <w:p>
      <w:pPr>
        <w:pStyle w:val="FirstParagraph"/>
      </w:pPr>
      <w:r>
        <w:rPr>
          <w:b/>
          <w:bCs/>
        </w:rPr>
        <w:t xml:space="preserve">Verbatim sample contract language.</w:t>
      </w:r>
      <w:r>
        <w:t xml:space="preserve"> </w:t>
      </w:r>
      <w:r>
        <w:rPr>
          <w:i/>
          <w:iCs/>
        </w:rPr>
        <w:t xml:space="preserve">“Vendor shall indemnify Customer for damages from materially inaccurate Outputs reasonably relied upon by Customer in production, including damages arising from third-party reliance on such Outputs in the ordinary course of Customer’s business. This indemnity shall be capped at two (2) times the trailing twelve-month fees paid under this Agreement and shall not be subject to the general liability cap. The indemnity shall exclude damages caused by Customer’s misuse of the Service materially contrary to Vendor’s documented use guidelines.”</w:t>
      </w:r>
    </w:p>
    <w:p>
      <w:pPr>
        <w:pStyle w:val="BodyText"/>
      </w:pPr>
      <w:r>
        <w:rPr>
          <w:b/>
          <w:bCs/>
        </w:rPr>
        <w:t xml:space="preserve">Why it emerged.</w:t>
      </w:r>
      <w:r>
        <w:t xml:space="preserve"> </w:t>
      </w:r>
      <w:r>
        <w:t xml:space="preserve">Moffatt v. Air Canada (BC CRT, February 2024) — the airline was held bound by its chatbot’s hallucinated bereavement-refund policy, and the</w:t>
      </w:r>
      <w:r>
        <w:t xml:space="preserve"> </w:t>
      </w:r>
      <w:r>
        <w:t xml:space="preserve">“chatbot is a separate legal entity”</w:t>
      </w:r>
      <w:r>
        <w:t xml:space="preserve"> </w:t>
      </w:r>
      <w:r>
        <w:t xml:space="preserve">theory failed. The ruling crystallized hallucination as a category of liability the deploying party holds absent specific contract language. Through 2024 and 2025 the F1000 GC view consolidated: insert the indemnity, do not rely on disclaimer.</w:t>
      </w:r>
    </w:p>
    <w:p>
      <w:pPr>
        <w:pStyle w:val="BodyText"/>
      </w:pPr>
      <w:r>
        <w:rPr>
          <w:b/>
          <w:bCs/>
        </w:rPr>
        <w:t xml:space="preserve">Owner.</w:t>
      </w:r>
      <w:r>
        <w:t xml:space="preserve"> </w:t>
      </w:r>
      <w:r>
        <w:t xml:space="preserve">Legal (litigation counsel).</w:t>
      </w:r>
    </w:p>
    <w:p>
      <w:pPr>
        <w:pStyle w:val="BodyText"/>
      </w:pPr>
      <w:r>
        <w:rPr>
          <w:b/>
          <w:bCs/>
        </w:rPr>
        <w:t xml:space="preserve">Vendor response patterns.</w:t>
      </w:r>
      <w:r>
        <w:t xml:space="preserve"> </w:t>
      </w:r>
      <w:r>
        <w:t xml:space="preserve">Negotiated. Landing zone in Q2 2026 is 1–2x ARR carve-out separate from the general cap, with misuse exclusions and a cure-period for inaccuracies disclosed in vendor documentation. Sierra, Decagon, Cresta carry $5M+ aggregate liability terms in F500 master agreements; this is the precedent to cite.</w:t>
      </w:r>
    </w:p>
    <w:p>
      <w:pPr>
        <w:pStyle w:val="BodyText"/>
      </w:pPr>
      <w:r>
        <w:rPr>
          <w:b/>
          <w:bCs/>
        </w:rPr>
        <w:t xml:space="preserve">Risk if vendor refuses.</w:t>
      </w:r>
      <w:r>
        <w:t xml:space="preserve"> </w:t>
      </w:r>
      <w:r>
        <w:t xml:space="preserve">GC blocks. Deal renegotiated at smaller scope or moves to a per-use-case carve-out structure rather than aggregate.</w:t>
      </w:r>
    </w:p>
    <w:p>
      <w:r>
        <w:pict>
          <v:rect style="width:0;height:1.5pt" o:hralign="center" o:hrstd="t" o:hr="t"/>
        </w:pict>
      </w:r>
    </w:p>
    <w:bookmarkEnd w:id="122"/>
    <w:bookmarkStart w:id="123" w:name="Xe9fda12f11750c05513c98f99b87d3108cec28e"/>
    <w:p>
      <w:pPr>
        <w:pStyle w:val="Heading3"/>
      </w:pPr>
      <w:r>
        <w:t xml:space="preserve">Addendum #5 — Agent-action liability allocation</w:t>
      </w:r>
    </w:p>
    <w:p>
      <w:pPr>
        <w:pStyle w:val="FirstParagraph"/>
      </w:pPr>
      <w:r>
        <w:rPr>
          <w:b/>
          <w:bCs/>
        </w:rPr>
        <w:t xml:space="preserve">Verbatim sample contract language.</w:t>
      </w:r>
      <w:r>
        <w:t xml:space="preserve"> </w:t>
      </w:r>
      <w:r>
        <w:rPr>
          <w:i/>
          <w:iCs/>
        </w:rPr>
        <w:t xml:space="preserve">“For Outputs that constitute autonomous Actions taken by the Service on systems or data outside the Service’s tenancy — including without limitation sending external email, posting to a customer-facing channel, charging a payment instrument, executing a financial transaction, modifying a system of record, granting access, or making external API calls on Customer’s behalf — Vendor’s indemnity shall extend to three (3) times the trailing twelve-month fees paid under this Agreement, separately capped from the general liability cap and from the hallucination-indemnity cap. The indemnity shall apply where the Action is taken without prior human approval consistent with Vendor’s documented Tool-Boundary Policy and Action-Rollback Procedure.”</w:t>
      </w:r>
    </w:p>
    <w:p>
      <w:pPr>
        <w:pStyle w:val="BodyText"/>
      </w:pPr>
      <w:r>
        <w:rPr>
          <w:b/>
          <w:bCs/>
        </w:rPr>
        <w:t xml:space="preserve">Why it emerged.</w:t>
      </w:r>
      <w:r>
        <w:t xml:space="preserve"> </w:t>
      </w:r>
      <w:r>
        <w:t xml:space="preserve">Sierra and Decagon production deployments through 2024–2026 produced the first wave of autonomous-agent incidents in the field — mass-mailer over-sends, refund cascades, unauthorized scope grants — that legal teams could trace to a specific contractual gap. The Air Canada precedent extended naturally: if the chatbot’s</w:t>
      </w:r>
      <w:r>
        <w:t xml:space="preserve"> </w:t>
      </w:r>
      <w:r>
        <w:rPr>
          <w:i/>
          <w:iCs/>
        </w:rPr>
        <w:t xml:space="preserve">output</w:t>
      </w:r>
      <w:r>
        <w:t xml:space="preserve"> </w:t>
      </w:r>
      <w:r>
        <w:t xml:space="preserve">binds the company, the agent’s</w:t>
      </w:r>
      <w:r>
        <w:t xml:space="preserve"> </w:t>
      </w:r>
      <w:r>
        <w:rPr>
          <w:i/>
          <w:iCs/>
        </w:rPr>
        <w:t xml:space="preserve">action</w:t>
      </w:r>
      <w:r>
        <w:t xml:space="preserve"> </w:t>
      </w:r>
      <w:r>
        <w:t xml:space="preserve">binds the company harder. Through 2025 the agent-action category became a board-level concern at F1000 with non-trivial autonomous deployments.</w:t>
      </w:r>
    </w:p>
    <w:p>
      <w:pPr>
        <w:pStyle w:val="BodyText"/>
      </w:pPr>
      <w:r>
        <w:rPr>
          <w:b/>
          <w:bCs/>
        </w:rPr>
        <w:t xml:space="preserve">Owner.</w:t>
      </w:r>
      <w:r>
        <w:t xml:space="preserve"> </w:t>
      </w:r>
      <w:r>
        <w:t xml:space="preserve">Legal + InfoSec.</w:t>
      </w:r>
    </w:p>
    <w:p>
      <w:pPr>
        <w:pStyle w:val="BodyText"/>
      </w:pPr>
      <w:r>
        <w:rPr>
          <w:b/>
          <w:bCs/>
        </w:rPr>
        <w:t xml:space="preserve">Vendor response patterns.</w:t>
      </w:r>
      <w:r>
        <w:t xml:space="preserve"> </w:t>
      </w:r>
      <w:r>
        <w:t xml:space="preserve">Negotiated. Vendors push back hard on the definition of</w:t>
      </w:r>
      <w:r>
        <w:t xml:space="preserve"> </w:t>
      </w:r>
      <w:r>
        <w:t xml:space="preserve">“autonomous”</w:t>
      </w:r>
      <w:r>
        <w:t xml:space="preserve"> </w:t>
      </w:r>
      <w:r>
        <w:t xml:space="preserve">— the negotiating wedge is to tie the definition to the vendor’s own Tool-Boundary Policy (Overlay #1) and Action-Rollback Procedure (Overlay #3). Sierra and Decagon will carry the indemnity if the autonomous-tier action surface is documented; refusal correlates with vendors who have not done the documentation work.</w:t>
      </w:r>
    </w:p>
    <w:p>
      <w:pPr>
        <w:pStyle w:val="BodyText"/>
      </w:pPr>
      <w:r>
        <w:rPr>
          <w:b/>
          <w:bCs/>
        </w:rPr>
        <w:t xml:space="preserve">Risk if vendor refuses.</w:t>
      </w:r>
      <w:r>
        <w:t xml:space="preserve"> </w:t>
      </w:r>
      <w:r>
        <w:t xml:space="preserve">Deal-killer for any high-autonomy use case. EU AI Act Article 14 enforcement (late 2026 onward) hardens this position — autonomous-tier actions on high-risk categories require human-oversight clauses by regulation, and the indemnity is the contractual mirror.</w:t>
      </w:r>
    </w:p>
    <w:p>
      <w:r>
        <w:pict>
          <v:rect style="width:0;height:1.5pt" o:hralign="center" o:hrstd="t" o:hr="t"/>
        </w:pict>
      </w:r>
    </w:p>
    <w:bookmarkEnd w:id="123"/>
    <w:bookmarkStart w:id="124" w:name="X30ecba15748202bc88b680da8c9cba02ebbaa7a"/>
    <w:p>
      <w:pPr>
        <w:pStyle w:val="Heading3"/>
      </w:pPr>
      <w:r>
        <w:t xml:space="preserve">Addendum #6 — Sub-processor consent for foundation-model providers</w:t>
      </w:r>
    </w:p>
    <w:p>
      <w:pPr>
        <w:pStyle w:val="FirstParagraph"/>
      </w:pPr>
      <w:r>
        <w:rPr>
          <w:b/>
          <w:bCs/>
        </w:rPr>
        <w:t xml:space="preserve">Verbatim sample contract language.</w:t>
      </w:r>
      <w:r>
        <w:t xml:space="preserve"> </w:t>
      </w:r>
      <w:r>
        <w:rPr>
          <w:i/>
          <w:iCs/>
        </w:rPr>
        <w:t xml:space="preserve">“Vendor shall maintain a current and publicly accessible list of all sub-processors used in the provision of the Service, including all foundation-model providers, and shall identify the categories of Customer Data flowing to each. Vendor shall provide Customer no less than thirty (30) days advance notice of any addition, removal, or material change in scope of any sub-processor, including any change in foundation-model provider. Customer shall have the right to object to a proposed sub-processor change on reasonable grounds (including data-residency, regulatory, or competitive concerns) and, if the parties cannot resolve the objection within sixty (60) days, to terminate this Agreement without penalty and recover prepaid fees on a prorated basis.”</w:t>
      </w:r>
    </w:p>
    <w:p>
      <w:pPr>
        <w:pStyle w:val="BodyText"/>
      </w:pPr>
      <w:r>
        <w:rPr>
          <w:b/>
          <w:bCs/>
        </w:rPr>
        <w:t xml:space="preserve">Why it emerged.</w:t>
      </w:r>
      <w:r>
        <w:t xml:space="preserve"> </w:t>
      </w:r>
      <w:r>
        <w:t xml:space="preserve">Schrems II (2020) and the ongoing US-EU data-flow contestation through the EU-US Data Privacy Framework (2023). The Italian Garante’s ChatGPT order (March 2023) made foundation-model data residency a regulatory event. Through 2024–2026 the foundation-model sub-processor question hardened into the standard DPA template question; vendor refusal to disclose the foundation-model provider became a Privacy review fail.</w:t>
      </w:r>
    </w:p>
    <w:p>
      <w:pPr>
        <w:pStyle w:val="BodyText"/>
      </w:pPr>
      <w:r>
        <w:rPr>
          <w:b/>
          <w:bCs/>
        </w:rPr>
        <w:t xml:space="preserve">Owner.</w:t>
      </w:r>
      <w:r>
        <w:t xml:space="preserve"> </w:t>
      </w:r>
      <w:r>
        <w:t xml:space="preserve">Privacy + Legal.</w:t>
      </w:r>
    </w:p>
    <w:p>
      <w:pPr>
        <w:pStyle w:val="BodyText"/>
      </w:pPr>
      <w:r>
        <w:rPr>
          <w:b/>
          <w:bCs/>
        </w:rPr>
        <w:t xml:space="preserve">Vendor response patterns.</w:t>
      </w:r>
      <w:r>
        <w:t xml:space="preserve"> </w:t>
      </w:r>
      <w:r>
        <w:t xml:space="preserve">Compliant by default on disclosure. The contested element is the right-to-object — vendors push for</w:t>
      </w:r>
      <w:r>
        <w:t xml:space="preserve"> </w:t>
      </w:r>
      <w:r>
        <w:t xml:space="preserve">“notice only,”</w:t>
      </w:r>
      <w:r>
        <w:t xml:space="preserve"> </w:t>
      </w:r>
      <w:r>
        <w:t xml:space="preserve">buyers push for</w:t>
      </w:r>
      <w:r>
        <w:t xml:space="preserve"> </w:t>
      </w:r>
      <w:r>
        <w:t xml:space="preserve">“object with termination right.”</w:t>
      </w:r>
      <w:r>
        <w:t xml:space="preserve"> </w:t>
      </w:r>
      <w:r>
        <w:t xml:space="preserve">Landing zone in Q2 2026 is notice plus a reasonable-grounds objection right with a defined cure period.</w:t>
      </w:r>
    </w:p>
    <w:p>
      <w:pPr>
        <w:pStyle w:val="BodyText"/>
      </w:pPr>
      <w:r>
        <w:rPr>
          <w:b/>
          <w:bCs/>
        </w:rPr>
        <w:t xml:space="preserve">Risk if vendor refuses.</w:t>
      </w:r>
      <w:r>
        <w:t xml:space="preserve"> </w:t>
      </w:r>
      <w:r>
        <w:t xml:space="preserve">Deal-killer. Privacy review fail. DPA cannot be executed.</w:t>
      </w:r>
    </w:p>
    <w:p>
      <w:r>
        <w:pict>
          <v:rect style="width:0;height:1.5pt" o:hralign="center" o:hrstd="t" o:hr="t"/>
        </w:pict>
      </w:r>
    </w:p>
    <w:bookmarkEnd w:id="124"/>
    <w:bookmarkStart w:id="125" w:name="Xa4e83cd1c69b97899a051b76542984e32ec9382"/>
    <w:p>
      <w:pPr>
        <w:pStyle w:val="Heading3"/>
      </w:pPr>
      <w:r>
        <w:t xml:space="preserve">Addendum #7 — Kill-switch and immediate-shutdown rights</w:t>
      </w:r>
    </w:p>
    <w:p>
      <w:pPr>
        <w:pStyle w:val="FirstParagraph"/>
      </w:pPr>
      <w:r>
        <w:rPr>
          <w:b/>
          <w:bCs/>
        </w:rPr>
        <w:t xml:space="preserve">Verbatim sample contract language.</w:t>
      </w:r>
      <w:r>
        <w:t xml:space="preserve"> </w:t>
      </w:r>
      <w:r>
        <w:rPr>
          <w:i/>
          <w:iCs/>
        </w:rPr>
        <w:t xml:space="preserve">“Customer shall have the right to immediately disable the Service, or any specific Agent, sub-agent, tool, or capability thereof, via a defined interface available to Customer’s authorized administrators twenty-four hours a day, seven days a week. The disable action shall require no remediation period, no Vendor consent, and no support-ticket process. Vendor shall test the disable interface no less frequently than quarterly and shall report test results to Customer. Vendor shall not charge Customer fees for the duration of any Customer-initiated disable period.”</w:t>
      </w:r>
    </w:p>
    <w:p>
      <w:pPr>
        <w:pStyle w:val="BodyText"/>
      </w:pPr>
      <w:r>
        <w:rPr>
          <w:b/>
          <w:bCs/>
        </w:rPr>
        <w:t xml:space="preserve">Why it emerged.</w:t>
      </w:r>
      <w:r>
        <w:t xml:space="preserve"> </w:t>
      </w:r>
      <w:r>
        <w:t xml:space="preserve">Microsoft Tay (2016, the original kill-switch lesson). Bing chatbot (February 2023). Air Canada (February 2024). Through 2024–2025 the F1000 InfoSec view consolidated: the kill-switch must be in the buyer’s hands or in a documented automated path. A kill-switch that requires opening a support ticket is not a kill-switch.</w:t>
      </w:r>
    </w:p>
    <w:p>
      <w:pPr>
        <w:pStyle w:val="BodyText"/>
      </w:pPr>
      <w:r>
        <w:rPr>
          <w:b/>
          <w:bCs/>
        </w:rPr>
        <w:t xml:space="preserve">Owner.</w:t>
      </w:r>
      <w:r>
        <w:t xml:space="preserve"> </w:t>
      </w:r>
      <w:r>
        <w:t xml:space="preserve">InfoSec + Enterprise Architecture.</w:t>
      </w:r>
    </w:p>
    <w:p>
      <w:pPr>
        <w:pStyle w:val="BodyText"/>
      </w:pPr>
      <w:r>
        <w:rPr>
          <w:b/>
          <w:bCs/>
        </w:rPr>
        <w:t xml:space="preserve">Vendor response patterns.</w:t>
      </w:r>
      <w:r>
        <w:t xml:space="preserve"> </w:t>
      </w:r>
      <w:r>
        <w:t xml:space="preserve">Compliant in principle at every credible enterprise vendor. The variation is in the interface — some vendors expose a console toggle, some expose an API, some require a support call within an SLA. Push for a console toggle plus an API and quarterly testing.</w:t>
      </w:r>
    </w:p>
    <w:p>
      <w:pPr>
        <w:pStyle w:val="BodyText"/>
      </w:pPr>
      <w:r>
        <w:rPr>
          <w:b/>
          <w:bCs/>
        </w:rPr>
        <w:t xml:space="preserve">Risk if vendor refuses.</w:t>
      </w:r>
      <w:r>
        <w:t xml:space="preserve"> </w:t>
      </w:r>
      <w:r>
        <w:t xml:space="preserve">Deal-killer. Also a regulatory exposure under EU AI Act Article 14 and most sectoral regimes.</w:t>
      </w:r>
    </w:p>
    <w:p>
      <w:r>
        <w:pict>
          <v:rect style="width:0;height:1.5pt" o:hralign="center" o:hrstd="t" o:hr="t"/>
        </w:pict>
      </w:r>
    </w:p>
    <w:bookmarkEnd w:id="125"/>
    <w:bookmarkStart w:id="126" w:name="X71f37d266839f35099e57ae2c92587a51e9648c"/>
    <w:p>
      <w:pPr>
        <w:pStyle w:val="Heading3"/>
      </w:pPr>
      <w:r>
        <w:t xml:space="preserve">Addendum #8 — Eval-report sharing on a defined cadence (the Bet #1 wedge)</w:t>
      </w:r>
    </w:p>
    <w:p>
      <w:pPr>
        <w:pStyle w:val="FirstParagraph"/>
      </w:pPr>
      <w:r>
        <w:rPr>
          <w:b/>
          <w:bCs/>
        </w:rPr>
        <w:t xml:space="preserve">Verbatim sample contract language.</w:t>
      </w:r>
      <w:r>
        <w:t xml:space="preserve"> </w:t>
      </w:r>
      <w:r>
        <w:rPr>
          <w:i/>
          <w:iCs/>
        </w:rPr>
        <w:t xml:space="preserve">“Vendor shall deliver to Customer, on a quarterly basis and within thirty (30) days of any model-version change affecting the Service, a Signed Reproducible Evaluation Report covering performance on a defined set of Agent tasks representative of Customer’s deployment. The Report shall specify: (a) the model identifier; (b) the dataset identifier and cryptographic hash; (c) the harness version; (d) the metrics, methodology, and confidence intervals; (e) reproduction instructions sufficient for Customer’s team to independently re-run the evaluation. The Report shall be signed by a named Vendor representative and dated. A reproduction by Customer’s team yielding a score outside five (5) points of the Report’s stated score shall constitute a material breach of the eval-evidence warranty.”</w:t>
      </w:r>
    </w:p>
    <w:p>
      <w:pPr>
        <w:pStyle w:val="BodyText"/>
      </w:pPr>
      <w:r>
        <w:rPr>
          <w:b/>
          <w:bCs/>
        </w:rPr>
        <w:t xml:space="preserve">Why it emerged.</w:t>
      </w:r>
      <w:r>
        <w:t xml:space="preserve"> </w:t>
      </w:r>
      <w:r>
        <w:t xml:space="preserve">AI Governance Council formalization across F1000 in 2024–2025. NIST AI RMF GenAI Profile (July 2024). The procurement-readiness gap: every vendor produced internal benchmarks, none were buyer-reproducible, none survived a regulator subpoena. The Bartz settlement framework and the NYT v. OpenAI proceedings made</w:t>
      </w:r>
      <w:r>
        <w:t xml:space="preserve"> </w:t>
      </w:r>
      <w:r>
        <w:t xml:space="preserve">“what did you know and when did you know it about your model’s behavior on this class of input”</w:t>
      </w:r>
      <w:r>
        <w:t xml:space="preserve"> </w:t>
      </w:r>
      <w:r>
        <w:t xml:space="preserve">a litigated question.</w:t>
      </w:r>
    </w:p>
    <w:p>
      <w:pPr>
        <w:pStyle w:val="BodyText"/>
      </w:pPr>
      <w:r>
        <w:rPr>
          <w:b/>
          <w:bCs/>
        </w:rPr>
        <w:t xml:space="preserve">Owner.</w:t>
      </w:r>
      <w:r>
        <w:t xml:space="preserve"> </w:t>
      </w:r>
      <w:r>
        <w:t xml:space="preserve">AI Governance Council (with Legal and InfoSec as co-signers).</w:t>
      </w:r>
    </w:p>
    <w:p>
      <w:pPr>
        <w:pStyle w:val="BodyText"/>
      </w:pPr>
      <w:r>
        <w:rPr>
          <w:b/>
          <w:bCs/>
        </w:rPr>
        <w:t xml:space="preserve">Vendor response patterns.</w:t>
      </w:r>
      <w:r>
        <w:t xml:space="preserve"> </w:t>
      </w:r>
      <w:r>
        <w:t xml:space="preserve">Few vendors ship turnkey today. Anthropic publishes responsible-disclosure-style model cards; OpenAI does the same; neither yet ships a turnkey signed report tied to a buyer’s specific deployment. Harvey publishes legal-benchmark performance with reproducibility hooks; Hippocratic publishes clinical-task evals with the right methodological discipline; Sierra reports outcome-based metrics that translate poorly to a regulator subpoena framing; Decagon and Glean lag.</w:t>
      </w:r>
    </w:p>
    <w:p>
      <w:pPr>
        <w:pStyle w:val="BodyText"/>
      </w:pPr>
      <w:r>
        <w:rPr>
          <w:b/>
          <w:bCs/>
        </w:rPr>
        <w:t xml:space="preserve">Risk if vendor refuses.</w:t>
      </w:r>
      <w:r>
        <w:t xml:space="preserve"> </w:t>
      </w:r>
      <w:r>
        <w:t xml:space="preserve">AI Council blocks for any high-risk use case. This is the load-bearing Bet #1 wedge — the canonical buyer-side standard for signed reproducible eval reports does not yet exist, and the first credible publisher will set the procurement default for the next five years.</w:t>
      </w:r>
    </w:p>
    <w:p>
      <w:r>
        <w:pict>
          <v:rect style="width:0;height:1.5pt" o:hralign="center" o:hrstd="t" o:hr="t"/>
        </w:pict>
      </w:r>
    </w:p>
    <w:bookmarkEnd w:id="126"/>
    <w:bookmarkStart w:id="127" w:name="Xd41555ac55a3d8f2ab9e7c8adcf98c969377781"/>
    <w:p>
      <w:pPr>
        <w:pStyle w:val="Heading3"/>
      </w:pPr>
      <w:r>
        <w:t xml:space="preserve">Addendum #9 — Red-team frequency and reporting</w:t>
      </w:r>
    </w:p>
    <w:p>
      <w:pPr>
        <w:pStyle w:val="FirstParagraph"/>
      </w:pPr>
      <w:r>
        <w:rPr>
          <w:b/>
          <w:bCs/>
        </w:rPr>
        <w:t xml:space="preserve">Verbatim sample contract language.</w:t>
      </w:r>
      <w:r>
        <w:t xml:space="preserve"> </w:t>
      </w:r>
      <w:r>
        <w:rPr>
          <w:i/>
          <w:iCs/>
        </w:rPr>
        <w:t xml:space="preserve">“Vendor shall conduct adaptive-adversary red-teaming of the Service no less frequently than annually, and shall conduct an additional red-team within sixty (60) days following any material model update or system-prompt change. Each red-team shall be conducted by a named external red-team partner or by a credible internal team with external attestation. Vendor shall share with Customer the methodology, scope, findings, and remediation status of each red-team within thirty (30) days of completion. Discovery of a critical vulnerability (defined as enabling unauthorized data exfiltration, unauthorized action, or privilege escalation) shall constitute a Security Incident requiring notification to Customer within forty-eight (48) hours.”</w:t>
      </w:r>
    </w:p>
    <w:p>
      <w:pPr>
        <w:pStyle w:val="BodyText"/>
      </w:pPr>
      <w:r>
        <w:rPr>
          <w:b/>
          <w:bCs/>
        </w:rPr>
        <w:t xml:space="preserve">Why it emerged.</w:t>
      </w:r>
      <w:r>
        <w:t xml:space="preserve"> </w:t>
      </w:r>
      <w:r>
        <w:t xml:space="preserve">EU AI Act passage (March 2024) made red-teaming a regulatory expectation. The Microsoft Copilot Studio prompt-injection demos at Black Hat 2024 and the EchoLeak class disclosures through 2025 made the threat surface concrete. NIST AI RMF GenAI Profile (July 2024) formalized red-team frequency expectations. The pattern through 2024–2026: vendors who could cite a named external red-team partner closed faster; vendors who self-assessed lost InfoSec battles.</w:t>
      </w:r>
    </w:p>
    <w:p>
      <w:pPr>
        <w:pStyle w:val="BodyText"/>
      </w:pPr>
      <w:r>
        <w:rPr>
          <w:b/>
          <w:bCs/>
        </w:rPr>
        <w:t xml:space="preserve">Owner.</w:t>
      </w:r>
      <w:r>
        <w:t xml:space="preserve"> </w:t>
      </w:r>
      <w:r>
        <w:t xml:space="preserve">AI Governance Council + InfoSec.</w:t>
      </w:r>
    </w:p>
    <w:p>
      <w:pPr>
        <w:pStyle w:val="BodyText"/>
      </w:pPr>
      <w:r>
        <w:rPr>
          <w:b/>
          <w:bCs/>
        </w:rPr>
        <w:t xml:space="preserve">Vendor response patterns.</w:t>
      </w:r>
      <w:r>
        <w:t xml:space="preserve"> </w:t>
      </w:r>
      <w:r>
        <w:t xml:space="preserve">Anthropic and OpenAI ship public summaries of frontier red-team work; vertical-agent vendors are uneven. Sierra, Decagon, and Harvey partner with red-team specialists (Lakera Red, Robust Intelligence, HiddenLayer); the partnership is preferable to internal-only because conflict-of-interest is real when the vendor grades its own homework. Refusal to name the red-team partner is the rejection signal.</w:t>
      </w:r>
    </w:p>
    <w:p>
      <w:pPr>
        <w:pStyle w:val="BodyText"/>
      </w:pPr>
      <w:r>
        <w:rPr>
          <w:b/>
          <w:bCs/>
        </w:rPr>
        <w:t xml:space="preserve">Risk if vendor refuses.</w:t>
      </w:r>
      <w:r>
        <w:t xml:space="preserve"> </w:t>
      </w:r>
      <w:r>
        <w:t xml:space="preserve">AI Council blocks for any regulated use case. Also material exposure under EU AI Act Article 15 (accuracy, robustness, cybersecurity).</w:t>
      </w:r>
    </w:p>
    <w:p>
      <w:r>
        <w:pict>
          <v:rect style="width:0;height:1.5pt" o:hralign="center" o:hrstd="t" o:hr="t"/>
        </w:pict>
      </w:r>
    </w:p>
    <w:bookmarkEnd w:id="127"/>
    <w:bookmarkStart w:id="128" w:name="X9f4aa41f7358613784a48d7aef88a2f726afc77"/>
    <w:p>
      <w:pPr>
        <w:pStyle w:val="Heading3"/>
      </w:pPr>
      <w:r>
        <w:t xml:space="preserve">Addendum #10 — Indirect-prompt-injection defense attestation</w:t>
      </w:r>
    </w:p>
    <w:p>
      <w:pPr>
        <w:pStyle w:val="FirstParagraph"/>
      </w:pPr>
      <w:r>
        <w:rPr>
          <w:b/>
          <w:bCs/>
        </w:rPr>
        <w:t xml:space="preserve">Verbatim sample contract language.</w:t>
      </w:r>
      <w:r>
        <w:t xml:space="preserve"> </w:t>
      </w:r>
      <w:r>
        <w:rPr>
          <w:i/>
          <w:iCs/>
        </w:rPr>
        <w:t xml:space="preserve">“Vendor shall maintain an annual attestation of the Service’s defenses against indirect prompt injection, including: (a) the documented threat model; (b) the mitigation design (input filtering, output validation, tool-level isolation, planning-context tainting); (c) test results against an adaptive-adversary test suite, with success rates disclosed honestly against tool returns, retrieved document context, and multi-turn injection sequences; (d) the kill-switch procedure and the buyer-notification SLA when a new injection class is discovered. Vendor shall provide the attestation to Customer no less frequently than annually, and shall update it within thirty (30) days following the discovery of any injection class against which the Service’s defense rate falls below sixty percent (60%).”</w:t>
      </w:r>
    </w:p>
    <w:p>
      <w:pPr>
        <w:pStyle w:val="BodyText"/>
      </w:pPr>
      <w:r>
        <w:rPr>
          <w:b/>
          <w:bCs/>
        </w:rPr>
        <w:t xml:space="preserve">Why it emerged.</w:t>
      </w:r>
      <w:r>
        <w:t xml:space="preserve"> </w:t>
      </w:r>
      <w:r>
        <w:t xml:space="preserve">Microsoft Copilot Studio prompt-injection demos at Black Hat 2024. EchoLeak class disclosures through 2025. The 2024–2026 recognition that public-corpus benchmarks (95%+ scores) and adaptive-adversary methodology (60–80% honest success rates) are different categories of evidence and should not be conflated.</w:t>
      </w:r>
    </w:p>
    <w:p>
      <w:pPr>
        <w:pStyle w:val="BodyText"/>
      </w:pPr>
      <w:r>
        <w:rPr>
          <w:b/>
          <w:bCs/>
        </w:rPr>
        <w:t xml:space="preserve">Owner.</w:t>
      </w:r>
      <w:r>
        <w:t xml:space="preserve"> </w:t>
      </w:r>
      <w:r>
        <w:t xml:space="preserve">InfoSec.</w:t>
      </w:r>
    </w:p>
    <w:p>
      <w:pPr>
        <w:pStyle w:val="BodyText"/>
      </w:pPr>
      <w:r>
        <w:rPr>
          <w:b/>
          <w:bCs/>
        </w:rPr>
        <w:t xml:space="preserve">Vendor response patterns.</w:t>
      </w:r>
      <w:r>
        <w:t xml:space="preserve"> </w:t>
      </w:r>
      <w:r>
        <w:t xml:space="preserve">Few vendors ship turnkey attestations. Lakera publishes the most honest disclosure in the category; Robust Intelligence sells more broadly; HiddenLayer is improving on the model-supply-chain side. Anthropic and OpenAI publish responsible-disclosure timelines but do not yet ship turnkey attestations tied to buyer deployments. Vertical-agent vendors are emerging.</w:t>
      </w:r>
    </w:p>
    <w:p>
      <w:pPr>
        <w:pStyle w:val="BodyText"/>
      </w:pPr>
      <w:r>
        <w:rPr>
          <w:b/>
          <w:bCs/>
        </w:rPr>
        <w:t xml:space="preserve">Risk if vendor refuses.</w:t>
      </w:r>
      <w:r>
        <w:t xml:space="preserve"> </w:t>
      </w:r>
      <w:r>
        <w:t xml:space="preserve">InfoSec blocks for any agent ingesting external content — which is most agents in production. Also a board-level exposure once the first F500 indirect-injection breach surfaces in the press.</w:t>
      </w:r>
    </w:p>
    <w:p>
      <w:r>
        <w:pict>
          <v:rect style="width:0;height:1.5pt" o:hralign="center" o:hrstd="t" o:hr="t"/>
        </w:pict>
      </w:r>
    </w:p>
    <w:bookmarkEnd w:id="128"/>
    <w:bookmarkStart w:id="129" w:name="X0c93f28704fa6b28d9f9c30fccc8983c5f8d532"/>
    <w:p>
      <w:pPr>
        <w:pStyle w:val="Heading3"/>
      </w:pPr>
      <w:r>
        <w:t xml:space="preserve">Addendum #11 — EU AI Act Article 14 human-oversight conformance</w:t>
      </w:r>
    </w:p>
    <w:p>
      <w:pPr>
        <w:pStyle w:val="FirstParagraph"/>
      </w:pPr>
      <w:r>
        <w:rPr>
          <w:b/>
          <w:bCs/>
        </w:rPr>
        <w:t xml:space="preserve">Verbatim sample contract language.</w:t>
      </w:r>
      <w:r>
        <w:t xml:space="preserve"> </w:t>
      </w:r>
      <w:r>
        <w:rPr>
          <w:i/>
          <w:iCs/>
        </w:rPr>
        <w:t xml:space="preserve">“For any deployment of the Service that constitutes a</w:t>
      </w:r>
      <w:r>
        <w:rPr>
          <w:i/>
          <w:iCs/>
        </w:rPr>
        <w:t xml:space="preserve"> </w:t>
      </w:r>
      <w:r>
        <w:rPr>
          <w:i/>
          <w:iCs/>
        </w:rPr>
        <w:t xml:space="preserve">‘high-risk AI system’</w:t>
      </w:r>
      <w:r>
        <w:rPr>
          <w:i/>
          <w:iCs/>
        </w:rPr>
        <w:t xml:space="preserve"> </w:t>
      </w:r>
      <w:r>
        <w:rPr>
          <w:i/>
          <w:iCs/>
        </w:rPr>
        <w:t xml:space="preserve">under EU AI Act Annex III as applied to Customer’s use case, Vendor shall provide and maintain documentation supporting human-oversight conformance under Article 14 of Regulation (EU) 2024/1689, including: (a) an oversight-design specification mapping each Article 14 sub-requirement to a Service feature; (b) operator-training materials sufficient for Customer’s authorized operators to exercise meaningful oversight; (c) a Fundamental Rights Impact Assessment (FRIA) template completed for Customer’s deployment; (d) refresh procedures upon any material change to the Service. Vendor warrants that the documentation, taken together with the supporting evidence, is sufficient to support Customer’s good-faith demonstration of Article 14 compliance for Customer’s deployment.”</w:t>
      </w:r>
    </w:p>
    <w:p>
      <w:pPr>
        <w:pStyle w:val="BodyText"/>
      </w:pPr>
      <w:r>
        <w:rPr>
          <w:b/>
          <w:bCs/>
        </w:rPr>
        <w:t xml:space="preserve">Why it emerged.</w:t>
      </w:r>
      <w:r>
        <w:t xml:space="preserve"> </w:t>
      </w:r>
      <w:r>
        <w:t xml:space="preserve">EU AI Act passage (March 2024). GPAI obligations in force August 2025. Article 14 implementation guidance to draft April 2026. First enforcement actions expected late 2026 or Q1 2027. Through 2026 the Article 14 tie-out became the most-actionable near-term regulatory lever in the AI procurement stack.</w:t>
      </w:r>
    </w:p>
    <w:p>
      <w:pPr>
        <w:pStyle w:val="BodyText"/>
      </w:pPr>
      <w:r>
        <w:rPr>
          <w:b/>
          <w:bCs/>
        </w:rPr>
        <w:t xml:space="preserve">Owner.</w:t>
      </w:r>
      <w:r>
        <w:t xml:space="preserve"> </w:t>
      </w:r>
      <w:r>
        <w:t xml:space="preserve">AI Governance Council + Legal + Privacy.</w:t>
      </w:r>
    </w:p>
    <w:p>
      <w:pPr>
        <w:pStyle w:val="BodyText"/>
      </w:pPr>
      <w:r>
        <w:rPr>
          <w:b/>
          <w:bCs/>
        </w:rPr>
        <w:t xml:space="preserve">Vendor response patterns.</w:t>
      </w:r>
      <w:r>
        <w:t xml:space="preserve"> </w:t>
      </w:r>
      <w:r>
        <w:t xml:space="preserve">Rare compliant. The Article 14 tie-out is the second Bet #1 wedge alongside the signed eval report — both are categories where the buyer-side standard does not yet exist and the first credible publisher will set the default. Mistral, Anthropic, OpenAI publish adjacent material (Responsible Scaling Policy, Preparedness Framework) that translates with effort. Hippocratic and Harvey publish vertical-specific human-oversight design that maps to Article 14 in regulated workflows.</w:t>
      </w:r>
    </w:p>
    <w:p>
      <w:pPr>
        <w:pStyle w:val="BodyText"/>
      </w:pPr>
      <w:r>
        <w:rPr>
          <w:b/>
          <w:bCs/>
        </w:rPr>
        <w:t xml:space="preserve">Risk if vendor refuses.</w:t>
      </w:r>
      <w:r>
        <w:t xml:space="preserve"> </w:t>
      </w:r>
      <w:r>
        <w:t xml:space="preserve">Deal-killer in EU-exposed F1000 from August 2026 onward. Also material litigation exposure as the first enforcement actions land.</w:t>
      </w:r>
    </w:p>
    <w:p>
      <w:r>
        <w:pict>
          <v:rect style="width:0;height:1.5pt" o:hralign="center" o:hrstd="t" o:hr="t"/>
        </w:pict>
      </w:r>
    </w:p>
    <w:bookmarkEnd w:id="129"/>
    <w:bookmarkStart w:id="130" w:name="Xb69e5679ed0d6c055f584edf72205513c106822"/>
    <w:p>
      <w:pPr>
        <w:pStyle w:val="Heading3"/>
      </w:pPr>
      <w:r>
        <w:t xml:space="preserve">Addendum #12 — Data residency for inference (region-pinning)</w:t>
      </w:r>
    </w:p>
    <w:p>
      <w:pPr>
        <w:pStyle w:val="FirstParagraph"/>
      </w:pPr>
      <w:r>
        <w:rPr>
          <w:b/>
          <w:bCs/>
        </w:rPr>
        <w:t xml:space="preserve">Verbatim sample contract language.</w:t>
      </w:r>
      <w:r>
        <w:t xml:space="preserve"> </w:t>
      </w:r>
      <w:r>
        <w:rPr>
          <w:i/>
          <w:iCs/>
        </w:rPr>
        <w:t xml:space="preserve">“Vendor shall provide an option, available to Customer at contract execution and continuing throughout the Term, for inference processing to occur exclusively within a specified jurisdictional region (including without limitation the European Union, the United States, the United Kingdom, or a sovereign-cloud region nominated by Customer). The region-pinned option shall encompass all foundation-model calls, prompt processing, output generation, persistent memory, and audit-log retention. Vendor shall provide annual written attestation that no Customer Data has crossed the specified region boundary during the attestation period.”</w:t>
      </w:r>
    </w:p>
    <w:p>
      <w:pPr>
        <w:pStyle w:val="BodyText"/>
      </w:pPr>
      <w:r>
        <w:rPr>
          <w:b/>
          <w:bCs/>
        </w:rPr>
        <w:t xml:space="preserve">Why it emerged.</w:t>
      </w:r>
      <w:r>
        <w:t xml:space="preserve"> </w:t>
      </w:r>
      <w:r>
        <w:t xml:space="preserve">Schrems II (2020). EU-US Data Privacy Framework contestation (2023 onward). Italian Garante’s ChatGPT order (March 2023). Sovereign-cloud demands from EU governments and financial regulators through 2024–2026. The 2025 wave of EU FSI buyers requiring region-pinned inference as a condition of pilot contracts.</w:t>
      </w:r>
    </w:p>
    <w:p>
      <w:pPr>
        <w:pStyle w:val="BodyText"/>
      </w:pPr>
      <w:r>
        <w:rPr>
          <w:b/>
          <w:bCs/>
        </w:rPr>
        <w:t xml:space="preserve">Owner.</w:t>
      </w:r>
      <w:r>
        <w:t xml:space="preserve"> </w:t>
      </w:r>
      <w:r>
        <w:t xml:space="preserve">Privacy + Enterprise Architecture.</w:t>
      </w:r>
    </w:p>
    <w:p>
      <w:pPr>
        <w:pStyle w:val="BodyText"/>
      </w:pPr>
      <w:r>
        <w:rPr>
          <w:b/>
          <w:bCs/>
        </w:rPr>
        <w:t xml:space="preserve">Vendor response patterns.</w:t>
      </w:r>
      <w:r>
        <w:t xml:space="preserve"> </w:t>
      </w:r>
      <w:r>
        <w:t xml:space="preserve">Compliant at AWS Bedrock (EU regions), Azure OpenAI (EU, UK, regional sovereign), Google Vertex (EU). Mistral is sovereign by default. Rare at vertical-agent vendors who use single-region foundation-model providers without an EU passthrough. Sierra, Decagon, Harvey, and Hippocratic are improving but heterogeneous. Vertical vendors who use OpenAI-only or Anthropic-only inference need to demonstrate EU-region passthrough at the upstream provider; many do not.</w:t>
      </w:r>
    </w:p>
    <w:p>
      <w:pPr>
        <w:pStyle w:val="BodyText"/>
      </w:pPr>
      <w:r>
        <w:rPr>
          <w:b/>
          <w:bCs/>
        </w:rPr>
        <w:t xml:space="preserve">Risk if vendor refuses.</w:t>
      </w:r>
      <w:r>
        <w:t xml:space="preserve"> </w:t>
      </w:r>
      <w:r>
        <w:t xml:space="preserve">Deal-killer in EU and in regulated US sectors. Also material exposure under GDPR Articles 44–49 (international transfers).</w:t>
      </w:r>
    </w:p>
    <w:p>
      <w:r>
        <w:pict>
          <v:rect style="width:0;height:1.5pt" o:hralign="center" o:hrstd="t" o:hr="t"/>
        </w:pict>
      </w:r>
    </w:p>
    <w:bookmarkEnd w:id="130"/>
    <w:bookmarkStart w:id="131" w:name="Xaae76100bce3dc7520e1ed37504da811d4c3e5d"/>
    <w:p>
      <w:pPr>
        <w:pStyle w:val="Heading3"/>
      </w:pPr>
      <w:r>
        <w:t xml:space="preserve">Addendum #13 — Audit-log retention and customer access</w:t>
      </w:r>
    </w:p>
    <w:p>
      <w:pPr>
        <w:pStyle w:val="FirstParagraph"/>
      </w:pPr>
      <w:r>
        <w:rPr>
          <w:b/>
          <w:bCs/>
        </w:rPr>
        <w:t xml:space="preserve">Verbatim sample contract language.</w:t>
      </w:r>
      <w:r>
        <w:t xml:space="preserve"> </w:t>
      </w:r>
      <w:r>
        <w:rPr>
          <w:i/>
          <w:iCs/>
        </w:rPr>
        <w:t xml:space="preserve">“Vendor shall maintain tamper-evident audit logs of all Agent trajectories, sub-agent invocations, tool invocations, and Outputs for a period of seven (7) years from the date of generation. Vendor shall provide Customer continuous read-access to such logs via a defined interface, in a format suitable for ingestion into Customer’s Security Information and Event Management (SIEM) system, including the OpenTelemetry GenAI conventions or an equivalent documented schema. Vendor shall not modify, delete, or otherwise alter logs prior to the expiration of the retention period without Customer’s prior written consent. Loss or corruption of logs prior to retention expiration shall constitute a material breach.”</w:t>
      </w:r>
    </w:p>
    <w:p>
      <w:pPr>
        <w:pStyle w:val="BodyText"/>
      </w:pPr>
      <w:r>
        <w:rPr>
          <w:b/>
          <w:bCs/>
        </w:rPr>
        <w:t xml:space="preserve">Why it emerged.</w:t>
      </w:r>
      <w:r>
        <w:t xml:space="preserve"> </w:t>
      </w:r>
      <w:r>
        <w:t xml:space="preserve">SR 11-7 (Federal Reserve model risk management, 2011, applied by analogy to AI agents through 2024–2026). SOX. HIPAA Security Rule. FINRA Rule 4511. The post-CrowdStrike (July 2024) elevation of observability as a board-level concern. Through 2025–2026 the seven-year retention floor became the F1000 default for any agent touching financial systems, PHI, or regulated communications.</w:t>
      </w:r>
    </w:p>
    <w:p>
      <w:pPr>
        <w:pStyle w:val="BodyText"/>
      </w:pPr>
      <w:r>
        <w:rPr>
          <w:b/>
          <w:bCs/>
        </w:rPr>
        <w:t xml:space="preserve">Owner.</w:t>
      </w:r>
      <w:r>
        <w:t xml:space="preserve"> </w:t>
      </w:r>
      <w:r>
        <w:t xml:space="preserve">InfoSec + GRC + Legal.</w:t>
      </w:r>
    </w:p>
    <w:p>
      <w:pPr>
        <w:pStyle w:val="BodyText"/>
      </w:pPr>
      <w:r>
        <w:rPr>
          <w:b/>
          <w:bCs/>
        </w:rPr>
        <w:t xml:space="preserve">Vendor response patterns.</w:t>
      </w:r>
      <w:r>
        <w:t xml:space="preserve"> </w:t>
      </w:r>
      <w:r>
        <w:t xml:space="preserve">Compliant for log generation at most enterprise vendors. The contested elements are retention duration (vendors push for shorter) and tamper-evidence (vendors push for</w:t>
      </w:r>
      <w:r>
        <w:t xml:space="preserve"> </w:t>
      </w:r>
      <w:r>
        <w:t xml:space="preserve">“we won’t change them”</w:t>
      </w:r>
      <w:r>
        <w:t xml:space="preserve"> </w:t>
      </w:r>
      <w:r>
        <w:t xml:space="preserve">rather than cryptographic guarantees). Push for tamper-evident with cryptographic chaining or an immutable storage tier. Sierra, Decagon, and Glean have improved retention discipline through 2025; Hebbia and Rogo carry the cleanest log posture in financial services.</w:t>
      </w:r>
    </w:p>
    <w:p>
      <w:pPr>
        <w:pStyle w:val="BodyText"/>
      </w:pPr>
      <w:r>
        <w:rPr>
          <w:b/>
          <w:bCs/>
        </w:rPr>
        <w:t xml:space="preserve">Risk if vendor refuses.</w:t>
      </w:r>
      <w:r>
        <w:t xml:space="preserve"> </w:t>
      </w:r>
      <w:r>
        <w:t xml:space="preserve">Deal-killer in regulated industries. Also material exposure under SOX (financial reporting) and SR 11-7 (model governance).</w:t>
      </w:r>
    </w:p>
    <w:p>
      <w:r>
        <w:pict>
          <v:rect style="width:0;height:1.5pt" o:hralign="center" o:hrstd="t" o:hr="t"/>
        </w:pict>
      </w:r>
    </w:p>
    <w:bookmarkEnd w:id="131"/>
    <w:bookmarkStart w:id="132" w:name="Xd4e6461d4cd6ef4ae2b7be2bac78460d50423db"/>
    <w:p>
      <w:pPr>
        <w:pStyle w:val="Heading3"/>
      </w:pPr>
      <w:r>
        <w:t xml:space="preserve">Addendum #14 — Sub-agent privilege-separation attestation</w:t>
      </w:r>
    </w:p>
    <w:p>
      <w:pPr>
        <w:pStyle w:val="FirstParagraph"/>
      </w:pPr>
      <w:r>
        <w:rPr>
          <w:b/>
          <w:bCs/>
        </w:rPr>
        <w:t xml:space="preserve">Verbatim sample contract language.</w:t>
      </w:r>
      <w:r>
        <w:t xml:space="preserve"> </w:t>
      </w:r>
      <w:r>
        <w:rPr>
          <w:i/>
          <w:iCs/>
        </w:rPr>
        <w:t xml:space="preserve">“For deployments involving sub-agents (defined as any specialized agent invoked by an orchestrator agent for a bounded role including planning, executing, verifying, escalating, or memory writing), Vendor shall maintain and provide to Customer an annual attestation of the privilege-separation design, including: (a) least-privilege scoping of each sub-agent’s tool access; (b) credential inheritance and delegation mechanism (capability tokens, signed delegation, or equivalent); (c) cross-tenant isolation; (d) test cases for cross-sub-agent privilege escalation, with results. Material changes to the sub-agent privilege matrix shall be communicated to Customer no less than thirty (30) days before production deployment.”</w:t>
      </w:r>
    </w:p>
    <w:p>
      <w:pPr>
        <w:pStyle w:val="BodyText"/>
      </w:pPr>
      <w:r>
        <w:rPr>
          <w:b/>
          <w:bCs/>
        </w:rPr>
        <w:t xml:space="preserve">Why it emerged.</w:t>
      </w:r>
      <w:r>
        <w:t xml:space="preserve"> </w:t>
      </w:r>
      <w:r>
        <w:t xml:space="preserve">The 2024–2025 architectural transition from single-agent ReAct loops to planner-executor and multi-sub-agent architectures. The pattern of agent fan-out incidents in production through 2025. Anthropic, OpenAI, and Google sub-agent risk publications through 2024–2026. The recognition that an injection into a planner sub-agent propagates downstream into every executor sub-agent that shares context.</w:t>
      </w:r>
    </w:p>
    <w:p>
      <w:pPr>
        <w:pStyle w:val="BodyText"/>
      </w:pPr>
      <w:r>
        <w:rPr>
          <w:b/>
          <w:bCs/>
        </w:rPr>
        <w:t xml:space="preserve">Owner.</w:t>
      </w:r>
      <w:r>
        <w:t xml:space="preserve"> </w:t>
      </w:r>
      <w:r>
        <w:t xml:space="preserve">InfoSec + Enterprise Architecture + AI Governance Council.</w:t>
      </w:r>
    </w:p>
    <w:p>
      <w:pPr>
        <w:pStyle w:val="BodyText"/>
      </w:pPr>
      <w:r>
        <w:rPr>
          <w:b/>
          <w:bCs/>
        </w:rPr>
        <w:t xml:space="preserve">Vendor response patterns.</w:t>
      </w:r>
      <w:r>
        <w:t xml:space="preserve"> </w:t>
      </w:r>
      <w:r>
        <w:t xml:space="preserve">Rare turnkey. Anthropic’s sub-agent / tool-use patterns are the cleanest public reference; OpenAI similar. Sierra and Decagon operate multi-agent architectures with named privilege boundaries internally; Sierra’s is the most willing to be documented for buyer review. The general-purpose autonomous-coding-agent category (Cognition/Devin and peers) is the weakest. Agent-building frameworks (LangGraph, CrewAI, AutoGen, Letta) document patterns but do not enforce; the enforcement burden falls on the vendor or buyer.</w:t>
      </w:r>
    </w:p>
    <w:p>
      <w:pPr>
        <w:pStyle w:val="BodyText"/>
      </w:pPr>
      <w:r>
        <w:rPr>
          <w:b/>
          <w:bCs/>
        </w:rPr>
        <w:t xml:space="preserve">Risk if vendor refuses.</w:t>
      </w:r>
      <w:r>
        <w:t xml:space="preserve"> </w:t>
      </w:r>
      <w:r>
        <w:t xml:space="preserve">AI Council and InfoSec block. Also material blast-radius exposure when an indirect-injection event materializes against the planner sub-agent.</w:t>
      </w:r>
    </w:p>
    <w:p>
      <w:r>
        <w:pict>
          <v:rect style="width:0;height:1.5pt" o:hralign="center" o:hrstd="t" o:hr="t"/>
        </w:pict>
      </w:r>
    </w:p>
    <w:bookmarkEnd w:id="132"/>
    <w:bookmarkStart w:id="133" w:name="X6785d5663f75e0826a842ca547e2ca04624921b"/>
    <w:p>
      <w:pPr>
        <w:pStyle w:val="Heading3"/>
      </w:pPr>
      <w:r>
        <w:t xml:space="preserve">Addendum #15 — Outcome-Definition Mechanics (new in 2026)</w:t>
      </w:r>
    </w:p>
    <w:p>
      <w:pPr>
        <w:pStyle w:val="FirstParagraph"/>
      </w:pPr>
      <w:r>
        <w:rPr>
          <w:b/>
          <w:bCs/>
        </w:rPr>
        <w:t xml:space="preserve">Verbatim sample contract language.</w:t>
      </w:r>
      <w:r>
        <w:t xml:space="preserve"> </w:t>
      </w:r>
      <w:r>
        <w:rPr>
          <w:i/>
          <w:iCs/>
        </w:rPr>
        <w:t xml:space="preserve">“For any pricing model in which Vendor’s fee is calculated by reference to an Outcome (including without limitation a</w:t>
      </w:r>
      <w:r>
        <w:rPr>
          <w:i/>
          <w:iCs/>
        </w:rPr>
        <w:t xml:space="preserve"> </w:t>
      </w:r>
      <w:r>
        <w:rPr>
          <w:i/>
          <w:iCs/>
        </w:rPr>
        <w:t xml:space="preserve">‘resolved conversation,’</w:t>
      </w:r>
      <w:r>
        <w:rPr>
          <w:i/>
          <w:iCs/>
        </w:rPr>
        <w:t xml:space="preserve"> </w:t>
      </w:r>
      <w:r>
        <w:rPr>
          <w:i/>
          <w:iCs/>
        </w:rPr>
        <w:t xml:space="preserve">a</w:t>
      </w:r>
      <w:r>
        <w:rPr>
          <w:i/>
          <w:iCs/>
        </w:rPr>
        <w:t xml:space="preserve"> </w:t>
      </w:r>
      <w:r>
        <w:rPr>
          <w:i/>
          <w:iCs/>
        </w:rPr>
        <w:t xml:space="preserve">‘completed task,’</w:t>
      </w:r>
      <w:r>
        <w:rPr>
          <w:i/>
          <w:iCs/>
        </w:rPr>
        <w:t xml:space="preserve"> </w:t>
      </w:r>
      <w:r>
        <w:rPr>
          <w:i/>
          <w:iCs/>
        </w:rPr>
        <w:t xml:space="preserve">a</w:t>
      </w:r>
      <w:r>
        <w:rPr>
          <w:i/>
          <w:iCs/>
        </w:rPr>
        <w:t xml:space="preserve"> </w:t>
      </w:r>
      <w:r>
        <w:rPr>
          <w:i/>
          <w:iCs/>
        </w:rPr>
        <w:t xml:space="preserve">‘successful escalation,’</w:t>
      </w:r>
      <w:r>
        <w:rPr>
          <w:i/>
          <w:iCs/>
        </w:rPr>
        <w:t xml:space="preserve"> </w:t>
      </w:r>
      <w:r>
        <w:rPr>
          <w:i/>
          <w:iCs/>
        </w:rPr>
        <w:t xml:space="preserve">or any equivalent measurable result of Service operation), the parties shall maintain dual-telemetry of Outcome occurrence: (a) Vendor’s telemetry shall be the source of truth for monthly billing; (b) Customer’s independent telemetry shall serve as audit override, and material divergence (defined as exceeding [5%] of Outcome count in any month) shall trigger a mandatory reconciliation. Reconciliation disputes unresolved within thirty (30) days shall escalate to a sixty (60) day commercial discussion at Vendor’s executive level. Disputes unresolved within ninety (90) days from initial divergence shall be submitted to a third-party arbitrator agreed in advance (the</w:t>
      </w:r>
      <w:r>
        <w:rPr>
          <w:i/>
          <w:iCs/>
        </w:rPr>
        <w:t xml:space="preserve"> </w:t>
      </w:r>
      <w:r>
        <w:rPr>
          <w:i/>
          <w:iCs/>
        </w:rPr>
        <w:t xml:space="preserve">‘Outcome Arbitrator,’</w:t>
      </w:r>
      <w:r>
        <w:rPr>
          <w:i/>
          <w:iCs/>
        </w:rPr>
        <w:t xml:space="preserve"> </w:t>
      </w:r>
      <w:r>
        <w:rPr>
          <w:i/>
          <w:iCs/>
        </w:rPr>
        <w:t xml:space="preserve">selected from a panel of Iron Mountain, KPMG, Deloitte, EY, or PwC AI advisory practices), whose determination shall be binding for the disputed billing period. Vendor shall expose per-trajectory cost and per-Outcome cost telemetry sufficient to support both parties’ computation. Customer shall have the right to renegotiate the Outcome definition at the second annual renewal if cumulative dispute volume across the prior twelve months exceeds [10%] of total Outcomes billed.”</w:t>
      </w:r>
    </w:p>
    <w:p>
      <w:pPr>
        <w:pStyle w:val="BodyText"/>
      </w:pPr>
      <w:r>
        <w:rPr>
          <w:b/>
          <w:bCs/>
        </w:rPr>
        <w:t xml:space="preserve">Why it emerged.</w:t>
      </w:r>
      <w:r>
        <w:t xml:space="preserve"> </w:t>
      </w:r>
      <w:r>
        <w:t xml:space="preserve">Through 2025–2026 the F500 buyer entry into outcome-pricing — Sierra at $175M+ ARR (Q1 2026, trailing-12), Decagon $80M+, Hippocratic AI $9/hour RN-equivalent, Abridge $3–8 per encounter — outpaced the measurement-and-dispute mechanics. Two F500 buyers (a US bank and an EU airline, off-record at the Procurement Leaders AI Summit, April 2026) reported 8–15% outcome-count disputes in early-quarter resolution, settled by negotiation rather than contract mechanism. Sierra’s master template defines</w:t>
      </w:r>
      <w:r>
        <w:t xml:space="preserve"> </w:t>
      </w:r>
      <w:r>
        <w:t xml:space="preserve">“resolved”</w:t>
      </w:r>
      <w:r>
        <w:t xml:space="preserve"> </w:t>
      </w:r>
      <w:r>
        <w:t xml:space="preserve">via CSAT threshold + 7-day no-return-contact window — contested by regulated buyers where a complaint at day 14 against a</w:t>
      </w:r>
      <w:r>
        <w:t xml:space="preserve"> </w:t>
      </w:r>
      <w:r>
        <w:t xml:space="preserve">“resolved”</w:t>
      </w:r>
      <w:r>
        <w:t xml:space="preserve"> </w:t>
      </w:r>
      <w:r>
        <w:t xml:space="preserve">conversation is not in fact resolved. The category of outcome-definition arbitrage was a $50M+ leakage problem in F500 outcome-pricing contracts through 2025; no vendor turnkey-answers it; no buyer ships internal playbooks. Anthropic’s Claude Agent SDK 2.0 (April 2026) and OpenAI’s Responses API exposing per-trajectory cost in billing consoles gave the dual-telemetry mechanism its empirical teeth — for the first time, both parties can compute the underlying unit economics from independent vantage points.</w:t>
      </w:r>
    </w:p>
    <w:p>
      <w:pPr>
        <w:pStyle w:val="BodyText"/>
      </w:pPr>
      <w:r>
        <w:rPr>
          <w:b/>
          <w:bCs/>
        </w:rPr>
        <w:t xml:space="preserve">Owner.</w:t>
      </w:r>
      <w:r>
        <w:t xml:space="preserve"> </w:t>
      </w:r>
      <w:r>
        <w:t xml:space="preserve">Procurement (CPO + AI Category Manager) + CFO (specifically the SOX revenue-recognition lead, because outcome-pricing on an executory contract is now a rev-rec event under ASC 606 with non-trivial estimation risk).</w:t>
      </w:r>
    </w:p>
    <w:p>
      <w:pPr>
        <w:pStyle w:val="BodyText"/>
      </w:pPr>
      <w:r>
        <w:rPr>
          <w:b/>
          <w:bCs/>
        </w:rPr>
        <w:t xml:space="preserve">Vendor response patterns.</w:t>
      </w:r>
      <w:r>
        <w:t xml:space="preserve"> </w:t>
      </w:r>
      <w:r>
        <w:t xml:space="preserve">Sierra has resisted dual-telemetry at the contract level — the per-resolution pricing model depends on the inference-fraction asymmetry and the audit-only-after-the-fact posture. Decagon has partially complied on Tier-1 deals through Q1 2026; that is the precedent to cite. Cresta and Gong AI Studio (which run hybrid per-seat plus per-conversation) are more amenable because the outcome-tied module is a smaller fraction of total fees. Hippocratic AI is amenable because the per-hour-of-care unit is independently verifiable through clinical scheduling. Abridge is amenable because per-encounter is independently verifiable through the EHR. Push for dual-telemetry plus 30/60/90 dispute windows plus Outcome Arbitrator at the start; landing zone in Q2 2026 is dual-telemetry plus 60-day reconciliation plus mediation rather than binding arbitration, with a renegotiation right at the second annual renewal.</w:t>
      </w:r>
    </w:p>
    <w:p>
      <w:pPr>
        <w:pStyle w:val="BodyText"/>
      </w:pPr>
      <w:r>
        <w:rPr>
          <w:b/>
          <w:bCs/>
        </w:rPr>
        <w:t xml:space="preserve">Risk if vendor refuses.</w:t>
      </w:r>
      <w:r>
        <w:t xml:space="preserve"> </w:t>
      </w:r>
      <w:r>
        <w:t xml:space="preserve">Procurement blocks at F500. Also a SOX rev-rec exposure if the buyer accounts for outcome-pricing payables on the basis of vendor-reported counts that the buyer cannot independently verify. Also a CFO-level exposure if the dispute volume materializes mid-contract and there is no pre-agreed resolution mechanism — the 8–15% dispute pattern in early F500 outcome-pricing contracts is the empirical case. The asymmetric leverage point is procurement timing: insist on Addendum #15 before the pilot signs, because once the pilot has run for 90 days on vendor-defined telemetry, the vendor has the data anchor and the buyer does not.</w:t>
      </w:r>
    </w:p>
    <w:p>
      <w:r>
        <w:pict>
          <v:rect style="width:0;height:1.5pt" o:hralign="center" o:hrstd="t" o:hr="t"/>
        </w:pict>
      </w:r>
    </w:p>
    <w:bookmarkEnd w:id="133"/>
    <w:bookmarkStart w:id="135" w:name="X3d870fdbd53ca5c6b0618581021cb0b01436d92"/>
    <w:p>
      <w:pPr>
        <w:pStyle w:val="Heading3"/>
      </w:pPr>
      <w:r>
        <w:t xml:space="preserve">Sectoral Overlays — FSI, Healthcare, Defense/Government</w:t>
      </w:r>
    </w:p>
    <w:p>
      <w:pPr>
        <w:pStyle w:val="FirstParagraph"/>
      </w:pPr>
      <w:r>
        <w:t xml:space="preserve">The fifteen addenda above apply across sectors. The three regimes below add control-set overlays that bind in addition. Each adds 6–18 weeks to the procurement cycle on top of the base F1000 floor. Each surfaces a counterparty seat (model-risk in FSI, the BAA owner in healthcare, the program security officer in defense) that does not appear in the seven-counterparty base structure of Section II.</w:t>
      </w:r>
    </w:p>
    <w:p>
      <w:pPr>
        <w:pStyle w:val="BodyText"/>
      </w:pPr>
      <w:r>
        <w:rPr>
          <w:b/>
          <w:bCs/>
        </w:rPr>
        <w:t xml:space="preserve">Financial Services (NYDFS Part 500, SR 11-7, OCC model-risk guidance, FINRA, EU DORA).</w:t>
      </w:r>
      <w:r>
        <w:t xml:space="preserve"> </w:t>
      </w:r>
      <w:r>
        <w:t xml:space="preserve">Adds: SR 11-7-style model validation evidence; an independent model-validation report distinct from the vendor’s internal eval; NYDFS 23 NYCRR 500 cybersecurity attestation; FINRA Rule 4511 audit-log retention floors (which interact with Addendum #13’s seven-year requirement); DORA-aligned operational resilience for EU FSI; AML/sanctions-screening attestation if the agent touches onboarding workflows; OCC interpretation of SR 11-7 as applied to LLM-driven credit, suitability, and underwriting decisions through 2025–2026. The</w:t>
      </w:r>
      <w:r>
        <w:t xml:space="preserve"> </w:t>
      </w:r>
      <w:r>
        <w:rPr>
          <w:b/>
          <w:bCs/>
        </w:rPr>
        <w:t xml:space="preserve">Model-Risk Function</w:t>
      </w:r>
      <w:r>
        <w:t xml:space="preserve"> </w:t>
      </w:r>
      <w:r>
        <w:t xml:space="preserve">(reports to the CRO, distinct from the CISO and from the AI Governance Council) is a de facto eighth counterparty in FSI. Sample contractual hook:</w:t>
      </w:r>
      <w:r>
        <w:t xml:space="preserve"> </w:t>
      </w:r>
      <w:r>
        <w:rPr>
          <w:i/>
          <w:iCs/>
        </w:rPr>
        <w:t xml:space="preserve">“For any deployment in which the Service informs a credit, underwriting, suitability, or trading decision subject to SR 11-7, Vendor shall provide independent model-validation evidence prepared by a qualified third-party validator, refreshed annually, sufficient to support Customer’s model-risk function in its own validation activity under the Federal Reserve’s Model Risk Management guidance.”</w:t>
      </w:r>
      <w:r>
        <w:t xml:space="preserve"> </w:t>
      </w:r>
      <w:r>
        <w:t xml:space="preserve">Cycle impact: add 8–16 weeks for model-validation review, longer for any non-trivial credit or trading workflow. Vendor landscape: Rogo and Hebbia carry the cleanest sell-side and knowledge-worker postures respectively; Harvey covers the legal-services edge of finance; the horizontal vendors operate as tenants of customer model-risk compliance.</w:t>
      </w:r>
    </w:p>
    <w:p>
      <w:pPr>
        <w:pStyle w:val="BodyText"/>
      </w:pPr>
      <w:r>
        <w:rPr>
          <w:b/>
          <w:bCs/>
        </w:rPr>
        <w:t xml:space="preserve">Healthcare (HIPAA, HITECH, ONC HTI-2 predictive-decision rules, OCR enforcement, FDA SaMD, HITRUST CSF v11.x).</w:t>
      </w:r>
      <w:r>
        <w:t xml:space="preserve"> </w:t>
      </w:r>
      <w:r>
        <w:t xml:space="preserve">Adds: BAA executed at signature; HIPAA Security Rule attestation; OCR-aligned breach-notification procedures with twenty-four-hour notification SLA on PHI-affecting incidents; if the agent makes clinical decisions, FDA Software-as-Medical-Device pathway documentation (typically 510(k) substantial-equivalence or De Novo); for predictive decision support, ONC HTI-2 transparency rules effective 2026 (algorithm transparency, source attribute disclosure); clinical-disparities bias audit; HITRUST CSF v11.x certification or readiness as the de facto procurement bar. Sample contractual hook:</w:t>
      </w:r>
      <w:r>
        <w:t xml:space="preserve"> </w:t>
      </w:r>
      <w:r>
        <w:rPr>
          <w:i/>
          <w:iCs/>
        </w:rPr>
        <w:t xml:space="preserve">“Vendor shall execute a Business Associate Agreement substantially in the form attached as Exhibit B. If the Service qualifies as Software as a Medical Device under 21 CFR 820 or equivalent FDA regulation, Vendor shall provide its 510(k), De Novo, or PMA documentation and shall maintain its FDA submission throughout the Term. Vendor shall maintain HITRUST CSF certification at level v11.x or higher and shall provide annual attestation.”</w:t>
      </w:r>
      <w:r>
        <w:t xml:space="preserve"> </w:t>
      </w:r>
      <w:r>
        <w:t xml:space="preserve">Cycle impact: add 6–14 weeks for BAA negotiation and FDA pathway review; substantially longer for SaMD-classified workflows. Vendor landscape: Hippocratic AI ships HITRUST, BAA, and Minimum Necessary artifacts in usable form; Abridge, Suki, Nuance DAX, and Augmedix are clean on the ambient-scribe pattern; OpenEvidence, Glass Health, and Hyro vary.</w:t>
      </w:r>
    </w:p>
    <w:p>
      <w:pPr>
        <w:pStyle w:val="BodyText"/>
      </w:pPr>
      <w:r>
        <w:rPr>
          <w:b/>
          <w:bCs/>
        </w:rPr>
        <w:t xml:space="preserve">Defense / Government (FedRAMP Moderate / High, DoD IL4 / IL5 / IL6, CMMC Level 2 or 3, ITAR / EAR).</w:t>
      </w:r>
      <w:r>
        <w:t xml:space="preserve"> </w:t>
      </w:r>
      <w:r>
        <w:t xml:space="preserve">Adds: FedRAMP authorization at the relevant impact-level boundary (Moderate for most civilian agencies, High for sensitive workloads, IL5/IL6 for DoD); ATO from the sponsor agency; CMMC Level 2 or 3 for defense contractors handling controlled unclassified information; ITAR/EAR export controls applied to the model itself (relevant for any agent crossing dual-use thresholds under the October 2023 EO and January 2025 EO); sponsor-agency risk acceptance for emerging-tech use cases; supply-chain risk management plan including the foundation-model provider relationship. Sample contractual hook:</w:t>
      </w:r>
      <w:r>
        <w:t xml:space="preserve"> </w:t>
      </w:r>
      <w:r>
        <w:rPr>
          <w:i/>
          <w:iCs/>
        </w:rPr>
        <w:t xml:space="preserve">“Vendor warrants that the Service holds and shall maintain throughout the Term a FedRAMP authorization at the [Moderate/High/IL5] impact level appropriate to Customer’s deployment, and that any change in authorization status shall be notified to Customer within seventy-two (72) hours. Vendor shall provide its CMMC Level 2 assessment and shall comply with all applicable ITAR/EAR controls on the underlying foundation model.”</w:t>
      </w:r>
      <w:r>
        <w:t xml:space="preserve"> </w:t>
      </w:r>
      <w:r>
        <w:t xml:space="preserve">Cycle impact: total cycle 6–18 months end-to-end; FedRAMP authorization alone is 12–18 months from start, which means a vendor without a pre-existing authorization is effectively not procurable for a defense workload on any reasonable timeline. Vendor landscape: Anthropic ships through Palantir for defense-adjacent workloads; OpenAI through Microsoft Azure Government; Scale AI’s evolution post-Meta-investment shifted the defense-AI vendor map through 2024–2025. There is no clean independent defense-AI vendor in the agent layer as of May 2026 — the procurement question is which prime contractor’s AI subsystem you are buying, and the BAA / FedRAMP / ITAR posture follows from the prime.</w:t>
      </w:r>
    </w:p>
    <w:p>
      <w:r>
        <w:pict>
          <v:rect style="width:0;height:1.5pt" o:hralign="center" o:hrstd="t" o:hr="t"/>
        </w:pict>
      </w:r>
    </w:p>
    <w:p>
      <w:pPr>
        <w:pStyle w:val="FirstParagraph"/>
      </w:pPr>
      <w:r>
        <w:rPr>
          <w:i/>
          <w:iCs/>
        </w:rPr>
        <w:t xml:space="preserve">End Part B. The seven overlays plus per-trajectory FinOps (Section III) and the fifteen addenda plus three sectoral overlays (Section IV) form the procurement-control surface a 2026 F1000 buyer should bring to every agent vendor review. Part A delivers the Executive Foreword and the Six (or Seven) Counterparties; Part C delivers the Decision Tree, the Vendor Scoring Rubric, the Glossary, and the Appendix Contract Clauses. Together the three parts are the Playbook spine.</w:t>
      </w:r>
    </w:p>
    <w:bookmarkStart w:id="134" w:name="the-ai-vendor-procurement-playbook"/>
    <w:p>
      <w:pPr>
        <w:pStyle w:val="Heading4"/>
      </w:pPr>
      <w:r>
        <w:t xml:space="preserve">The AI Vendor Procurement Playbook</w:t>
      </w:r>
    </w:p>
    <w:p>
      <w:pPr>
        <w:pStyle w:val="FirstParagraph"/>
      </w:pPr>
      <w:r>
        <w:rPr>
          <w:b/>
          <w:bCs/>
        </w:rPr>
        <w:t xml:space="preserve">How the Fortune 1000 Should Buy AI Agents in 2026</w:t>
      </w:r>
    </w:p>
    <w:p>
      <w:pPr>
        <w:pStyle w:val="BodyText"/>
      </w:pPr>
      <w:r>
        <w:rPr>
          <w:i/>
          <w:iCs/>
        </w:rPr>
        <w:t xml:space="preserve">Author: Alex Yedi</w:t>
      </w:r>
      <w:r>
        <w:t xml:space="preserve"> </w:t>
      </w:r>
      <w:r>
        <w:rPr>
          <w:i/>
          <w:iCs/>
        </w:rPr>
        <w:t xml:space="preserve">Date: May 2026</w:t>
      </w:r>
      <w:r>
        <w:t xml:space="preserve"> </w:t>
      </w:r>
      <w:r>
        <w:rPr>
          <w:i/>
          <w:iCs/>
        </w:rPr>
        <w:t xml:space="preserve">Edition: v1.0</w:t>
      </w:r>
    </w:p>
    <w:p>
      <w:pPr>
        <w:pStyle w:val="BodyText"/>
      </w:pPr>
      <w:r>
        <w:rPr>
          <w:i/>
          <w:iCs/>
        </w:rPr>
        <w:t xml:space="preserve">Part C — Decision Tree, Rubric, Glossary, Appendix, Closing</w:t>
      </w:r>
    </w:p>
    <w:p>
      <w:r>
        <w:pict>
          <v:rect style="width:0;height:1.5pt" o:hralign="center" o:hrstd="t" o:hr="t"/>
        </w:pict>
      </w:r>
    </w:p>
    <w:bookmarkEnd w:id="134"/>
    <w:bookmarkEnd w:id="135"/>
    <w:bookmarkEnd w:id="136"/>
    <w:bookmarkStart w:id="145" w:name="Xc986c2a7d72e92e2bb1b823a55d79c4d3f947cf"/>
    <w:p>
      <w:pPr>
        <w:pStyle w:val="Heading2"/>
      </w:pPr>
      <w:r>
        <w:t xml:space="preserve">Section V · The Decision Tree (Buy, Build, Wait, or Walk)</w:t>
      </w:r>
    </w:p>
    <w:p>
      <w:pPr>
        <w:pStyle w:val="FirstParagraph"/>
      </w:pPr>
      <w:r>
        <w:t xml:space="preserve">This section is the procurement officer’s decision aid. It is intentionally agent-specific. Generic SaaS decision trees do not produce the right answers because agent procurement asks questions SaaS procurement does not — autonomy scope, action reversibility, model deprecation, sub-agent privilege, EU AI Act Article 14 tie-out, per-trajectory cost variance, and outcome-pricing dispute mechanics. Use this tree at the start of every agent-procurement cycle. Do not use it as a substitute for the seven overlays in Section III; use it as the framing that determines which overlays bite hardest, which counterparties from Section II hold the load-bearing veto, and which addenda from Section IV must be in the redline before pen touches paper.</w:t>
      </w:r>
    </w:p>
    <w:p>
      <w:pPr>
        <w:pStyle w:val="BodyText"/>
      </w:pPr>
      <w:r>
        <w:t xml:space="preserve">The tree has eight branches. The first seven establish whether you should buy at all and on what terms. The eighth — Pricing-Model Selection — is the branch most procurement teams skip and most regret skipping. Run them in order. If a branch closes the deal, stop; do not advance to the next branch hoping a later question will rescue an answer the earlier one already gave you.</w:t>
      </w:r>
    </w:p>
    <w:bookmarkStart w:id="137" w:name="branch-1-is-the-workload-regulated"/>
    <w:p>
      <w:pPr>
        <w:pStyle w:val="Heading3"/>
      </w:pPr>
      <w:r>
        <w:t xml:space="preserve">Branch 1 — Is the workload regulated?</w:t>
      </w:r>
    </w:p>
    <w:p>
      <w:pPr>
        <w:pStyle w:val="FirstParagraph"/>
      </w:pPr>
      <w:r>
        <w:t xml:space="preserve">If the workload is regulated under HIPAA, GLBA, FERPA, FINRA, NYDFS Part 500, SR 11-7, FedRAMP, CMMC, ITAR, GDPR’s special-category data, California CCPA/CPRA sensitive-data provisions, or the sectoral overlays in Chapter III.7, the answer is not</w:t>
      </w:r>
      <w:r>
        <w:t xml:space="preserve"> </w:t>
      </w:r>
      <w:r>
        <w:t xml:space="preserve">“buy faster”</w:t>
      </w:r>
      <w:r>
        <w:t xml:space="preserve"> </w:t>
      </w:r>
      <w:r>
        <w:t xml:space="preserve">or</w:t>
      </w:r>
      <w:r>
        <w:t xml:space="preserve"> </w:t>
      </w:r>
      <w:r>
        <w:t xml:space="preserve">“build instead.”</w:t>
      </w:r>
      <w:r>
        <w:t xml:space="preserve"> </w:t>
      </w:r>
      <w:r>
        <w:t xml:space="preserve">The answer is: only consider vendors who ship the sectoral overlay packet from Chapter III.7</w:t>
      </w:r>
      <w:r>
        <w:t xml:space="preserve"> </w:t>
      </w:r>
      <w:r>
        <w:rPr>
          <w:i/>
          <w:iCs/>
        </w:rPr>
        <w:t xml:space="preserve">before</w:t>
      </w:r>
      <w:r>
        <w:t xml:space="preserve"> </w:t>
      </w:r>
      <w:r>
        <w:t xml:space="preserve">you start the pilot. Roughly four out of five horizontal vendors will not pass this screen. That is correct behavior. The screen exists to keep them out.</w:t>
      </w:r>
    </w:p>
    <w:p>
      <w:pPr>
        <w:pStyle w:val="BodyText"/>
      </w:pPr>
      <w:r>
        <w:t xml:space="preserve">For financial services, add the eighth counterparty — the model-risk function reporting to the Chief Risk Officer — to your gauntlet. SR 11-7 model validation is not a CISO sign-off and not an AI Council sign-off; it is its own queue with its own evidence requirements and an additional eight-to-sixteen weeks of cycle time. Vendors who do not arrive with an SR 11-7 mapping have not done the work and will not finish the work inside your fiscal quarter.</w:t>
      </w:r>
    </w:p>
    <w:p>
      <w:pPr>
        <w:pStyle w:val="BodyText"/>
      </w:pPr>
      <w:r>
        <w:t xml:space="preserve">If the workload is unregulated, proceed to Branch 2.</w:t>
      </w:r>
    </w:p>
    <w:bookmarkEnd w:id="137"/>
    <w:bookmarkStart w:id="138" w:name="X5afb5ac67e19d5b51837e47c7d0cc5b03bc56b9"/>
    <w:p>
      <w:pPr>
        <w:pStyle w:val="Heading3"/>
      </w:pPr>
      <w:r>
        <w:t xml:space="preserve">Branch 2 — Is the data shareable with a foundation-model provider?</w:t>
      </w:r>
    </w:p>
    <w:p>
      <w:pPr>
        <w:pStyle w:val="FirstParagraph"/>
      </w:pPr>
      <w:r>
        <w:t xml:space="preserve">If the data flowing through the agent — prompts, context windows, persistent memory, tool returns — contains material non-public information (MNPI), pre-IPO financials, attorney-client-privileged material, customer PII, employee compensation data, or anything else that would create exposure if it reached a foundation-model provider’s training set, then the procurement question collapses to: which deployment posture does the vendor support? You need one of: a no-training-rights commitment with audit, a private deployment (VPC, dedicated tenancy, customer-managed keys), or a sovereign-cloud option (AWS GovCloud, Azure Government, GCP Sovereign, or a regional EU option such as OVHcloud or Scaleway). Do not accept</w:t>
      </w:r>
      <w:r>
        <w:t xml:space="preserve"> </w:t>
      </w:r>
      <w:r>
        <w:t xml:space="preserve">“we don’t train on your data”</w:t>
      </w:r>
      <w:r>
        <w:t xml:space="preserve"> </w:t>
      </w:r>
      <w:r>
        <w:t xml:space="preserve">without the contract language and the audit hook. The Bartz settlement framework is the reason — training-rights ambiguity is not a small contract issue any more.</w:t>
      </w:r>
    </w:p>
    <w:p>
      <w:pPr>
        <w:pStyle w:val="BodyText"/>
      </w:pPr>
      <w:r>
        <w:t xml:space="preserve">The sub-processor question is downstream of the deployment question. Ask which foundation-model provider sits behind the agent today, which one will sit behind it in twelve months, and what the change-notice mechanism is when the vendor swaps providers. The answer</w:t>
      </w:r>
      <w:r>
        <w:t xml:space="preserve"> </w:t>
      </w:r>
      <w:r>
        <w:t xml:space="preserve">“we abstract the model away from you”</w:t>
      </w:r>
      <w:r>
        <w:t xml:space="preserve"> </w:t>
      </w:r>
      <w:r>
        <w:t xml:space="preserve">is a vendor’s optimization at your DPA’s expense — it converts a sub-processor change you have a contractual right to object to into a routine engineering decision you never see.</w:t>
      </w:r>
    </w:p>
    <w:p>
      <w:pPr>
        <w:pStyle w:val="BodyText"/>
      </w:pPr>
      <w:r>
        <w:t xml:space="preserve">If the data is shareable (public information, synthetic test data, or data the buyer is comfortable having ingested), proceed to Branch 3.</w:t>
      </w:r>
    </w:p>
    <w:bookmarkEnd w:id="138"/>
    <w:bookmarkStart w:id="139" w:name="Xc13d4b9dc572615197b93bb407ca4e61010d281"/>
    <w:p>
      <w:pPr>
        <w:pStyle w:val="Heading3"/>
      </w:pPr>
      <w:r>
        <w:t xml:space="preserve">Branch 3 — Is the agent taking irreversible actions?</w:t>
      </w:r>
    </w:p>
    <w:p>
      <w:pPr>
        <w:pStyle w:val="FirstParagraph"/>
      </w:pPr>
      <w:r>
        <w:t xml:space="preserve">If the agent’s action surface includes any of: sending external email, posting to a customer-facing channel, charging a card, executing a financial transaction, modifying a system of record without versioning, deleting data, granting access, generating regulatory filings, or interacting with any third party on the buyer’s behalf — then the procurement defaults change. You need: a written action-rollback document per write tool (Chapter III.3); a human-in-the-loop gate on every irreversible action; a kill-switch the buyer holds; and contractual language that makes the vendor co-liable when an irreversible action goes wrong outside the human gate. Pilot scope must not include irreversible actions in the first 30 days. Production deployment must not include irreversible actions in the first 90 days. This is conservative on paper. It is the right posture given current vendor-side maturity.</w:t>
      </w:r>
    </w:p>
    <w:p>
      <w:pPr>
        <w:pStyle w:val="BodyText"/>
      </w:pPr>
      <w:r>
        <w:t xml:space="preserve">The per-action authorization tier (read-only / write-with-confirmation / autonomous) belongs in the order form, not in a kickoff email. Vendor liability should attach only to autonomous-tier failures violating documented behavior — and the documented behavior is the tool-boundary policy from Chapter III.1, not a marketing slide.</w:t>
      </w:r>
    </w:p>
    <w:p>
      <w:pPr>
        <w:pStyle w:val="BodyText"/>
      </w:pPr>
      <w:r>
        <w:t xml:space="preserve">If the agent’s action surface is read-only or reversible-only, proceed to Branch 4.</w:t>
      </w:r>
    </w:p>
    <w:bookmarkEnd w:id="139"/>
    <w:bookmarkStart w:id="140" w:name="X2a7120338338fadd694eedb78fd4e3f858bd42c"/>
    <w:p>
      <w:pPr>
        <w:pStyle w:val="Heading3"/>
      </w:pPr>
      <w:r>
        <w:t xml:space="preserve">Branch 4 — What is your fallback if the model is deprecated?</w:t>
      </w:r>
    </w:p>
    <w:p>
      <w:pPr>
        <w:pStyle w:val="FirstParagraph"/>
      </w:pPr>
      <w:r>
        <w:t xml:space="preserve">The single most-undertaught lesson of 2024–2026 is that frontier-model deprecation is now a procurement event. GPT-3.5 was deprecated mid-2024. Claude 1 and 2 deprecated by end of 2024. Multiple Claude 3 family endpoints retired through 2025. Gemini 1.5 family rotated through 2025. The OpenAI March 2025 GPT-4-to-GPT-4-Turbo silent swap caused a quiet wave of downstream prompt-tuning regressions for a subset of customers who had no notice and no pinning right. The model your vendor pinned in their last eval report may not exist in twelve months. Ask: what is the model-pin-change notice? What is the re-eval procedure? What is the buyer’s right to refuse a model swap that materially changes agent behavior? What is the deprecation indemnity?</w:t>
      </w:r>
    </w:p>
    <w:p>
      <w:pPr>
        <w:pStyle w:val="BodyText"/>
      </w:pPr>
      <w:r>
        <w:t xml:space="preserve">If the vendor’s answer is</w:t>
      </w:r>
      <w:r>
        <w:t xml:space="preserve"> </w:t>
      </w:r>
      <w:r>
        <w:t xml:space="preserve">“we automatically upgrade you to the latest model,”</w:t>
      </w:r>
      <w:r>
        <w:t xml:space="preserve"> </w:t>
      </w:r>
      <w:r>
        <w:t xml:space="preserve">reject. That is not a fallback. That is a vendor’s optimization at the buyer’s risk. The right answer is a 60-to-90-day model-pin-change notice, a re-eval requirement before swap, a contractual right to refuse with prorated refund, and a pin-to-prior-version right of at least twelve months for any deployment that has cleared an AI Council gate against a specific model identifier.</w:t>
      </w:r>
    </w:p>
    <w:p>
      <w:pPr>
        <w:pStyle w:val="BodyText"/>
      </w:pPr>
      <w:r>
        <w:t xml:space="preserve">If the vendor passes Branch 4, proceed to Branch 5.</w:t>
      </w:r>
    </w:p>
    <w:bookmarkEnd w:id="140"/>
    <w:bookmarkStart w:id="141" w:name="branch-5-build-buy-or-partner"/>
    <w:p>
      <w:pPr>
        <w:pStyle w:val="Heading3"/>
      </w:pPr>
      <w:r>
        <w:t xml:space="preserve">Branch 5 — Build, buy, or partner?</w:t>
      </w:r>
    </w:p>
    <w:p>
      <w:pPr>
        <w:pStyle w:val="FirstParagraph"/>
      </w:pPr>
      <w:r>
        <w:t xml:space="preserve">This is the branch where most procurement teams get the wrong answer.</w:t>
      </w:r>
    </w:p>
    <w:p>
      <w:pPr>
        <w:pStyle w:val="BodyText"/>
      </w:pPr>
      <w:r>
        <w:t xml:space="preserve">You should</w:t>
      </w:r>
      <w:r>
        <w:t xml:space="preserve"> </w:t>
      </w:r>
      <w:r>
        <w:rPr>
          <w:i/>
          <w:iCs/>
        </w:rPr>
        <w:t xml:space="preserve">buy</w:t>
      </w:r>
      <w:r>
        <w:t xml:space="preserve"> </w:t>
      </w:r>
      <w:r>
        <w:t xml:space="preserve">when: (a) the workflow is generic enough that a vertical-agent vendor has solved it for the median buyer at a scale you cannot match; (b) the vendor’s eval evidence is at parity with or better than what your internal team can produce; (c) the integration surface is bounded by a small number of MCP servers or first-party connectors; (d) the regulatory posture is a vendor contractual commitment, not your problem to construct.</w:t>
      </w:r>
    </w:p>
    <w:p>
      <w:pPr>
        <w:pStyle w:val="BodyText"/>
      </w:pPr>
      <w:r>
        <w:t xml:space="preserve">You should</w:t>
      </w:r>
      <w:r>
        <w:t xml:space="preserve"> </w:t>
      </w:r>
      <w:r>
        <w:rPr>
          <w:i/>
          <w:iCs/>
        </w:rPr>
        <w:t xml:space="preserve">build</w:t>
      </w:r>
      <w:r>
        <w:t xml:space="preserve"> </w:t>
      </w:r>
      <w:r>
        <w:t xml:space="preserve">when: (a) the workflow is core to your differentiation and the agent’s behavior encodes your proprietary judgment (the underwriting policy, the pricing model, the customer-segmentation logic); (b) the data flow is too sensitive to share with a third party even under no-training-rights commitments; (c) the orchestration touches more than five proprietary internal systems; (d) you have the engineering capacity to maintain it through at least two foundation-model rotations.</w:t>
      </w:r>
    </w:p>
    <w:p>
      <w:pPr>
        <w:pStyle w:val="BodyText"/>
      </w:pPr>
      <w:r>
        <w:t xml:space="preserve">You should</w:t>
      </w:r>
      <w:r>
        <w:t xml:space="preserve"> </w:t>
      </w:r>
      <w:r>
        <w:rPr>
          <w:i/>
          <w:iCs/>
        </w:rPr>
        <w:t xml:space="preserve">partner</w:t>
      </w:r>
      <w:r>
        <w:t xml:space="preserve"> </w:t>
      </w:r>
      <w:r>
        <w:t xml:space="preserve">— the underestimated third option — when: (a) a vertical-agent vendor has 80% of what you need and you can co-build the 20% on their platform with shared IP terms; (b) you can negotiate operator-shaped terms (per-trajectory pricing, customer-owned eval data, exit clause for the proprietary 20%); (c) the partnership is structured as a 12-month pilot with explicit exit rights, not a five-year platform commitment. Most F1000 buyers should be partnering more and building less. The partner path is where vendors most willingly grant the AI-specific addenda from Section IV — they need the logo, you need the leverage, and the leverage closes the moment money has fully moved.</w:t>
      </w:r>
    </w:p>
    <w:p>
      <w:pPr>
        <w:pStyle w:val="BodyText"/>
      </w:pPr>
      <w:r>
        <w:t xml:space="preserve">If the answer is buy or partner, proceed to Branch 6. If the answer is build, this Playbook still applies to the model-provider, eval-platform, and gateway vendors you will procure into the build — read Sections III.1, III.2, III.5 with that lens.</w:t>
      </w:r>
    </w:p>
    <w:bookmarkEnd w:id="141"/>
    <w:bookmarkStart w:id="142" w:name="branch-6-buy-now-or-wait-six-months"/>
    <w:p>
      <w:pPr>
        <w:pStyle w:val="Heading3"/>
      </w:pPr>
      <w:r>
        <w:t xml:space="preserve">Branch 6 — Buy now or wait six months?</w:t>
      </w:r>
    </w:p>
    <w:p>
      <w:pPr>
        <w:pStyle w:val="FirstParagraph"/>
      </w:pPr>
      <w:r>
        <w:t xml:space="preserve">This is the branch that the 2026 calendar makes urgent and that most procurement teams answer wrong by default.</w:t>
      </w:r>
    </w:p>
    <w:p>
      <w:pPr>
        <w:pStyle w:val="BodyText"/>
      </w:pPr>
      <w:r>
        <w:t xml:space="preserve">Buy now if: (a) the EU AI Act Article 14 implementation timeline aligns with your enforcement calendar (Q4 2026 onward for EU operations); (b) the vendor’s pricing reflects Q2 2026 market and you expect a Q3 2026 ARR-resolution-driven re-price upward; (c) the integration window in your IT roadmap is open now and not in twelve months; (d) the workflow’s dollar impact justifies non-optimized deployment.</w:t>
      </w:r>
    </w:p>
    <w:p>
      <w:pPr>
        <w:pStyle w:val="BodyText"/>
      </w:pPr>
      <w:r>
        <w:t xml:space="preserve">Wait six months if: (a) AWS Bedrock auto-routing of planner-executor splits is expected by H2 2027 and you can fold per-trajectory cost optimization into the buy decision later; (b) Anthropic ARR resolves in Q3 2026 with a downside print ($24B rather than $30B) and you expect vertical-agent valuations to compress 20–30%, which will produce better contract terms; (c) the vendor’s eval evidence is below the threshold from Chapter III.5 and you would be buying on a roadmap commitment rather than a signed report; (d) the regulatory posture is genuinely unsettled and the vendor’s tie-out is conceptual rather than control-by-control.</w:t>
      </w:r>
    </w:p>
    <w:p>
      <w:pPr>
        <w:pStyle w:val="BodyText"/>
      </w:pPr>
      <w:r>
        <w:t xml:space="preserve">The asymmetry here is heavy. Waiting costs you six months of value; buying wrong costs you a vendor-replacement project that will run twelve to eighteen months and a sunk-cost fight with the sponsor who championed the wrong vendor. The right default in May 2026 is: buy now if and only if the vendor passes Branches 1–5 with documented evidence; otherwise pilot under the Branch 7 rules and reserve the production decision for the post-Q3-2026 market.</w:t>
      </w:r>
    </w:p>
    <w:bookmarkEnd w:id="142"/>
    <w:bookmarkStart w:id="143" w:name="Xc966dc1665fbf3d462e83af1a845d69f5163d27"/>
    <w:p>
      <w:pPr>
        <w:pStyle w:val="Heading3"/>
      </w:pPr>
      <w:r>
        <w:t xml:space="preserve">Branch 7 — Pilot scope and exit-cost analysis</w:t>
      </w:r>
    </w:p>
    <w:p>
      <w:pPr>
        <w:pStyle w:val="FirstParagraph"/>
      </w:pPr>
      <w:r>
        <w:t xml:space="preserve">If you have answered the prior six branches and the answer is</w:t>
      </w:r>
      <w:r>
        <w:t xml:space="preserve"> </w:t>
      </w:r>
      <w:r>
        <w:t xml:space="preserve">“pilot,”</w:t>
      </w:r>
      <w:r>
        <w:t xml:space="preserve"> </w:t>
      </w:r>
      <w:r>
        <w:t xml:space="preserve">structure the pilot so it does not trap you. Three rules.</w:t>
      </w:r>
    </w:p>
    <w:p>
      <w:pPr>
        <w:pStyle w:val="BodyText"/>
      </w:pPr>
      <w:r>
        <w:rPr>
          <w:i/>
          <w:iCs/>
        </w:rPr>
        <w:t xml:space="preserve">Rule one — pilot scope.</w:t>
      </w:r>
      <w:r>
        <w:t xml:space="preserve"> </w:t>
      </w:r>
      <w:r>
        <w:t xml:space="preserve">The 90-day pilot must touch fewer than three systems, must include zero irreversible actions in the first 30 days, must produce a signed reproducible eval report by day 60, and must conclude with a binary go/no-go gate by day 90 against criteria you wrote on day zero. Vendors will press for longer pilots and broader scope. Resist. A pilot that does not have an exit gate is not a pilot; it is a soft commitment the vendor will harden over your CFO’s signature at renewal.</w:t>
      </w:r>
    </w:p>
    <w:p>
      <w:pPr>
        <w:pStyle w:val="BodyText"/>
      </w:pPr>
      <w:r>
        <w:rPr>
          <w:i/>
          <w:iCs/>
        </w:rPr>
        <w:t xml:space="preserve">Rule two — data portability and deletion exit terms.</w:t>
      </w:r>
      <w:r>
        <w:t xml:space="preserve"> </w:t>
      </w:r>
      <w:r>
        <w:t xml:space="preserve">The pilot contract must include exit terms with explicit data-portability obligations: any persistent memory the agent has accumulated about your business is yours, must be exportable in a documented format within 30 days of pilot termination, and must be deletable from vendor systems with a deletion confirmation log. Without these terms, you have not run a pilot. You have made an undisclosed long-term commitment, and the persistent memory the agent has accumulated about your customers, your accounts, and your internal processes is now hostage to a renewal negotiation.</w:t>
      </w:r>
    </w:p>
    <w:p>
      <w:pPr>
        <w:pStyle w:val="BodyText"/>
      </w:pPr>
      <w:r>
        <w:rPr>
          <w:i/>
          <w:iCs/>
        </w:rPr>
        <w:t xml:space="preserve">Rule three — production pricing pre-quoted.</w:t>
      </w:r>
      <w:r>
        <w:t xml:space="preserve"> </w:t>
      </w:r>
      <w:r>
        <w:t xml:space="preserve">The pilot pricing must not anchor production pricing. Vendors price pilots aggressively (free, $25–50K) and then anchor production pricing against a fully-loaded base that includes counterfactuals the pilot never tested. Insist that production pricing be quoted at the start of the pilot, with a defensible per-trajectory or per-resolution unit-economics breakdown, and with a written right-to-renegotiate at the production-transition gate. The pricing-model selection question (Branch 8) is the input to this rule, not the output.</w:t>
      </w:r>
    </w:p>
    <w:p>
      <w:pPr>
        <w:pStyle w:val="BodyText"/>
      </w:pPr>
      <w:r>
        <w:t xml:space="preserve">The 90-day pilot, the seven overlays, the AI-specific MSA addenda from Section IV that bind on day one, and the production-pricing pre-quote together are the procurement equivalent of a forward-deployable arming switch. They let you commit conditionally while keeping the option to walk. Anything looser is a long-term commitment the vendor will eventually exercise against you.</w:t>
      </w:r>
    </w:p>
    <w:bookmarkEnd w:id="143"/>
    <w:bookmarkStart w:id="144" w:name="branch-8-pricing-model-selection"/>
    <w:p>
      <w:pPr>
        <w:pStyle w:val="Heading3"/>
      </w:pPr>
      <w:r>
        <w:t xml:space="preserve">Branch 8 — Pricing-Model Selection</w:t>
      </w:r>
    </w:p>
    <w:p>
      <w:pPr>
        <w:pStyle w:val="FirstParagraph"/>
      </w:pPr>
      <w:r>
        <w:t xml:space="preserve">Most procurement teams negotiate price-per-unit but not unit-of-pricing. That is the wrong order. The unit determines the dispute mechanics, the forecast volatility, the gross-margin behavior under usage spikes, and whether your CFO can defend the line item to the audit committee. Pick the unit before you negotiate the rate.</w:t>
      </w:r>
    </w:p>
    <w:p>
      <w:pPr>
        <w:pStyle w:val="BodyText"/>
      </w:pPr>
      <w:r>
        <w:t xml:space="preserve">Four pricing models are live in May 2026: per-seat, per-message (or per-API-call), outcome-based (per-resolution, per-encounter, per-hour-of-care), and hybrid (fixed platform fee plus variable). Each fits a specific workload shape. Mismatched fit is the single most common reason a buyer ends a year inside an agent contract that looked good at signing and is now a fight at renewal.</w:t>
      </w:r>
    </w:p>
    <w:p>
      <w:pPr>
        <w:pStyle w:val="BodyText"/>
      </w:pPr>
      <w:r>
        <w:rPr>
          <w:i/>
          <w:iCs/>
        </w:rPr>
        <w:t xml:space="preserve">Per-seat is right when:</w:t>
      </w:r>
      <w:r>
        <w:t xml:space="preserve"> </w:t>
      </w:r>
      <w:r>
        <w:t xml:space="preserve">the agent augments a named human whose work product is the audit trail (AE, CSM, analyst, attorney, line manager). Glean per-seat at $40–50/user holds because the buyer is IT and the seat count is the procurement vocabulary. Harvey at $200–500/seat holds because the privilege-and-accuracy buyer is the law-firm partner. Cursor at $40 enterprise holds because the user is the buyer. Per-seat fails the moment the agent does end-to-end work without a human cosignatory — 11x’s flat ARR through 2024–Q1 2026 is the canonical SDR-AI saturation signal that per-seat AI SDR at $4–8K/seat hits a wall when buyers benchmark against per-meeting outsourced pods at $80–150/meeting.</w:t>
      </w:r>
    </w:p>
    <w:p>
      <w:pPr>
        <w:pStyle w:val="BodyText"/>
      </w:pPr>
      <w:r>
        <w:rPr>
          <w:i/>
          <w:iCs/>
        </w:rPr>
        <w:t xml:space="preserve">Per-message or per-API-call is right when:</w:t>
      </w:r>
      <w:r>
        <w:t xml:space="preserve"> </w:t>
      </w:r>
      <w:r>
        <w:t xml:space="preserve">the agent is a developer or platform surface where the trajectory boundary is technical and the buyer is an engineering team that already thinks in API units. Cursor’s $0.04 premium-model overage is acceptable because the developer absorbs the forecasting cognitive load. Per-message becomes hostile to F1000 procurement the moment the buyer is a CFO who needs to defend a line item — pure variable pricing without a floor cannot be modeled in an annual budget.</w:t>
      </w:r>
    </w:p>
    <w:p>
      <w:pPr>
        <w:pStyle w:val="BodyText"/>
      </w:pPr>
      <w:r>
        <w:rPr>
          <w:i/>
          <w:iCs/>
        </w:rPr>
        <w:t xml:space="preserve">Outcome-based is right when:</w:t>
      </w:r>
      <w:r>
        <w:t xml:space="preserve"> </w:t>
      </w:r>
      <w:r>
        <w:t xml:space="preserve">the trajectory is</w:t>
      </w:r>
      <w:r>
        <w:t xml:space="preserve"> </w:t>
      </w:r>
      <w:r>
        <w:rPr>
          <w:i/>
          <w:iCs/>
        </w:rPr>
        <w:t xml:space="preserve">discrete, completable in one session, and produces a buyer-visible success signal</w:t>
      </w:r>
      <w:r>
        <w:t xml:space="preserve">. This is the test. Sierra’s per-resolved-conversation pricing at $1–4 works because CX has all three properties: a conversation is bounded, it closes in one session, and the CSAT signal is observable. Hippocratic’s $9/hour RN-equivalent voice agent works because the work-time unit has measurement clarity. Abridge’s $3–8 per encounter works because the encounter is the natural clinical unit. Outcome pricing fails outside this triad — Harvey, Rogo, and Hebbia explicitly refuse it because legal and finance outcomes are case-specific, multi-session, and confounded by attribution. Cursor refuses it because developer productivity is per-seat-stable. The rule of thumb:</w:t>
      </w:r>
      <w:r>
        <w:t xml:space="preserve"> </w:t>
      </w:r>
      <w:r>
        <w:rPr>
          <w:b/>
          <w:bCs/>
        </w:rPr>
        <w:t xml:space="preserve">outcome pricing exports cleanly to workloads where the trajectory is discrete + completable + buyer-visible. CX has all three. Legal, finance, and developer tools have zero, one, or two. Do not let a vendor sell you outcome pricing for a workload that fails the triad — you will spend the contract year arguing definitions.</w:t>
      </w:r>
    </w:p>
    <w:p>
      <w:pPr>
        <w:pStyle w:val="BodyText"/>
      </w:pPr>
      <w:r>
        <w:rPr>
          <w:i/>
          <w:iCs/>
        </w:rPr>
        <w:t xml:space="preserve">Hybrid is right when:</w:t>
      </w:r>
      <w:r>
        <w:t xml:space="preserve"> </w:t>
      </w:r>
      <w:r>
        <w:t xml:space="preserve">the workload sits in the middle (variable usage with a stable platform component) and your CFO requires a fixed forecast anchor. Cresta at $150–250/agent platform plus $0.50–1.50 per AI-handled call is the dominant CX hybrid. Decagon’s $250–500K platform minimum plus per-conversation overage is the dominant mid-market hybrid. Hybrid wins the 2026 contract count even as outcome wins the headline narrative, because procurement infrastructure (annual budgets, SAP/Coupa workflows) is built for fixed-plus-variable, not pure variable.</w:t>
      </w:r>
    </w:p>
    <w:p>
      <w:pPr>
        <w:pStyle w:val="BodyText"/>
      </w:pPr>
      <w:r>
        <w:t xml:space="preserve">The buyer’s reality check on per-resolution pricing is the</w:t>
      </w:r>
      <w:r>
        <w:t xml:space="preserve"> </w:t>
      </w:r>
      <w:r>
        <w:rPr>
          <w:b/>
          <w:bCs/>
        </w:rPr>
        <w:t xml:space="preserve">token-markup math</w:t>
      </w:r>
      <w:r>
        <w:t xml:space="preserve">. At Sierra scale, a 47-call trace at roughly $0.012 average Claude Sonnet blend per call is approximately $0.55 of inference cost per resolved conversation against $2.50 charged — about 22%. The other 78% covers telephony, integration, training, ops, and gross margin. That is not unreasonable, but it is the number you should hold in your head when a vendor tells you per-resolution pricing reflects their cost structure. The Anthropic Claude Agent SDK 2.0 (April 2026) and OpenAI Responses API trace-cost views let you estimate inference fraction independently. Use them. The per-trajectory cost transparency clause from Section IV is how you make this estimation a contractual right rather than a back-of-envelope.</w:t>
      </w:r>
    </w:p>
    <w:p>
      <w:pPr>
        <w:pStyle w:val="BodyText"/>
      </w:pPr>
      <w:r>
        <w:t xml:space="preserve">The discipline in Branch 8 is that the unit-of-pricing decision is upstream of the per-unit-rate decision. A buyer who walks into a Sierra negotiation having already decided the unit is</w:t>
      </w:r>
      <w:r>
        <w:t xml:space="preserve"> </w:t>
      </w:r>
      <w:r>
        <w:t xml:space="preserve">“per-resolved-conversation”</w:t>
      </w:r>
      <w:r>
        <w:t xml:space="preserve"> </w:t>
      </w:r>
      <w:r>
        <w:t xml:space="preserve">has already lost the conversation about whether outcome pricing fits their workload. A buyer who walks in with the discrete-completable-buyer-visible test in hand can negotiate the unit first, and the rate second, and arrive at a contract that survives the audit committee, the CFO’s quarterly forecast review, and the renewal cycle. That is the position this Playbook takes, and the position your procurement team should take into every agent vendor conversation in 2026.</w:t>
      </w:r>
    </w:p>
    <w:p>
      <w:r>
        <w:pict>
          <v:rect style="width:0;height:1.5pt" o:hralign="center" o:hrstd="t" o:hr="t"/>
        </w:pict>
      </w:r>
    </w:p>
    <w:bookmarkEnd w:id="144"/>
    <w:bookmarkEnd w:id="145"/>
    <w:bookmarkStart w:id="149" w:name="X8f0785c23dfcc42e91e23e11bdd20ae97fc7c71"/>
    <w:p>
      <w:pPr>
        <w:pStyle w:val="Heading2"/>
      </w:pPr>
      <w:r>
        <w:t xml:space="preserve">Section VI · The Vendor Scoring Rubric (Procurement Operating Standard 1.0)</w:t>
      </w:r>
    </w:p>
    <w:p>
      <w:pPr>
        <w:pStyle w:val="FirstParagraph"/>
      </w:pPr>
      <w:r>
        <w:t xml:space="preserve">The Rubric is the named matrix this Playbook publishes. It does one thing and does it deliberately: it translates the seven counterparties of Section II and the seven overlays of Section III (plus the per-trajectory FinOps overlay implied by Section V Branch 8) into a single 7 × 8 scoring grid that any two readers can apply to the same vendor and arrive at the same buy / conditional / no-buy decision. That replicability is the test. If two competent procurement teams score the same vendor differently using this Rubric, the Rubric has failed and I want to know about it.</w:t>
      </w:r>
    </w:p>
    <w:p>
      <w:pPr>
        <w:pStyle w:val="BodyText"/>
      </w:pPr>
      <w:r>
        <w:t xml:space="preserve">Use it three times in the lifecycle of every agent vendor relationship.</w:t>
      </w:r>
      <w:r>
        <w:t xml:space="preserve"> </w:t>
      </w:r>
      <w:r>
        <w:rPr>
          <w:b/>
          <w:bCs/>
        </w:rPr>
        <w:t xml:space="preserve">During evaluation</w:t>
      </w:r>
      <w:r>
        <w:t xml:space="preserve"> </w:t>
      </w:r>
      <w:r>
        <w:t xml:space="preserve">— score the vendor before you sign the pilot, with whatever evidence the vendor will provide under NDA, and use the gaps to write the pilot evidence-acceptance criteria.</w:t>
      </w:r>
      <w:r>
        <w:t xml:space="preserve"> </w:t>
      </w:r>
      <w:r>
        <w:rPr>
          <w:b/>
          <w:bCs/>
        </w:rPr>
        <w:t xml:space="preserve">During procurement</w:t>
      </w:r>
      <w:r>
        <w:t xml:space="preserve"> </w:t>
      </w:r>
      <w:r>
        <w:t xml:space="preserve">— score the vendor again at the production-transition gate, with the pilot evidence pack in hand, and use the score to inform Branch 6 (buy now vs. wait).</w:t>
      </w:r>
      <w:r>
        <w:t xml:space="preserve"> </w:t>
      </w:r>
      <w:r>
        <w:rPr>
          <w:b/>
          <w:bCs/>
        </w:rPr>
        <w:t xml:space="preserve">During renewal</w:t>
      </w:r>
      <w:r>
        <w:t xml:space="preserve"> </w:t>
      </w:r>
      <w:r>
        <w:t xml:space="preserve">— score the vendor a third time before each renewal, against the most recent eval, red-team, and Article 14 tie-out artifacts the vendor has supplied, and use the score to anchor the renegotiation. A vendor whose Rubric score has degraded materially across two cycles is a vendor whose architecture has drifted away from your requirements; renew on shorter terms or exit.</w:t>
      </w:r>
    </w:p>
    <w:bookmarkStart w:id="146" w:name="the-rubric-matrix"/>
    <w:p>
      <w:pPr>
        <w:pStyle w:val="Heading3"/>
      </w:pPr>
      <w:r>
        <w:t xml:space="preserve">The Rubric Matrix</w:t>
      </w:r>
    </w:p>
    <w:p>
      <w:pPr>
        <w:pStyle w:val="FirstParagraph"/>
      </w:pPr>
      <w:r>
        <w:t xml:space="preserve">Each cell is scored</w:t>
      </w:r>
      <w:r>
        <w:t xml:space="preserve"> </w:t>
      </w:r>
      <w:r>
        <w:rPr>
          <w:b/>
          <w:bCs/>
        </w:rPr>
        <w:t xml:space="preserve">Pass / Conditional / Fail</w:t>
      </w:r>
      <w:r>
        <w:t xml:space="preserve"> </w:t>
      </w:r>
      <w:r>
        <w:t xml:space="preserve">with a one-line evidence requirement. The seven counterparties are rows; the eight overlay categories are columns. The eighth column is Per-Trajectory FinOps — the cost-telemetry and trajectory-cost-transparency overlay surfaced by Section V Branch 8 and by the Enterprise Architecture chapter in Section II.</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Counterparty ↓ / Overlay →</w:t>
            </w:r>
          </w:p>
        </w:tc>
        <w:tc>
          <w:tcPr/>
          <w:p>
            <w:pPr>
              <w:pStyle w:val="Compact"/>
            </w:pPr>
            <w:r>
              <w:t xml:space="preserve">Tool-Boundary Policy</w:t>
            </w:r>
          </w:p>
        </w:tc>
        <w:tc>
          <w:tcPr/>
          <w:p>
            <w:pPr>
              <w:pStyle w:val="Compact"/>
            </w:pPr>
            <w:r>
              <w:t xml:space="preserve">Indirect-Injection Red-Team</w:t>
            </w:r>
          </w:p>
        </w:tc>
        <w:tc>
          <w:tcPr/>
          <w:p>
            <w:pPr>
              <w:pStyle w:val="Compact"/>
            </w:pPr>
            <w:r>
              <w:t xml:space="preserve">Action-Rollback</w:t>
            </w:r>
          </w:p>
        </w:tc>
        <w:tc>
          <w:tcPr/>
          <w:p>
            <w:pPr>
              <w:pStyle w:val="Compact"/>
            </w:pPr>
            <w:r>
              <w:t xml:space="preserve">Sub-Agent Privilege</w:t>
            </w:r>
          </w:p>
        </w:tc>
        <w:tc>
          <w:tcPr/>
          <w:p>
            <w:pPr>
              <w:pStyle w:val="Compact"/>
            </w:pPr>
            <w:r>
              <w:t xml:space="preserve">Signed Eval Reports</w:t>
            </w:r>
          </w:p>
        </w:tc>
        <w:tc>
          <w:tcPr/>
          <w:p>
            <w:pPr>
              <w:pStyle w:val="Compact"/>
            </w:pPr>
            <w:r>
              <w:t xml:space="preserve">Article 14 Tie-Out</w:t>
            </w:r>
          </w:p>
        </w:tc>
        <w:tc>
          <w:tcPr/>
          <w:p>
            <w:pPr>
              <w:pStyle w:val="Compact"/>
            </w:pPr>
            <w:r>
              <w:t xml:space="preserve">Sectoral Overlays</w:t>
            </w:r>
          </w:p>
        </w:tc>
        <w:tc>
          <w:tcPr/>
          <w:p>
            <w:pPr>
              <w:pStyle w:val="Compact"/>
            </w:pPr>
            <w:r>
              <w:t xml:space="preserve">Per-Trajectory FinOps</w:t>
            </w:r>
          </w:p>
        </w:tc>
      </w:tr>
      <w:tr>
        <w:tc>
          <w:tcPr/>
          <w:p>
            <w:pPr>
              <w:pStyle w:val="Compact"/>
            </w:pPr>
            <w:r>
              <w:rPr>
                <w:b/>
                <w:bCs/>
              </w:rPr>
              <w:t xml:space="preserve">InfoSec</w:t>
            </w:r>
          </w:p>
        </w:tc>
        <w:tc>
          <w:tcPr/>
          <w:p>
            <w:pPr>
              <w:pStyle w:val="Compact"/>
            </w:pPr>
            <w:r>
              <w:t xml:space="preserve">Document supplied; ≥4 privilege tiers</w:t>
            </w:r>
          </w:p>
        </w:tc>
        <w:tc>
          <w:tcPr/>
          <w:p>
            <w:pPr>
              <w:pStyle w:val="Compact"/>
            </w:pPr>
            <w:r>
              <w:t xml:space="preserve">Adaptive-adversary report &lt;90 days, named methodology</w:t>
            </w:r>
          </w:p>
        </w:tc>
        <w:tc>
          <w:tcPr/>
          <w:p>
            <w:pPr>
              <w:pStyle w:val="Compact"/>
            </w:pPr>
            <w:r>
              <w:t xml:space="preserve">Per-write-tool RTO + irreversible-action list</w:t>
            </w:r>
          </w:p>
        </w:tc>
        <w:tc>
          <w:tcPr/>
          <w:p>
            <w:pPr>
              <w:pStyle w:val="Compact"/>
            </w:pPr>
            <w:r>
              <w:t xml:space="preserve">Diagram + runtime enforcement + escalation tests</w:t>
            </w:r>
          </w:p>
        </w:tc>
        <w:tc>
          <w:tcPr/>
          <w:p>
            <w:pPr>
              <w:pStyle w:val="Compact"/>
            </w:pPr>
            <w:r>
              <w:t xml:space="preserve">Model pin + harness + reproducible by buyer ±5pts</w:t>
            </w:r>
          </w:p>
        </w:tc>
        <w:tc>
          <w:tcPr/>
          <w:p>
            <w:pPr>
              <w:pStyle w:val="Compact"/>
            </w:pPr>
            <w:r>
              <w:t xml:space="preserve">N/A (cross-ref AI Council)</w:t>
            </w:r>
          </w:p>
        </w:tc>
        <w:tc>
          <w:tcPr/>
          <w:p>
            <w:pPr>
              <w:pStyle w:val="Compact"/>
            </w:pPr>
            <w:r>
              <w:t xml:space="preserve">Pen-test current + sectoral attestations</w:t>
            </w:r>
          </w:p>
        </w:tc>
        <w:tc>
          <w:tcPr/>
          <w:p>
            <w:pPr>
              <w:pStyle w:val="Compact"/>
            </w:pPr>
            <w:r>
              <w:t xml:space="preserve">Per-trajectory log to buyer SIEM</w:t>
            </w:r>
          </w:p>
        </w:tc>
      </w:tr>
      <w:tr>
        <w:tc>
          <w:tcPr/>
          <w:p>
            <w:pPr>
              <w:pStyle w:val="Compact"/>
            </w:pPr>
            <w:r>
              <w:rPr>
                <w:b/>
                <w:bCs/>
              </w:rPr>
              <w:t xml:space="preserve">Legal</w:t>
            </w:r>
          </w:p>
        </w:tc>
        <w:tc>
          <w:tcPr/>
          <w:p>
            <w:pPr>
              <w:pStyle w:val="Compact"/>
            </w:pPr>
            <w:r>
              <w:t xml:space="preserve">Tool-boundary breach defined as material breach in MSA</w:t>
            </w:r>
          </w:p>
        </w:tc>
        <w:tc>
          <w:tcPr/>
          <w:p>
            <w:pPr>
              <w:pStyle w:val="Compact"/>
            </w:pPr>
            <w:r>
              <w:t xml:space="preserve">Red-team disclosure clause + 48-hr injection-class notification</w:t>
            </w:r>
          </w:p>
        </w:tc>
        <w:tc>
          <w:tcPr/>
          <w:p>
            <w:pPr>
              <w:pStyle w:val="Compact"/>
            </w:pPr>
            <w:r>
              <w:t xml:space="preserve">Action-rollback SLA + irreversible-action indemnity</w:t>
            </w:r>
          </w:p>
        </w:tc>
        <w:tc>
          <w:tcPr/>
          <w:p>
            <w:pPr>
              <w:pStyle w:val="Compact"/>
            </w:pPr>
            <w:r>
              <w:t xml:space="preserve">Sub-agent privilege change = 30-day notice in MSA</w:t>
            </w:r>
          </w:p>
        </w:tc>
        <w:tc>
          <w:tcPr/>
          <w:p>
            <w:pPr>
              <w:pStyle w:val="Compact"/>
            </w:pPr>
            <w:r>
              <w:t xml:space="preserve">Eval-evidence warranty + 5-pt reproduction = breach trigger</w:t>
            </w:r>
          </w:p>
        </w:tc>
        <w:tc>
          <w:tcPr/>
          <w:p>
            <w:pPr>
              <w:pStyle w:val="Compact"/>
            </w:pPr>
            <w:r>
              <w:t xml:space="preserve">Article 14 tie-out warranted in MSA</w:t>
            </w:r>
          </w:p>
        </w:tc>
        <w:tc>
          <w:tcPr/>
          <w:p>
            <w:pPr>
              <w:pStyle w:val="Compact"/>
            </w:pPr>
            <w:r>
              <w:t xml:space="preserve">BAA / SR 11-7 / FedRAMP exhibit</w:t>
            </w:r>
          </w:p>
        </w:tc>
        <w:tc>
          <w:tcPr/>
          <w:p>
            <w:pPr>
              <w:pStyle w:val="Compact"/>
            </w:pPr>
            <w:r>
              <w:t xml:space="preserve">Per-trajectory cost transparency clause</w:t>
            </w:r>
          </w:p>
        </w:tc>
      </w:tr>
      <w:tr>
        <w:tc>
          <w:tcPr/>
          <w:p>
            <w:pPr>
              <w:pStyle w:val="Compact"/>
            </w:pPr>
            <w:r>
              <w:rPr>
                <w:b/>
                <w:bCs/>
              </w:rPr>
              <w:t xml:space="preserve">Privacy</w:t>
            </w:r>
          </w:p>
        </w:tc>
        <w:tc>
          <w:tcPr/>
          <w:p>
            <w:pPr>
              <w:pStyle w:val="Compact"/>
            </w:pPr>
            <w:r>
              <w:t xml:space="preserve">Tool inventory mapped to data categories</w:t>
            </w:r>
          </w:p>
        </w:tc>
        <w:tc>
          <w:tcPr/>
          <w:p>
            <w:pPr>
              <w:pStyle w:val="Compact"/>
            </w:pPr>
            <w:r>
              <w:t xml:space="preserve">N/A (cross-ref InfoSec)</w:t>
            </w:r>
          </w:p>
        </w:tc>
        <w:tc>
          <w:tcPr/>
          <w:p>
            <w:pPr>
              <w:pStyle w:val="Compact"/>
            </w:pPr>
            <w:r>
              <w:t xml:space="preserve">Persistent-memory deletion path on rollback</w:t>
            </w:r>
          </w:p>
        </w:tc>
        <w:tc>
          <w:tcPr/>
          <w:p>
            <w:pPr>
              <w:pStyle w:val="Compact"/>
            </w:pPr>
            <w:r>
              <w:t xml:space="preserve">Sub-agent memory-write scope documented</w:t>
            </w:r>
          </w:p>
        </w:tc>
        <w:tc>
          <w:tcPr/>
          <w:p>
            <w:pPr>
              <w:pStyle w:val="Compact"/>
            </w:pPr>
            <w:r>
              <w:t xml:space="preserve">Eval datasets do not contain customer PII</w:t>
            </w:r>
          </w:p>
        </w:tc>
        <w:tc>
          <w:tcPr/>
          <w:p>
            <w:pPr>
              <w:pStyle w:val="Compact"/>
            </w:pPr>
            <w:r>
              <w:t xml:space="preserve">Article 14 + GDPR Art. 22 dual map</w:t>
            </w:r>
          </w:p>
        </w:tc>
        <w:tc>
          <w:tcPr/>
          <w:p>
            <w:pPr>
              <w:pStyle w:val="Compact"/>
            </w:pPr>
            <w:r>
              <w:t xml:space="preserve">DPA + sectoral data-flow diagram</w:t>
            </w:r>
          </w:p>
        </w:tc>
        <w:tc>
          <w:tcPr/>
          <w:p>
            <w:pPr>
              <w:pStyle w:val="Compact"/>
            </w:pPr>
            <w:r>
              <w:t xml:space="preserve">Trajectory logs Schrems-II posture documented</w:t>
            </w:r>
          </w:p>
        </w:tc>
      </w:tr>
      <w:tr>
        <w:tc>
          <w:tcPr/>
          <w:p>
            <w:pPr>
              <w:pStyle w:val="Compact"/>
            </w:pPr>
            <w:r>
              <w:rPr>
                <w:b/>
                <w:bCs/>
              </w:rPr>
              <w:t xml:space="preserve">AI Governance</w:t>
            </w:r>
          </w:p>
        </w:tc>
        <w:tc>
          <w:tcPr/>
          <w:p>
            <w:pPr>
              <w:pStyle w:val="Compact"/>
            </w:pPr>
            <w:r>
              <w:t xml:space="preserve">Policy reviewed by AI Council; matches Use Policy</w:t>
            </w:r>
          </w:p>
        </w:tc>
        <w:tc>
          <w:tcPr/>
          <w:p>
            <w:pPr>
              <w:pStyle w:val="Compact"/>
            </w:pPr>
            <w:r>
              <w:t xml:space="preserve">Adaptive red-team in NIST AI RMF mapping</w:t>
            </w:r>
          </w:p>
        </w:tc>
        <w:tc>
          <w:tcPr/>
          <w:p>
            <w:pPr>
              <w:pStyle w:val="Compact"/>
            </w:pPr>
            <w:r>
              <w:t xml:space="preserve">Rollback in AI incident-response runbook</w:t>
            </w:r>
          </w:p>
        </w:tc>
        <w:tc>
          <w:tcPr/>
          <w:p>
            <w:pPr>
              <w:pStyle w:val="Compact"/>
            </w:pPr>
            <w:r>
              <w:t xml:space="preserve">Privilege matrix mapped to ISO 42001 controls</w:t>
            </w:r>
          </w:p>
        </w:tc>
        <w:tc>
          <w:tcPr/>
          <w:p>
            <w:pPr>
              <w:pStyle w:val="Compact"/>
            </w:pPr>
            <w:r>
              <w:t xml:space="preserve">Signed report + dataset hash + reproducibility = required artifact</w:t>
            </w:r>
          </w:p>
        </w:tc>
        <w:tc>
          <w:tcPr/>
          <w:p>
            <w:pPr>
              <w:pStyle w:val="Compact"/>
            </w:pPr>
            <w:r>
              <w:t xml:space="preserve">Article 14 tie-out is the load-bearing artifact</w:t>
            </w:r>
          </w:p>
        </w:tc>
        <w:tc>
          <w:tcPr/>
          <w:p>
            <w:pPr>
              <w:pStyle w:val="Compact"/>
            </w:pPr>
            <w:r>
              <w:t xml:space="preserve">Sectoral risk-tier classification</w:t>
            </w:r>
          </w:p>
        </w:tc>
        <w:tc>
          <w:tcPr/>
          <w:p>
            <w:pPr>
              <w:pStyle w:val="Compact"/>
            </w:pPr>
            <w:r>
              <w:t xml:space="preserve">Trajectory cost as governance metric (drift signal)</w:t>
            </w:r>
          </w:p>
        </w:tc>
      </w:tr>
      <w:tr>
        <w:tc>
          <w:tcPr/>
          <w:p>
            <w:pPr>
              <w:pStyle w:val="Compact"/>
            </w:pPr>
            <w:r>
              <w:rPr>
                <w:b/>
                <w:bCs/>
              </w:rPr>
              <w:t xml:space="preserve">Procurement</w:t>
            </w:r>
          </w:p>
        </w:tc>
        <w:tc>
          <w:tcPr/>
          <w:p>
            <w:pPr>
              <w:pStyle w:val="Compact"/>
            </w:pPr>
            <w:r>
              <w:t xml:space="preserve">Policy enables vendor benchmarking</w:t>
            </w:r>
          </w:p>
        </w:tc>
        <w:tc>
          <w:tcPr/>
          <w:p>
            <w:pPr>
              <w:pStyle w:val="Compact"/>
            </w:pPr>
            <w:r>
              <w:t xml:space="preserve">Red-team partner named + cost in TCO</w:t>
            </w:r>
          </w:p>
        </w:tc>
        <w:tc>
          <w:tcPr/>
          <w:p>
            <w:pPr>
              <w:pStyle w:val="Compact"/>
            </w:pPr>
            <w:r>
              <w:t xml:space="preserve">Rollback SLA + service credits priced</w:t>
            </w:r>
          </w:p>
        </w:tc>
        <w:tc>
          <w:tcPr/>
          <w:p>
            <w:pPr>
              <w:pStyle w:val="Compact"/>
            </w:pPr>
            <w:r>
              <w:t xml:space="preserve">Sub-agent count + cost-fan-out modeled in TCO</w:t>
            </w:r>
          </w:p>
        </w:tc>
        <w:tc>
          <w:tcPr/>
          <w:p>
            <w:pPr>
              <w:pStyle w:val="Compact"/>
            </w:pPr>
            <w:r>
              <w:t xml:space="preserve">Eval-report cadence in order form</w:t>
            </w:r>
          </w:p>
        </w:tc>
        <w:tc>
          <w:tcPr/>
          <w:p>
            <w:pPr>
              <w:pStyle w:val="Compact"/>
            </w:pPr>
            <w:r>
              <w:t xml:space="preserve">Tie-out refresh cadence in order form</w:t>
            </w:r>
          </w:p>
        </w:tc>
        <w:tc>
          <w:tcPr/>
          <w:p>
            <w:pPr>
              <w:pStyle w:val="Compact"/>
            </w:pPr>
            <w:r>
              <w:t xml:space="preserve">Sectoral overlay packet included pre-pilot</w:t>
            </w:r>
          </w:p>
        </w:tc>
        <w:tc>
          <w:tcPr/>
          <w:p>
            <w:pPr>
              <w:pStyle w:val="Compact"/>
            </w:pPr>
            <w:r>
              <w:t xml:space="preserve">Per-trajectory ceiling + per-tenant budget caps</w:t>
            </w:r>
          </w:p>
        </w:tc>
      </w:tr>
      <w:tr>
        <w:tc>
          <w:tcPr/>
          <w:p>
            <w:pPr>
              <w:pStyle w:val="Compact"/>
            </w:pPr>
            <w:r>
              <w:rPr>
                <w:b/>
                <w:bCs/>
              </w:rPr>
              <w:t xml:space="preserve">Sponsor</w:t>
            </w:r>
          </w:p>
        </w:tc>
        <w:tc>
          <w:tcPr/>
          <w:p>
            <w:pPr>
              <w:pStyle w:val="Compact"/>
            </w:pPr>
            <w:r>
              <w:t xml:space="preserve">Operator can read it without legal translation</w:t>
            </w:r>
          </w:p>
        </w:tc>
        <w:tc>
          <w:tcPr/>
          <w:p>
            <w:pPr>
              <w:pStyle w:val="Compact"/>
            </w:pPr>
            <w:r>
              <w:t xml:space="preserve">Demonstrable in vendor’s customer war-stories</w:t>
            </w:r>
          </w:p>
        </w:tc>
        <w:tc>
          <w:tcPr/>
          <w:p>
            <w:pPr>
              <w:pStyle w:val="Compact"/>
            </w:pPr>
            <w:r>
              <w:t xml:space="preserve">Rollback never requires sponsor sign-off in business-hours</w:t>
            </w:r>
          </w:p>
        </w:tc>
        <w:tc>
          <w:tcPr/>
          <w:p>
            <w:pPr>
              <w:pStyle w:val="Compact"/>
            </w:pPr>
            <w:r>
              <w:t xml:space="preserve">Sub-agent fan-out invisible to operator UX</w:t>
            </w:r>
          </w:p>
        </w:tc>
        <w:tc>
          <w:tcPr/>
          <w:p>
            <w:pPr>
              <w:pStyle w:val="Compact"/>
            </w:pPr>
            <w:r>
              <w:t xml:space="preserve">Eval results align with sponsor’s business KPIs</w:t>
            </w:r>
          </w:p>
        </w:tc>
        <w:tc>
          <w:tcPr/>
          <w:p>
            <w:pPr>
              <w:pStyle w:val="Compact"/>
            </w:pPr>
            <w:r>
              <w:t xml:space="preserve">Tie-out includes operator-training materials</w:t>
            </w:r>
          </w:p>
        </w:tc>
        <w:tc>
          <w:tcPr/>
          <w:p>
            <w:pPr>
              <w:pStyle w:val="Compact"/>
            </w:pPr>
            <w:r>
              <w:t xml:space="preserve">Sectoral artifacts do not slow time-to-value</w:t>
            </w:r>
          </w:p>
        </w:tc>
        <w:tc>
          <w:tcPr/>
          <w:p>
            <w:pPr>
              <w:pStyle w:val="Compact"/>
            </w:pPr>
            <w:r>
              <w:t xml:space="preserve">Cost dashboard available to operator</w:t>
            </w:r>
          </w:p>
        </w:tc>
      </w:tr>
      <w:tr>
        <w:tc>
          <w:tcPr/>
          <w:p>
            <w:pPr>
              <w:pStyle w:val="Compact"/>
            </w:pPr>
            <w:r>
              <w:rPr>
                <w:b/>
                <w:bCs/>
              </w:rPr>
              <w:t xml:space="preserve">Enterprise Architecture</w:t>
            </w:r>
          </w:p>
        </w:tc>
        <w:tc>
          <w:tcPr/>
          <w:p>
            <w:pPr>
              <w:pStyle w:val="Compact"/>
            </w:pPr>
            <w:r>
              <w:t xml:space="preserve">Tools listed match identity-fabric scopes (OAuth blast radius bounded)</w:t>
            </w:r>
          </w:p>
        </w:tc>
        <w:tc>
          <w:tcPr/>
          <w:p>
            <w:pPr>
              <w:pStyle w:val="Compact"/>
            </w:pPr>
            <w:r>
              <w:t xml:space="preserve">Defense integrates with EA’s gateway and SIEM</w:t>
            </w:r>
          </w:p>
        </w:tc>
        <w:tc>
          <w:tcPr/>
          <w:p>
            <w:pPr>
              <w:pStyle w:val="Compact"/>
            </w:pPr>
            <w:r>
              <w:t xml:space="preserve">Rollback hooks integrate with buyer’s incident automation</w:t>
            </w:r>
          </w:p>
        </w:tc>
        <w:tc>
          <w:tcPr/>
          <w:p>
            <w:pPr>
              <w:pStyle w:val="Compact"/>
            </w:pPr>
            <w:r>
              <w:t xml:space="preserve">Sub-agent enforcement uses EA’s identity primitives</w:t>
            </w:r>
          </w:p>
        </w:tc>
        <w:tc>
          <w:tcPr/>
          <w:p>
            <w:pPr>
              <w:pStyle w:val="Compact"/>
            </w:pPr>
            <w:r>
              <w:t xml:space="preserve">Reproducibility runs in buyer’s eval environment</w:t>
            </w:r>
          </w:p>
        </w:tc>
        <w:tc>
          <w:tcPr/>
          <w:p>
            <w:pPr>
              <w:pStyle w:val="Compact"/>
            </w:pPr>
            <w:r>
              <w:t xml:space="preserve">Tie-out evidence flows through buyer’s audit pipeline</w:t>
            </w:r>
          </w:p>
        </w:tc>
        <w:tc>
          <w:tcPr/>
          <w:p>
            <w:pPr>
              <w:pStyle w:val="Compact"/>
            </w:pPr>
            <w:r>
              <w:t xml:space="preserve">Sectoral isolation conformant to reference architecture</w:t>
            </w:r>
          </w:p>
        </w:tc>
        <w:tc>
          <w:tcPr/>
          <w:p>
            <w:pPr>
              <w:pStyle w:val="Compact"/>
            </w:pPr>
            <w:r>
              <w:t xml:space="preserve">OpenTelemetry GenAI-conventions-native trajectory metering</w:t>
            </w:r>
          </w:p>
        </w:tc>
      </w:tr>
    </w:tbl>
    <w:p>
      <w:pPr>
        <w:pStyle w:val="BodyText"/>
      </w:pPr>
      <w:r>
        <w:t xml:space="preserve">A cell scores</w:t>
      </w:r>
      <w:r>
        <w:t xml:space="preserve"> </w:t>
      </w:r>
      <w:r>
        <w:rPr>
          <w:b/>
          <w:bCs/>
        </w:rPr>
        <w:t xml:space="preserve">Pass</w:t>
      </w:r>
      <w:r>
        <w:t xml:space="preserve"> </w:t>
      </w:r>
      <w:r>
        <w:t xml:space="preserve">when the vendor supplies the named artifact and a named representative will defend it.</w:t>
      </w:r>
      <w:r>
        <w:t xml:space="preserve"> </w:t>
      </w:r>
      <w:r>
        <w:rPr>
          <w:b/>
          <w:bCs/>
        </w:rPr>
        <w:t xml:space="preserve">Conditional</w:t>
      </w:r>
      <w:r>
        <w:t xml:space="preserve"> </w:t>
      </w:r>
      <w:r>
        <w:t xml:space="preserve">when the artifact exists but is incomplete, stale (&gt;180 days for eval / &gt;12 months for tie-out), or available only under post-signature NDA.</w:t>
      </w:r>
      <w:r>
        <w:t xml:space="preserve"> </w:t>
      </w:r>
      <w:r>
        <w:rPr>
          <w:b/>
          <w:bCs/>
        </w:rPr>
        <w:t xml:space="preserve">Fail</w:t>
      </w:r>
      <w:r>
        <w:t xml:space="preserve"> </w:t>
      </w:r>
      <w:r>
        <w:t xml:space="preserve">when the artifact does not exist or the vendor refuses to disclose. The sub-rule that prevents creative grading: any cell scored Pass must reference an artifact you can attach to the procurement file. If you cannot attach it, the cell is at best Conditional.</w:t>
      </w:r>
    </w:p>
    <w:bookmarkEnd w:id="146"/>
    <w:bookmarkStart w:id="147" w:name="X7b63348ce7fdf4a6993b45af1132b4e6da0e88d"/>
    <w:p>
      <w:pPr>
        <w:pStyle w:val="Heading3"/>
      </w:pPr>
      <w:r>
        <w:t xml:space="preserve">The (Function, Capability) Vendor-Coverage Map</w:t>
      </w:r>
    </w:p>
    <w:p>
      <w:pPr>
        <w:pStyle w:val="FirstParagraph"/>
      </w:pPr>
      <w:r>
        <w:t xml:space="preserve">The Rubric scores the vendor’s posture. The Coverage Map scores the vendor’s product. Use the (Function, Capability) cell coordinate system from the Volume III substrate to ask: which cells does this vendor credibly serve? For an F1000 buyer, five coordinates carry disproportionate weight in any agent-procurement decision, and each maps to a load-bearing question this Playbook takes a position on:</w:t>
      </w:r>
    </w:p>
    <w:p>
      <w:pPr>
        <w:pStyle w:val="Compact"/>
        <w:numPr>
          <w:ilvl w:val="0"/>
          <w:numId w:val="1036"/>
        </w:numPr>
      </w:pPr>
      <w:r>
        <w:rPr>
          <w:b/>
          <w:bCs/>
        </w:rPr>
        <w:t xml:space="preserve">(9, G) — Procurement seam compliance.</w:t>
      </w:r>
      <w:r>
        <w:t xml:space="preserve"> </w:t>
      </w:r>
      <w:r>
        <w:t xml:space="preserve">Does the vendor pass the gauntlet — all seven counterparties, all seven overlays, the fourteen addenda? This is the cell of record. As of May 2026, no incumbent ships a turnkey bilateral evidence pack for this cell. The vendor that earns a Pass in column G against (9, G) is a vendor you can deploy without a six-month controls retrofit.</w:t>
      </w:r>
    </w:p>
    <w:p>
      <w:pPr>
        <w:pStyle w:val="Compact"/>
        <w:numPr>
          <w:ilvl w:val="0"/>
          <w:numId w:val="1036"/>
        </w:numPr>
      </w:pPr>
      <w:r>
        <w:rPr>
          <w:b/>
          <w:bCs/>
        </w:rPr>
        <w:t xml:space="preserve">(4, M) / (6, M) / (9, M) / (10, M) — Trajectory observability.</w:t>
      </w:r>
      <w:r>
        <w:t xml:space="preserve"> </w:t>
      </w:r>
      <w:r>
        <w:t xml:space="preserve">Does the vendor ship audit-grade trajectory artifacts to the buyer’s SIEM and observability pipeline? The M-column is regulatorily mandatory inside eighteen months under TCPA, CAN-SPAM, GDPR, SOX-applied-to-agent-actions, and EU AI Act Article 14 evidence requirements. A vendor weak on M will be replaceable by Q4 2027 — do not sign multi-year on M-failures.</w:t>
      </w:r>
    </w:p>
    <w:p>
      <w:pPr>
        <w:pStyle w:val="Compact"/>
        <w:numPr>
          <w:ilvl w:val="0"/>
          <w:numId w:val="1036"/>
        </w:numPr>
      </w:pPr>
      <w:r>
        <w:rPr>
          <w:b/>
          <w:bCs/>
        </w:rPr>
        <w:t xml:space="preserve">(6, L) / (11, L) — Persistent memory durable across cycles.</w:t>
      </w:r>
      <w:r>
        <w:t xml:space="preserve"> </w:t>
      </w:r>
      <w:r>
        <w:t xml:space="preserve">Does the vendor’s memory layer survive multi-quarter deal cycles, multi-year renewal motions, and GDPR right-to-be-forgotten requests with surgical-deletion semantics? The L-column is the matrix’s most consistent gap. A Conditional here is acceptable in May 2026; a Fail is a procurement risk.</w:t>
      </w:r>
    </w:p>
    <w:p>
      <w:pPr>
        <w:pStyle w:val="Compact"/>
        <w:numPr>
          <w:ilvl w:val="0"/>
          <w:numId w:val="1036"/>
        </w:numPr>
      </w:pPr>
      <w:r>
        <w:rPr>
          <w:b/>
          <w:bCs/>
        </w:rPr>
        <w:t xml:space="preserve">(11, I) — Outcome-pricing maturity.</w:t>
      </w:r>
      <w:r>
        <w:t xml:space="preserve"> </w:t>
      </w:r>
      <w:r>
        <w:t xml:space="preserve">If the vendor offers outcome pricing, does the contract include the dual-telemetry, the dispute window, the third-party-arbitration clause, and the per-trajectory cost transparency rider? A Sierra-style outcome contract without these is a contract you will renegotiate inside two quarters.</w:t>
      </w:r>
    </w:p>
    <w:p>
      <w:pPr>
        <w:pStyle w:val="Compact"/>
        <w:numPr>
          <w:ilvl w:val="0"/>
          <w:numId w:val="1036"/>
        </w:numPr>
      </w:pPr>
      <w:r>
        <w:rPr>
          <w:b/>
          <w:bCs/>
        </w:rPr>
        <w:t xml:space="preserve">(5, F) — Buying-committee mapping.</w:t>
      </w:r>
      <w:r>
        <w:t xml:space="preserve"> </w:t>
      </w:r>
      <w:r>
        <w:t xml:space="preserve">If the vendor ships toward this cell (Common Room, Sales Nav, Clay, ZoomInfo, 6sense), does its committee-graph artifact have signed provenance, weekly refresh, and exportable-on-exit semantics? This is an OCQ 18/20 cell with no incumbent owner; vendors are claiming it without earning it.</w:t>
      </w:r>
    </w:p>
    <w:bookmarkEnd w:id="147"/>
    <w:bookmarkStart w:id="148" w:name="rolling-the-score-up-to-a-decision"/>
    <w:p>
      <w:pPr>
        <w:pStyle w:val="Heading3"/>
      </w:pPr>
      <w:r>
        <w:t xml:space="preserve">Rolling the Score Up to a Decision</w:t>
      </w:r>
    </w:p>
    <w:p>
      <w:pPr>
        <w:pStyle w:val="FirstParagraph"/>
      </w:pPr>
      <w:r>
        <w:t xml:space="preserve">The Rubric is a 56-cell matrix. Aggregate as follows.</w:t>
      </w:r>
      <w:r>
        <w:t xml:space="preserve"> </w:t>
      </w:r>
      <w:r>
        <w:rPr>
          <w:b/>
          <w:bCs/>
        </w:rPr>
        <w:t xml:space="preserve">Buy</w:t>
      </w:r>
      <w:r>
        <w:t xml:space="preserve"> </w:t>
      </w:r>
      <w:r>
        <w:t xml:space="preserve">when no Fail anywhere in the InfoSec / Legal / AI Governance / Enterprise Architecture rows, no more than two Conditionals across those four rows, and Pass on every overlay column for whichever sectoral and pricing-model branches were triggered in Section V.</w:t>
      </w:r>
      <w:r>
        <w:t xml:space="preserve"> </w:t>
      </w:r>
      <w:r>
        <w:rPr>
          <w:b/>
          <w:bCs/>
        </w:rPr>
        <w:t xml:space="preserve">Conditional buy</w:t>
      </w:r>
      <w:r>
        <w:t xml:space="preserve"> </w:t>
      </w:r>
      <w:r>
        <w:t xml:space="preserve">(proceed to pilot under Branch 7 rules; production-transition gate becomes a hard gate) when the failure surface is bounded — fewer than four Fails total, none in InfoSec or Legal, and a vendor commitment to remediate the named Conditionals inside the pilot window with Procurement holding the timeline.</w:t>
      </w:r>
      <w:r>
        <w:t xml:space="preserve"> </w:t>
      </w:r>
      <w:r>
        <w:rPr>
          <w:b/>
          <w:bCs/>
        </w:rPr>
        <w:t xml:space="preserve">No buy</w:t>
      </w:r>
      <w:r>
        <w:t xml:space="preserve"> </w:t>
      </w:r>
      <w:r>
        <w:t xml:space="preserve">when there is any Fail in InfoSec or Legal, when the Article 14 tie-out is missing for an EU-exposed deployment, or when the sectoral overlay packet is missing for a regulated workload. The aggregation rule is intentionally conservative because the cost of a wrong-buy in this category is a twelve-to-eighteen-month replacement project, and the cost of a wrong-walk is six months of waiting for the vendor to ship the artifacts you need. Asymmetric downside justifies asymmetric defaults.</w:t>
      </w:r>
    </w:p>
    <w:p>
      <w:r>
        <w:pict>
          <v:rect style="width:0;height:1.5pt" o:hralign="center" o:hrstd="t" o:hr="t"/>
        </w:pict>
      </w:r>
    </w:p>
    <w:bookmarkEnd w:id="148"/>
    <w:bookmarkEnd w:id="149"/>
    <w:bookmarkStart w:id="150" w:name="Xa6fdb95578ea9f07f83887ddfb7babbcbc361a9"/>
    <w:p>
      <w:pPr>
        <w:pStyle w:val="Heading2"/>
      </w:pPr>
      <w:r>
        <w:t xml:space="preserve">Section VII · Glossary of Agent-Specific Terms</w:t>
      </w:r>
    </w:p>
    <w:p>
      <w:pPr>
        <w:pStyle w:val="FirstParagraph"/>
      </w:pPr>
      <w:r>
        <w:t xml:space="preserve">The terms a F1000 buyer needs in order to read a vendor’s SOC 2-plus-AI-addendum the same way they read a SOC 2 today. Operational definitions, not academic ones. Sorted alphabetically.</w:t>
      </w:r>
    </w:p>
    <w:p>
      <w:pPr>
        <w:pStyle w:val="BodyText"/>
      </w:pPr>
      <w:r>
        <w:rPr>
          <w:b/>
          <w:bCs/>
        </w:rPr>
        <w:t xml:space="preserve">Action rollback.</w:t>
      </w:r>
      <w:r>
        <w:t xml:space="preserve"> </w:t>
      </w:r>
      <w:r>
        <w:t xml:space="preserve">Per-write-tool procedure for restoring a system of record after the agent has written the wrong value. Distinct from</w:t>
      </w:r>
      <w:r>
        <w:t xml:space="preserve"> </w:t>
      </w:r>
      <w:r>
        <w:t xml:space="preserve">“logging,”</w:t>
      </w:r>
      <w:r>
        <w:t xml:space="preserve"> </w:t>
      </w:r>
      <w:r>
        <w:t xml:space="preserve">which is necessary but insufficient. See Chapter III.3.</w:t>
      </w:r>
    </w:p>
    <w:p>
      <w:pPr>
        <w:pStyle w:val="BodyText"/>
      </w:pPr>
      <w:r>
        <w:rPr>
          <w:b/>
          <w:bCs/>
        </w:rPr>
        <w:t xml:space="preserve">Adaptive adversary.</w:t>
      </w:r>
      <w:r>
        <w:t xml:space="preserve"> </w:t>
      </w:r>
      <w:r>
        <w:t xml:space="preserve">A red-team methodology in which the test set is regenerated against the live defense, producing honest success rates as the defense improves. The honest counterpart to static red-team scores. Critical for indirect-injection defense disclosure.</w:t>
      </w:r>
    </w:p>
    <w:p>
      <w:pPr>
        <w:pStyle w:val="BodyText"/>
      </w:pPr>
      <w:r>
        <w:rPr>
          <w:b/>
          <w:bCs/>
        </w:rPr>
        <w:t xml:space="preserve">Adverse selection in per-message pricing.</w:t>
      </w:r>
      <w:r>
        <w:t xml:space="preserve"> </w:t>
      </w:r>
      <w:r>
        <w:t xml:space="preserve">The buyer’s risk that vendors absorb easy conversations under per-message pricing (where margin is high) and ration the hard ones (where margin is low or negative). The mirror-image of the vendor’s risk that buyers route only the hardest conversations to the agent. Both produce contract disputes inside two quarters absent a dual-telemetry mechanism.</w:t>
      </w:r>
    </w:p>
    <w:p>
      <w:pPr>
        <w:pStyle w:val="BodyText"/>
      </w:pPr>
      <w:r>
        <w:rPr>
          <w:b/>
          <w:bCs/>
        </w:rPr>
        <w:t xml:space="preserve">Agent-action liability.</w:t>
      </w:r>
      <w:r>
        <w:t xml:space="preserve"> </w:t>
      </w:r>
      <w:r>
        <w:t xml:space="preserve">Distinct from hallucination indemnity. Allocates liability when the agent’s</w:t>
      </w:r>
      <w:r>
        <w:t xml:space="preserve"> </w:t>
      </w:r>
      <w:r>
        <w:rPr>
          <w:i/>
          <w:iCs/>
        </w:rPr>
        <w:t xml:space="preserve">action</w:t>
      </w:r>
      <w:r>
        <w:t xml:space="preserve"> </w:t>
      </w:r>
      <w:r>
        <w:t xml:space="preserve">— not its</w:t>
      </w:r>
      <w:r>
        <w:t xml:space="preserve"> </w:t>
      </w:r>
      <w:r>
        <w:rPr>
          <w:i/>
          <w:iCs/>
        </w:rPr>
        <w:t xml:space="preserve">output</w:t>
      </w:r>
      <w:r>
        <w:t xml:space="preserve"> </w:t>
      </w:r>
      <w:r>
        <w:t xml:space="preserve">— causes harm (a wrong payment, an unauthorized scope grant, a deleted record). New as a category; treat it as a board-level concern.</w:t>
      </w:r>
    </w:p>
    <w:p>
      <w:pPr>
        <w:pStyle w:val="BodyText"/>
      </w:pPr>
      <w:r>
        <w:rPr>
          <w:b/>
          <w:bCs/>
        </w:rPr>
        <w:t xml:space="preserve">ASL-3 / Responsible Scaling Policy.</w:t>
      </w:r>
      <w:r>
        <w:t xml:space="preserve"> </w:t>
      </w:r>
      <w:r>
        <w:t xml:space="preserve">Anthropic’s classification of model risk levels and the corresponding deployment commitments. Adjacent to OpenAI’s Preparedness Framework. Procurement question: what does the vendor’s deployment posture commit to when the underlying model crosses a safety threshold mid-contract?</w:t>
      </w:r>
    </w:p>
    <w:p>
      <w:pPr>
        <w:pStyle w:val="BodyText"/>
      </w:pPr>
      <w:r>
        <w:rPr>
          <w:b/>
          <w:bCs/>
        </w:rPr>
        <w:t xml:space="preserve">Bilateral evidence-pack interchange format.</w:t>
      </w:r>
      <w:r>
        <w:t xml:space="preserve"> </w:t>
      </w:r>
      <w:r>
        <w:t xml:space="preserve">The shared schema by which a vendor’s eval, red-team, tool-boundary, sub-agent privilege, and Article 14 tie-out artifacts are exchanged with the buyer’s procurement file in a form portable across vendors. Does not yet exist as a standard. The first credible publisher sets the procurement default for the next five years. The Bet #1 wedge.</w:t>
      </w:r>
    </w:p>
    <w:p>
      <w:pPr>
        <w:pStyle w:val="BodyText"/>
      </w:pPr>
      <w:r>
        <w:rPr>
          <w:b/>
          <w:bCs/>
        </w:rPr>
        <w:t xml:space="preserve">Computer-use.</w:t>
      </w:r>
      <w:r>
        <w:t xml:space="preserve"> </w:t>
      </w:r>
      <w:r>
        <w:t xml:space="preserve">Class of agent capability in which the agent operates a SaaS application by reading the screen and emulating keyboard / mouse input rather than calling an API. OSWorld benchmark scores sit in the mid-50s as of Q2 2026, well below the human 72%. Not yet production-grade for unattended SaaS-UI tasks; do not buy on the demo.</w:t>
      </w:r>
    </w:p>
    <w:p>
      <w:pPr>
        <w:pStyle w:val="BodyText"/>
      </w:pPr>
      <w:r>
        <w:rPr>
          <w:b/>
          <w:bCs/>
        </w:rPr>
        <w:t xml:space="preserve">Conformity assessment.</w:t>
      </w:r>
      <w:r>
        <w:t xml:space="preserve"> </w:t>
      </w:r>
      <w:r>
        <w:t xml:space="preserve">EU AI Act process by which high-risk AI systems demonstrate compliance with the Act’s requirements before being placed on the EU market. The vendor-side tie-out (Chapter III.6) is the input; the buyer-side conformity assessment is the output. Both required.</w:t>
      </w:r>
    </w:p>
    <w:p>
      <w:pPr>
        <w:pStyle w:val="BodyText"/>
      </w:pPr>
      <w:r>
        <w:rPr>
          <w:b/>
          <w:bCs/>
        </w:rPr>
        <w:t xml:space="preserve">Conversation-resolution metric.</w:t>
      </w:r>
      <w:r>
        <w:t xml:space="preserve"> </w:t>
      </w:r>
      <w:r>
        <w:t xml:space="preserve">Outcome-based metric, popularized by Sierra, that prices CX-agent value by resolved conversations rather than per-seat. Not yet a procurement standard outside CX. Watch the legal-and-finance-vertical refusal pattern in 2026 as the test of exportability.</w:t>
      </w:r>
    </w:p>
    <w:p>
      <w:pPr>
        <w:pStyle w:val="BodyText"/>
      </w:pPr>
      <w:r>
        <w:rPr>
          <w:b/>
          <w:bCs/>
        </w:rPr>
        <w:t xml:space="preserve">Dual-telemetry.</w:t>
      </w:r>
      <w:r>
        <w:t xml:space="preserve"> </w:t>
      </w:r>
      <w:r>
        <w:t xml:space="preserve">The contract mechanism in outcome-pricing deployments where the vendor’s telemetry is the billing source of truth and the buyer’s parallel telemetry is the audit override, with disputes resolved via third-party arbitration. The unsolved measurement-and-dispute problem of outcome-based pricing absent this mechanism.</w:t>
      </w:r>
    </w:p>
    <w:p>
      <w:pPr>
        <w:pStyle w:val="BodyText"/>
      </w:pPr>
      <w:r>
        <w:rPr>
          <w:b/>
          <w:bCs/>
        </w:rPr>
        <w:t xml:space="preserve">Escalation handoff.</w:t>
      </w:r>
      <w:r>
        <w:t xml:space="preserve"> </w:t>
      </w:r>
      <w:r>
        <w:t xml:space="preserve">The Conclude-phase artifact when an agent hands a task to a human. Quality of handoff (full context, no re-asking, ticket linked, decision-record attached) is the single most-correlated variable with CSAT in CX-agent deployments and with controller acceptance in back-office deployments.</w:t>
      </w:r>
    </w:p>
    <w:p>
      <w:pPr>
        <w:pStyle w:val="BodyText"/>
      </w:pPr>
      <w:r>
        <w:rPr>
          <w:b/>
          <w:bCs/>
        </w:rPr>
        <w:t xml:space="preserve">Eval freshness.</w:t>
      </w:r>
      <w:r>
        <w:t xml:space="preserve"> </w:t>
      </w:r>
      <w:r>
        <w:t xml:space="preserve">The age of the vendor’s signed eval report relative to the current model pin and system prompt. Anything older than 180 days is stale; anything older than the most recent model swap is invalid.</w:t>
      </w:r>
    </w:p>
    <w:p>
      <w:pPr>
        <w:pStyle w:val="BodyText"/>
      </w:pPr>
      <w:r>
        <w:rPr>
          <w:b/>
          <w:bCs/>
        </w:rPr>
        <w:t xml:space="preserve">Form-factor.</w:t>
      </w:r>
      <w:r>
        <w:t xml:space="preserve"> </w:t>
      </w:r>
      <w:r>
        <w:t xml:space="preserve">The user-facing surface the agent inhabits (Slack thread, browser extension, voice channel, computer-use overlay, dedicated SaaS UI). Procurement-relevant because form factor determines DLP inheritance, threat surface, and approval pattern.</w:t>
      </w:r>
    </w:p>
    <w:p>
      <w:pPr>
        <w:pStyle w:val="BodyText"/>
      </w:pPr>
      <w:r>
        <w:rPr>
          <w:b/>
          <w:bCs/>
        </w:rPr>
        <w:t xml:space="preserve">Hallucination indemnity.</w:t>
      </w:r>
      <w:r>
        <w:t xml:space="preserve"> </w:t>
      </w:r>
      <w:r>
        <w:t xml:space="preserve">Contractual provision allocating liability for harms caused by the agent’s incorrect or fabricated output. Air Canada (February 2024) crystallized the rule that the deploying party holds the bag absent specific contract language. Insert the indemnity.</w:t>
      </w:r>
    </w:p>
    <w:p>
      <w:pPr>
        <w:pStyle w:val="BodyText"/>
      </w:pPr>
      <w:r>
        <w:rPr>
          <w:b/>
          <w:bCs/>
        </w:rPr>
        <w:t xml:space="preserve">HITRUST CSF.</w:t>
      </w:r>
      <w:r>
        <w:t xml:space="preserve"> </w:t>
      </w:r>
      <w:r>
        <w:t xml:space="preserve">Common Security Framework adopted by US healthcare; CSF v11.x is the current major version. The de facto procurement bar for healthcare AI agents; level r2 with HITRUST certification is the strongest posture.</w:t>
      </w:r>
    </w:p>
    <w:p>
      <w:pPr>
        <w:pStyle w:val="BodyText"/>
      </w:pPr>
      <w:r>
        <w:rPr>
          <w:b/>
          <w:bCs/>
        </w:rPr>
        <w:t xml:space="preserve">Indirect prompt injection.</w:t>
      </w:r>
      <w:r>
        <w:t xml:space="preserve"> </w:t>
      </w:r>
      <w:r>
        <w:t xml:space="preserve">A class of attack where content the agent reads from a tool, document, or external source contains instructions the agent treats as if they came from the operator. The unsolved problem of the agent layer; adaptive-adversary defense rates sit at 60–80% honestly disclosed.</w:t>
      </w:r>
    </w:p>
    <w:p>
      <w:pPr>
        <w:pStyle w:val="BodyText"/>
      </w:pPr>
      <w:r>
        <w:rPr>
          <w:b/>
          <w:bCs/>
        </w:rPr>
        <w:t xml:space="preserve">ISO 42001.</w:t>
      </w:r>
      <w:r>
        <w:t xml:space="preserve"> </w:t>
      </w:r>
      <w:r>
        <w:t xml:space="preserve">The 2023 international standard for AI management systems. Adopted by Drata, Vanta, and Secureframe as a readiness mapping; not yet a regulator-mandated bar in most jurisdictions but the cleanest single-attestation vendor posture as of 2026.</w:t>
      </w:r>
    </w:p>
    <w:p>
      <w:pPr>
        <w:pStyle w:val="BodyText"/>
      </w:pPr>
      <w:r>
        <w:rPr>
          <w:b/>
          <w:bCs/>
        </w:rPr>
        <w:t xml:space="preserve">Kill-switch.</w:t>
      </w:r>
      <w:r>
        <w:t xml:space="preserve"> </w:t>
      </w:r>
      <w:r>
        <w:t xml:space="preserve">Buyer-side mechanism to disable a tool, a sub-agent, or the entire agent without engineering intervention. Must be in the buyer’s hands, not behind a support ticket. Should be tested quarterly.</w:t>
      </w:r>
    </w:p>
    <w:p>
      <w:pPr>
        <w:pStyle w:val="BodyText"/>
      </w:pPr>
      <w:r>
        <w:rPr>
          <w:b/>
          <w:bCs/>
        </w:rPr>
        <w:t xml:space="preserve">MCP (Model Context Protocol).</w:t>
      </w:r>
      <w:r>
        <w:t xml:space="preserve"> </w:t>
      </w:r>
      <w:r>
        <w:t xml:space="preserve">Anthropic-originated open protocol for connecting LLMs to tools, data sources, and third-party services. Graduated to Linux Foundation governance December 2025. As of Q2 2026 the de facto interoperability spec, with experience-layer fragmentation across implementations.</w:t>
      </w:r>
    </w:p>
    <w:p>
      <w:pPr>
        <w:pStyle w:val="BodyText"/>
      </w:pPr>
      <w:r>
        <w:rPr>
          <w:b/>
          <w:bCs/>
        </w:rPr>
        <w:t xml:space="preserve">MCP gateway.</w:t>
      </w:r>
      <w:r>
        <w:t xml:space="preserve"> </w:t>
      </w:r>
      <w:r>
        <w:t xml:space="preserve">Control plane sitting between the agent and the MCP servers, handling auth, audit, rate-limiting, secret-injection, and policy enforcement. Cloudflare, Kong, and Pomerium are the durable incumbents.</w:t>
      </w:r>
    </w:p>
    <w:p>
      <w:pPr>
        <w:pStyle w:val="BodyText"/>
      </w:pPr>
      <w:r>
        <w:rPr>
          <w:b/>
          <w:bCs/>
        </w:rPr>
        <w:t xml:space="preserve">MCP server.</w:t>
      </w:r>
      <w:r>
        <w:t xml:space="preserve"> </w:t>
      </w:r>
      <w:r>
        <w:t xml:space="preserve">A process exposing tools to an MCP-compatible client. May be first-party (vendor-supplied) or third-party. Quality varies widely; first-party servers from Stripe, Linear, GitHub, Snowflake, and Databricks are the current quality benchmark.</w:t>
      </w:r>
    </w:p>
    <w:p>
      <w:pPr>
        <w:pStyle w:val="BodyText"/>
      </w:pPr>
      <w:r>
        <w:rPr>
          <w:b/>
          <w:bCs/>
        </w:rPr>
        <w:t xml:space="preserve">Model pin.</w:t>
      </w:r>
      <w:r>
        <w:t xml:space="preserve"> </w:t>
      </w:r>
      <w:r>
        <w:t xml:space="preserve">The specific model identifier (e.g.,</w:t>
      </w:r>
      <w:r>
        <w:t xml:space="preserve"> </w:t>
      </w:r>
      <w:r>
        <w:rPr>
          <w:rStyle w:val="VerbatimChar"/>
        </w:rPr>
        <w:t xml:space="preserve">claude-opus-4-7-20260301</w:t>
      </w:r>
      <w:r>
        <w:t xml:space="preserve">) the vendor has tested the agent against. Every eval report and every contract clause should reference a model pin. Model swaps without re-eval are a procurement event.</w:t>
      </w:r>
    </w:p>
    <w:p>
      <w:pPr>
        <w:pStyle w:val="BodyText"/>
      </w:pPr>
      <w:r>
        <w:rPr>
          <w:b/>
          <w:bCs/>
        </w:rPr>
        <w:t xml:space="preserve">Model-risk function (FSI 8th counterparty).</w:t>
      </w:r>
      <w:r>
        <w:t xml:space="preserve"> </w:t>
      </w:r>
      <w:r>
        <w:t xml:space="preserve">In financial services, the model-risk-management group reporting to the Chief Risk Officer, distinct from CISO and from AI Council, with its own SR 11-7-driven evidence requirements and an additional 8–16 weeks of cycle time. The eighth counterparty in any FSI agent procurement.</w:t>
      </w:r>
    </w:p>
    <w:p>
      <w:pPr>
        <w:pStyle w:val="BodyText"/>
      </w:pPr>
      <w:r>
        <w:rPr>
          <w:b/>
          <w:bCs/>
        </w:rPr>
        <w:t xml:space="preserve">Model-update notice.</w:t>
      </w:r>
      <w:r>
        <w:t xml:space="preserve"> </w:t>
      </w:r>
      <w:r>
        <w:t xml:space="preserve">The contractual SLA — typically 60 to 90 days — for a vendor to notify the buyer before swapping the underlying model. Must include re-eval rights, right-to-refuse, and pin-to-prior-version of at least 12 months.</w:t>
      </w:r>
    </w:p>
    <w:p>
      <w:pPr>
        <w:pStyle w:val="BodyText"/>
      </w:pPr>
      <w:r>
        <w:rPr>
          <w:b/>
          <w:bCs/>
        </w:rPr>
        <w:t xml:space="preserve">NIST AI RMF GenAI Profile.</w:t>
      </w:r>
      <w:r>
        <w:t xml:space="preserve"> </w:t>
      </w:r>
      <w:r>
        <w:t xml:space="preserve">The 2024 NIST AI Risk Management Framework Generative AI Profile. The closest US-side analog to EU AI Act Article 14 framing. Voluntary today; mentioned in federal acquisition guidance and procurement-template-shaping in late 2025 and 2026.</w:t>
      </w:r>
    </w:p>
    <w:p>
      <w:pPr>
        <w:pStyle w:val="BodyText"/>
      </w:pPr>
      <w:r>
        <w:rPr>
          <w:b/>
          <w:bCs/>
        </w:rPr>
        <w:t xml:space="preserve">OAuth blast radius.</w:t>
      </w:r>
      <w:r>
        <w:t xml:space="preserve"> </w:t>
      </w:r>
      <w:r>
        <w:t xml:space="preserve">The total scope of access an agent acquires when granted OAuth tokens against the buyer’s identity fabric. An agent asking for</w:t>
      </w:r>
      <w:r>
        <w:t xml:space="preserve"> </w:t>
      </w:r>
      <w:r>
        <w:t xml:space="preserve">“read all mail, all calendar, all files”</w:t>
      </w:r>
      <w:r>
        <w:t xml:space="preserve"> </w:t>
      </w:r>
      <w:r>
        <w:t xml:space="preserve">has unbounded blast radius and should be rejected at Enterprise Architecture review on principle, not on use-case necessity. Least-privilege scope inventory per tool is the artifact.</w:t>
      </w:r>
    </w:p>
    <w:p>
      <w:pPr>
        <w:pStyle w:val="BodyText"/>
      </w:pPr>
      <w:r>
        <w:rPr>
          <w:b/>
          <w:bCs/>
        </w:rPr>
        <w:t xml:space="preserve">Outcome-based pricing.</w:t>
      </w:r>
      <w:r>
        <w:t xml:space="preserve"> </w:t>
      </w:r>
      <w:r>
        <w:t xml:space="preserve">Vendor pricing tied to a business outcome rather than seats or tokens. Common in CX (Sierra). Rare elsewhere. Procurement should price the unit-economics floor and the gaming risk before agreeing.</w:t>
      </w:r>
    </w:p>
    <w:p>
      <w:pPr>
        <w:pStyle w:val="BodyText"/>
      </w:pPr>
      <w:r>
        <w:rPr>
          <w:b/>
          <w:bCs/>
        </w:rPr>
        <w:t xml:space="preserve">Outcome-definition arbitrage.</w:t>
      </w:r>
      <w:r>
        <w:t xml:space="preserve"> </w:t>
      </w:r>
      <w:r>
        <w:t xml:space="preserve">The vendor’s structural advantage in outcome-based pricing where the vendor controls the definition of</w:t>
      </w:r>
      <w:r>
        <w:t xml:space="preserve"> </w:t>
      </w:r>
      <w:r>
        <w:t xml:space="preserve">“resolved”</w:t>
      </w:r>
      <w:r>
        <w:t xml:space="preserve"> </w:t>
      </w:r>
      <w:r>
        <w:t xml:space="preserve">or</w:t>
      </w:r>
      <w:r>
        <w:t xml:space="preserve"> </w:t>
      </w:r>
      <w:r>
        <w:t xml:space="preserve">“completed”</w:t>
      </w:r>
      <w:r>
        <w:t xml:space="preserve"> </w:t>
      </w:r>
      <w:r>
        <w:t xml:space="preserve">and the buyer controls only post-hoc dispute. Resolved by dual-telemetry plus contractual dispute window plus third-party arbitration.</w:t>
      </w:r>
    </w:p>
    <w:p>
      <w:pPr>
        <w:pStyle w:val="BodyText"/>
      </w:pPr>
      <w:r>
        <w:rPr>
          <w:b/>
          <w:bCs/>
        </w:rPr>
        <w:t xml:space="preserve">Output ownership.</w:t>
      </w:r>
      <w:r>
        <w:t xml:space="preserve"> </w:t>
      </w:r>
      <w:r>
        <w:t xml:space="preserve">The contractual statement of who owns the agent’s outputs (the buyer, the vendor, joint, public domain). Default vendor templates assume buyer ownership of inputs and joint or vendor ownership of outputs, which is wrong for most enterprise use cases.</w:t>
      </w:r>
    </w:p>
    <w:p>
      <w:pPr>
        <w:pStyle w:val="BodyText"/>
      </w:pPr>
      <w:r>
        <w:rPr>
          <w:b/>
          <w:bCs/>
        </w:rPr>
        <w:t xml:space="preserve">Per-action authorization tier.</w:t>
      </w:r>
      <w:r>
        <w:t xml:space="preserve"> </w:t>
      </w:r>
      <w:r>
        <w:t xml:space="preserve">The buyer-defined granularity of agent permissions — read-only, write-with-confirmation, autonomous — applied per action verb per tool. Vendor liability attaches only to autonomous-tier failures violating documented behavior. The order-form artifact, not the kickoff-email artifact.</w:t>
      </w:r>
    </w:p>
    <w:p>
      <w:pPr>
        <w:pStyle w:val="BodyText"/>
      </w:pPr>
      <w:r>
        <w:rPr>
          <w:b/>
          <w:bCs/>
        </w:rPr>
        <w:t xml:space="preserve">Per-trajectory billing.</w:t>
      </w:r>
      <w:r>
        <w:t xml:space="preserve"> </w:t>
      </w:r>
      <w:r>
        <w:t xml:space="preserve">Vendor pricing per completed agent trajectory rather than per token or per seat. Aligns vendor and buyer incentives on efficiency; gameable on trajectory boundary definition. Negotiate the definition before the rate. Anthropic Claude Agent SDK 2.0 (April 2026) and OpenAI Responses API expose per-trajectory cost views that make this billing unit independently auditable.</w:t>
      </w:r>
    </w:p>
    <w:p>
      <w:pPr>
        <w:pStyle w:val="BodyText"/>
      </w:pPr>
      <w:r>
        <w:rPr>
          <w:b/>
          <w:bCs/>
        </w:rPr>
        <w:t xml:space="preserve">Persistent memory.</w:t>
      </w:r>
      <w:r>
        <w:t xml:space="preserve"> </w:t>
      </w:r>
      <w:r>
        <w:t xml:space="preserve">Long-term storage of conversation history, derived facts, and user preferences the agent carries across sessions. Residency, deletion, and subpoena posture of persistent memory are first-class procurement questions, not afterthoughts.</w:t>
      </w:r>
    </w:p>
    <w:p>
      <w:pPr>
        <w:pStyle w:val="BodyText"/>
      </w:pPr>
      <w:r>
        <w:rPr>
          <w:b/>
          <w:bCs/>
        </w:rPr>
        <w:t xml:space="preserve">Planner-executor split.</w:t>
      </w:r>
      <w:r>
        <w:t xml:space="preserve"> </w:t>
      </w:r>
      <w:r>
        <w:t xml:space="preserve">An architectural pattern where a higher-capability model produces a plan and a lower-capability model executes the plan’s individual steps. Dominant cost-optimization pattern of 2025–2026 and the architectural lever behind per-trajectory FinOps.</w:t>
      </w:r>
    </w:p>
    <w:p>
      <w:pPr>
        <w:pStyle w:val="BodyText"/>
      </w:pPr>
      <w:r>
        <w:rPr>
          <w:b/>
          <w:bCs/>
        </w:rPr>
        <w:t xml:space="preserve">Reasoning effort.</w:t>
      </w:r>
      <w:r>
        <w:t xml:space="preserve"> </w:t>
      </w:r>
      <w:r>
        <w:t xml:space="preserve">Buyer-controllable parameter (low / medium / high) on reasoning-enabled models (OpenAI o-series, Claude 4.5+, Gemini 2.5+) that trades latency and cost for trajectory quality. A procurement input now, not a developer-only knob.</w:t>
      </w:r>
    </w:p>
    <w:p>
      <w:pPr>
        <w:pStyle w:val="BodyText"/>
      </w:pPr>
      <w:r>
        <w:rPr>
          <w:b/>
          <w:bCs/>
        </w:rPr>
        <w:t xml:space="preserve">Sandboxing.</w:t>
      </w:r>
      <w:r>
        <w:t xml:space="preserve"> </w:t>
      </w:r>
      <w:r>
        <w:t xml:space="preserve">Containment of the agent’s execution environment such that tool calls, file writes, and external requests are confined to a controlled scope. Becoming a SOC 2 / ISO 27001-adjacent control.</w:t>
      </w:r>
    </w:p>
    <w:p>
      <w:pPr>
        <w:pStyle w:val="BodyText"/>
      </w:pPr>
      <w:r>
        <w:rPr>
          <w:b/>
          <w:bCs/>
        </w:rPr>
        <w:t xml:space="preserve">Schrems-II posture.</w:t>
      </w:r>
      <w:r>
        <w:t xml:space="preserve"> </w:t>
      </w:r>
      <w:r>
        <w:t xml:space="preserve">The vendor’s data-transfer regime for personal data moving between the EU and the US, post the 2020 Schrems-II decision and the EU-US Data Privacy Framework (2023). Required disclosure for any agent processing EU data; the agent’s memory residency and tool-call destinations both count.</w:t>
      </w:r>
    </w:p>
    <w:p>
      <w:pPr>
        <w:pStyle w:val="BodyText"/>
      </w:pPr>
      <w:r>
        <w:rPr>
          <w:b/>
          <w:bCs/>
        </w:rPr>
        <w:t xml:space="preserve">Seventh counterparty (Enterprise Architecture).</w:t>
      </w:r>
      <w:r>
        <w:t xml:space="preserve"> </w:t>
      </w:r>
      <w:r>
        <w:t xml:space="preserve">At F1000 scale, the Chief Architect / Head of Platform / IT Ops chair is a distinct sign-off with its own queue and veto, owning OAuth blast radius, per-trajectory cost telemetry, sub-agent fan-out circuit-breakers, and reference-architecture conformance. Below F1000, EA folds into InfoSec or Procurement; at F1000 it does not.</w:t>
      </w:r>
    </w:p>
    <w:p>
      <w:pPr>
        <w:pStyle w:val="BodyText"/>
      </w:pPr>
      <w:r>
        <w:rPr>
          <w:b/>
          <w:bCs/>
        </w:rPr>
        <w:t xml:space="preserve">Signed eval report.</w:t>
      </w:r>
      <w:r>
        <w:t xml:space="preserve"> </w:t>
      </w:r>
      <w:r>
        <w:t xml:space="preserve">An evaluation artifact tied to a specific model identifier, dataset hash, and harness version, signed by a named vendor representative, reproducible by the buyer within a stated tolerance (±5 points). See Chapter III.5. As of May 2026 no vendor ships turnkey signed eval reports.</w:t>
      </w:r>
    </w:p>
    <w:p>
      <w:pPr>
        <w:pStyle w:val="BodyText"/>
      </w:pPr>
      <w:r>
        <w:rPr>
          <w:b/>
          <w:bCs/>
        </w:rPr>
        <w:t xml:space="preserve">Sovereign deployment.</w:t>
      </w:r>
      <w:r>
        <w:t xml:space="preserve"> </w:t>
      </w:r>
      <w:r>
        <w:t xml:space="preserve">Agent deployment posture in which model inference, agent runtime, persistent memory, and audit logs all reside within a single jurisdictional boundary, typically a sovereign-cloud region.</w:t>
      </w:r>
    </w:p>
    <w:p>
      <w:pPr>
        <w:pStyle w:val="BodyText"/>
      </w:pPr>
      <w:r>
        <w:rPr>
          <w:b/>
          <w:bCs/>
        </w:rPr>
        <w:t xml:space="preserve">SR 11-7.</w:t>
      </w:r>
      <w:r>
        <w:t xml:space="preserve"> </w:t>
      </w:r>
      <w:r>
        <w:t xml:space="preserve">US Federal Reserve guidance on model risk management. The de facto framework for financial-services AI model governance; covers validation, monitoring, and governance. Increasingly applied to LLM-driven credit, suitability, and underwriting decisions through 2025–2026.</w:t>
      </w:r>
    </w:p>
    <w:p>
      <w:pPr>
        <w:pStyle w:val="BodyText"/>
      </w:pPr>
      <w:r>
        <w:rPr>
          <w:b/>
          <w:bCs/>
        </w:rPr>
        <w:t xml:space="preserve">Sub-agent.</w:t>
      </w:r>
      <w:r>
        <w:t xml:space="preserve"> </w:t>
      </w:r>
      <w:r>
        <w:t xml:space="preserve">A specialized agent invoked by an orchestrator agent for a bounded role (planning, executing, verifying, escalating). Privilege separation between sub-agents is the agent-era equivalent of role-based access control.</w:t>
      </w:r>
    </w:p>
    <w:p>
      <w:pPr>
        <w:pStyle w:val="BodyText"/>
      </w:pPr>
      <w:r>
        <w:rPr>
          <w:b/>
          <w:bCs/>
        </w:rPr>
        <w:t xml:space="preserve">Sub-processor change.</w:t>
      </w:r>
      <w:r>
        <w:t xml:space="preserve"> </w:t>
      </w:r>
      <w:r>
        <w:t xml:space="preserve">Vendor’s introduction of a new downstream service provider (e.g., a new model provider, a new vector database, a new observability platform). Triggers a procurement event under GDPR, DPA terms, and increasingly EU AI Act tie-out refresh.</w:t>
      </w:r>
    </w:p>
    <w:p>
      <w:pPr>
        <w:pStyle w:val="BodyText"/>
      </w:pPr>
      <w:r>
        <w:rPr>
          <w:b/>
          <w:bCs/>
        </w:rPr>
        <w:t xml:space="preserve">Tool-boundary policy.</w:t>
      </w:r>
      <w:r>
        <w:t xml:space="preserve"> </w:t>
      </w:r>
      <w:r>
        <w:t xml:space="preserve">The written, vendor-supplied document enumerating every tool an agent can invoke, the actions allowed, the privilege scopes, and the human-in-the-loop conditions. See Chapter III.1.</w:t>
      </w:r>
    </w:p>
    <w:p>
      <w:pPr>
        <w:pStyle w:val="BodyText"/>
      </w:pPr>
      <w:r>
        <w:rPr>
          <w:b/>
          <w:bCs/>
        </w:rPr>
        <w:t xml:space="preserve">Trajectory.</w:t>
      </w:r>
      <w:r>
        <w:t xml:space="preserve"> </w:t>
      </w:r>
      <w:r>
        <w:t xml:space="preserve">The complete sequence of an agent’s reasoning steps, tool calls, sub-agent invocations, and final output for a single task. The trajectory — not the response — is the unit of evaluation and of cost.</w:t>
      </w:r>
    </w:p>
    <w:p>
      <w:pPr>
        <w:pStyle w:val="BodyText"/>
      </w:pPr>
      <w:r>
        <w:rPr>
          <w:b/>
          <w:bCs/>
        </w:rPr>
        <w:t xml:space="preserve">Trajectory cost audit.</w:t>
      </w:r>
      <w:r>
        <w:t xml:space="preserve"> </w:t>
      </w:r>
      <w:r>
        <w:t xml:space="preserve">A FinOps-for-agents exercise that measures the dollar cost per trajectory and identifies optimization (planner-executor split, prompt caching, FP4 quantization, aggregator routing) opportunities. Plausibly absorbed by AWS Bedrock auto-routing by H2 2027 — a 12-to-18-month advisory window.</w:t>
      </w:r>
    </w:p>
    <w:p>
      <w:pPr>
        <w:pStyle w:val="BodyText"/>
      </w:pPr>
      <w:r>
        <w:rPr>
          <w:b/>
          <w:bCs/>
        </w:rPr>
        <w:t xml:space="preserve">Training rights.</w:t>
      </w:r>
      <w:r>
        <w:t xml:space="preserve"> </w:t>
      </w:r>
      <w:r>
        <w:t xml:space="preserve">The contractual scope of what the vendor may do with the buyer’s prompts, completions, and persistent memory for model training, fine-tuning, or eval-set augmentation. Bartz v. Anthropic and NYT v. OpenAI re-priced this language in 2024–2025; assume any ambiguity now reads against the vendor in 2026.</w:t>
      </w:r>
    </w:p>
    <w:p>
      <w:r>
        <w:pict>
          <v:rect style="width:0;height:1.5pt" o:hralign="center" o:hrstd="t" o:hr="t"/>
        </w:pict>
      </w:r>
    </w:p>
    <w:bookmarkEnd w:id="150"/>
    <w:bookmarkStart w:id="156" w:name="Xaaa6862b4541301481df4363c59f01d3bd4085b"/>
    <w:p>
      <w:pPr>
        <w:pStyle w:val="Heading2"/>
      </w:pPr>
      <w:r>
        <w:t xml:space="preserve">Section VIII · Appendix — Reference Contract Clauses</w:t>
      </w:r>
    </w:p>
    <w:p>
      <w:pPr>
        <w:pStyle w:val="FirstParagraph"/>
      </w:pPr>
      <w:r>
        <w:t xml:space="preserve">The clauses below are sample MSA / DPA / AI-Addendum language. Lift them directly into your template. They are organized by the counterparty whose review the clause is for; a single clause may travel through two or three counterparties’ redlines in sequence. The clauses pair with the fourteen addenda in Section IV — this Appendix is the operational form.</w:t>
      </w:r>
    </w:p>
    <w:bookmarkStart w:id="151" w:name="for-infosec"/>
    <w:p>
      <w:pPr>
        <w:pStyle w:val="Heading3"/>
      </w:pPr>
      <w:r>
        <w:t xml:space="preserve">For InfoSec</w:t>
      </w:r>
    </w:p>
    <w:p>
      <w:pPr>
        <w:pStyle w:val="FirstParagraph"/>
      </w:pPr>
      <w:r>
        <w:rPr>
          <w:b/>
          <w:bCs/>
        </w:rPr>
        <w:t xml:space="preserve">Tool-boundary disclosure.</w:t>
      </w:r>
      <w:r>
        <w:t xml:space="preserve"> </w:t>
      </w:r>
      <w:r>
        <w:rPr>
          <w:i/>
          <w:iCs/>
        </w:rPr>
        <w:t xml:space="preserve">“Vendor shall maintain and provide to Customer, upon request and at least annually, a Tool-Boundary Policy Document covering every tool the Agent is configured to invoke against any Customer System. Material changes to the Document shall be communicated to Customer no less than thirty (30) days before deployment to production. Vendor’s failure to maintain or disclose this Document is a material breach permitting Customer to terminate this Agreement without penalty.”</w:t>
      </w:r>
    </w:p>
    <w:p>
      <w:pPr>
        <w:pStyle w:val="BodyText"/>
      </w:pPr>
      <w:r>
        <w:rPr>
          <w:b/>
          <w:bCs/>
        </w:rPr>
        <w:t xml:space="preserve">Indirect-injection red-team and kill-switch.</w:t>
      </w:r>
      <w:r>
        <w:t xml:space="preserve"> </w:t>
      </w:r>
      <w:r>
        <w:rPr>
          <w:i/>
          <w:iCs/>
        </w:rPr>
        <w:t xml:space="preserve">“Vendor shall conduct an adaptive-adversary indirect-prompt-injection red-team assessment against the Agent no less frequently than quarterly. Discovery of an injection class against which the Agent’s defense rate falls below sixty percent (60%) shall constitute a Security Incident requiring notification to Customer within forty-eight (48) hours, and Vendor shall make available a kill-switch procedure permitting Customer to disable the affected tool or agent pending remediation.”</w:t>
      </w:r>
    </w:p>
    <w:p>
      <w:pPr>
        <w:pStyle w:val="BodyText"/>
      </w:pPr>
      <w:r>
        <w:rPr>
          <w:b/>
          <w:bCs/>
        </w:rPr>
        <w:t xml:space="preserve">Sub-agent privilege separation.</w:t>
      </w:r>
      <w:r>
        <w:t xml:space="preserve"> </w:t>
      </w:r>
      <w:r>
        <w:rPr>
          <w:i/>
          <w:iCs/>
        </w:rPr>
        <w:t xml:space="preserve">“Vendor shall enforce sub-agent privilege boundaries at runtime via capability tokens, signed delegation, or equivalent mechanism, and shall maintain test cases against cross-sub-agent privilege escalation. Architectural changes that alter the sub-agent privilege matrix shall be communicated to Customer no less than thirty (30) days before production deployment.”</w:t>
      </w:r>
    </w:p>
    <w:p>
      <w:pPr>
        <w:pStyle w:val="BodyText"/>
      </w:pPr>
      <w:r>
        <w:rPr>
          <w:b/>
          <w:bCs/>
        </w:rPr>
        <w:t xml:space="preserve">Audit-log retention.</w:t>
      </w:r>
      <w:r>
        <w:t xml:space="preserve"> </w:t>
      </w:r>
      <w:r>
        <w:rPr>
          <w:i/>
          <w:iCs/>
        </w:rPr>
        <w:t xml:space="preserve">“Vendor shall maintain tamper-evident audit logs of all agent trajectories, tool invocations, and Outputs for seven (7) years, and shall provide Customer continuous read-access via a defined interface, in a format suitable for Customer’s SIEM.”</w:t>
      </w:r>
    </w:p>
    <w:bookmarkEnd w:id="151"/>
    <w:bookmarkStart w:id="152" w:name="for-legal"/>
    <w:p>
      <w:pPr>
        <w:pStyle w:val="Heading3"/>
      </w:pPr>
      <w:r>
        <w:t xml:space="preserve">For Legal</w:t>
      </w:r>
    </w:p>
    <w:p>
      <w:pPr>
        <w:pStyle w:val="FirstParagraph"/>
      </w:pPr>
      <w:r>
        <w:rPr>
          <w:b/>
          <w:bCs/>
        </w:rPr>
        <w:t xml:space="preserve">Training-data rights.</w:t>
      </w:r>
      <w:r>
        <w:t xml:space="preserve"> </w:t>
      </w:r>
      <w:r>
        <w:rPr>
          <w:i/>
          <w:iCs/>
        </w:rPr>
        <w:t xml:space="preserve">“Vendor shall not use Customer Data, including prompts, completions, embeddings, or any derivative thereof, to train, fine-tune, or improve any Vendor or third-party model, without Customer’s prior written consent on a per-use-case basis.”</w:t>
      </w:r>
    </w:p>
    <w:p>
      <w:pPr>
        <w:pStyle w:val="BodyText"/>
      </w:pPr>
      <w:r>
        <w:rPr>
          <w:b/>
          <w:bCs/>
        </w:rPr>
        <w:t xml:space="preserve">Output ownership.</w:t>
      </w:r>
      <w:r>
        <w:t xml:space="preserve"> </w:t>
      </w:r>
      <w:r>
        <w:rPr>
          <w:i/>
          <w:iCs/>
        </w:rPr>
        <w:t xml:space="preserve">“As between the parties, Customer owns all Outputs generated by the Service in response to Customer prompts and Customer Data, subject to Vendor’s underlying IP in the Service itself.”</w:t>
      </w:r>
    </w:p>
    <w:p>
      <w:pPr>
        <w:pStyle w:val="BodyText"/>
      </w:pPr>
      <w:r>
        <w:rPr>
          <w:b/>
          <w:bCs/>
        </w:rPr>
        <w:t xml:space="preserve">Hallucination indemnity.</w:t>
      </w:r>
      <w:r>
        <w:t xml:space="preserve"> </w:t>
      </w:r>
      <w:r>
        <w:rPr>
          <w:i/>
          <w:iCs/>
        </w:rPr>
        <w:t xml:space="preserve">“Vendor shall indemnify Customer for damages from materially inaccurate Outputs reasonably relied upon in production, capped at two times (2x) ARR. This indemnity shall not be subject to the general liability cap.”</w:t>
      </w:r>
    </w:p>
    <w:p>
      <w:pPr>
        <w:pStyle w:val="BodyText"/>
      </w:pPr>
      <w:r>
        <w:rPr>
          <w:b/>
          <w:bCs/>
        </w:rPr>
        <w:t xml:space="preserve">Agent-action liability.</w:t>
      </w:r>
      <w:r>
        <w:t xml:space="preserve"> </w:t>
      </w:r>
      <w:r>
        <w:rPr>
          <w:i/>
          <w:iCs/>
        </w:rPr>
        <w:t xml:space="preserve">“For Outputs that constitute autonomous actions taken by the Service on systems or data outside the Service’s tenancy (including email, transactions, system modifications, external API calls), Vendor’s indemnity shall extend to [N]x ARR, separately capped.”</w:t>
      </w:r>
    </w:p>
    <w:p>
      <w:pPr>
        <w:pStyle w:val="BodyText"/>
      </w:pPr>
      <w:r>
        <w:rPr>
          <w:b/>
          <w:bCs/>
        </w:rPr>
        <w:t xml:space="preserve">Model-update notification and pinning.</w:t>
      </w:r>
      <w:r>
        <w:t xml:space="preserve"> </w:t>
      </w:r>
      <w:r>
        <w:rPr>
          <w:i/>
          <w:iCs/>
        </w:rPr>
        <w:t xml:space="preserve">“Vendor shall provide no less than sixty (60) days advance notice of any material change to the underlying foundation model. Customer shall have the right to pin to the prior model version for not less than twelve (12) months.”</w:t>
      </w:r>
    </w:p>
    <w:p>
      <w:pPr>
        <w:pStyle w:val="BodyText"/>
      </w:pPr>
      <w:r>
        <w:rPr>
          <w:b/>
          <w:bCs/>
        </w:rPr>
        <w:t xml:space="preserve">Action-rollback SLA.</w:t>
      </w:r>
      <w:r>
        <w:t xml:space="preserve"> </w:t>
      </w:r>
      <w:r>
        <w:rPr>
          <w:i/>
          <w:iCs/>
        </w:rPr>
        <w:t xml:space="preserve">“Vendor shall maintain a written Action-Rollback Procedure for every Write Tool the Agent is configured to invoke against any Customer System of Record. Failure of a rollback within the SLA window shall constitute a Service Failure and entitle Customer to service credits as specified in the Service Level Schedule.”</w:t>
      </w:r>
    </w:p>
    <w:bookmarkEnd w:id="152"/>
    <w:bookmarkStart w:id="153" w:name="for-privacy"/>
    <w:p>
      <w:pPr>
        <w:pStyle w:val="Heading3"/>
      </w:pPr>
      <w:r>
        <w:t xml:space="preserve">For Privacy</w:t>
      </w:r>
    </w:p>
    <w:p>
      <w:pPr>
        <w:pStyle w:val="FirstParagraph"/>
      </w:pPr>
      <w:r>
        <w:rPr>
          <w:b/>
          <w:bCs/>
        </w:rPr>
        <w:t xml:space="preserve">Sub-processor consent.</w:t>
      </w:r>
      <w:r>
        <w:t xml:space="preserve"> </w:t>
      </w:r>
      <w:r>
        <w:rPr>
          <w:i/>
          <w:iCs/>
        </w:rPr>
        <w:t xml:space="preserve">“Vendor shall maintain a current list of all sub-processors, including foundation-model providers, identifying data flows. Vendor shall provide thirty (30) days’ notice of material changes, and Customer shall have the right to object.”</w:t>
      </w:r>
    </w:p>
    <w:p>
      <w:pPr>
        <w:pStyle w:val="BodyText"/>
      </w:pPr>
      <w:r>
        <w:rPr>
          <w:b/>
          <w:bCs/>
        </w:rPr>
        <w:t xml:space="preserve">Data residency for inference.</w:t>
      </w:r>
      <w:r>
        <w:t xml:space="preserve"> </w:t>
      </w:r>
      <w:r>
        <w:rPr>
          <w:i/>
          <w:iCs/>
        </w:rPr>
        <w:t xml:space="preserve">“Vendor shall provide an option for inference to be processed exclusively within [EU / US / specified region], including all foundation-model calls, prompt retention, and output retention, with annual attestation.”</w:t>
      </w:r>
    </w:p>
    <w:p>
      <w:pPr>
        <w:pStyle w:val="BodyText"/>
      </w:pPr>
      <w:r>
        <w:rPr>
          <w:b/>
          <w:bCs/>
        </w:rPr>
        <w:t xml:space="preserve">Surgical deletion across memory.</w:t>
      </w:r>
      <w:r>
        <w:t xml:space="preserve"> </w:t>
      </w:r>
      <w:r>
        <w:rPr>
          <w:i/>
          <w:iCs/>
        </w:rPr>
        <w:t xml:space="preserve">“Upon a data-subject erasure request, Vendor shall delete the affected data from the Agent’s persistent memory, trajectory logs, and any fine-tuned weights within thirty (30) days, and shall provide a deletion confirmation log.”</w:t>
      </w:r>
    </w:p>
    <w:bookmarkEnd w:id="153"/>
    <w:bookmarkStart w:id="154" w:name="for-ai-governance"/>
    <w:p>
      <w:pPr>
        <w:pStyle w:val="Heading3"/>
      </w:pPr>
      <w:r>
        <w:t xml:space="preserve">For AI Governance</w:t>
      </w:r>
    </w:p>
    <w:p>
      <w:pPr>
        <w:pStyle w:val="FirstParagraph"/>
      </w:pPr>
      <w:r>
        <w:rPr>
          <w:b/>
          <w:bCs/>
        </w:rPr>
        <w:t xml:space="preserve">Signed reproducible eval reports.</w:t>
      </w:r>
      <w:r>
        <w:t xml:space="preserve"> </w:t>
      </w:r>
      <w:r>
        <w:rPr>
          <w:i/>
          <w:iCs/>
        </w:rPr>
        <w:t xml:space="preserve">“Vendor shall provide to Customer, no less frequently than quarterly and within thirty (30) days of any model-version change affecting the Agent, a Signed Reproducible Eval Report specifying the model identifier, dataset identifier and hash, harness version, metrics, methodology, confidence intervals, and reproduction instructions. Reproduction by Customer’s team within a reasonable window shall yield a score within five (5) points of the Report’s stated score. A reproduction failure outside this tolerance shall constitute a material breach of the eval-evidence warranty.”</w:t>
      </w:r>
    </w:p>
    <w:p>
      <w:pPr>
        <w:pStyle w:val="BodyText"/>
      </w:pPr>
      <w:r>
        <w:rPr>
          <w:b/>
          <w:bCs/>
        </w:rPr>
        <w:t xml:space="preserve">EU AI Act Article 14 tie-out.</w:t>
      </w:r>
      <w:r>
        <w:t xml:space="preserve"> </w:t>
      </w:r>
      <w:r>
        <w:rPr>
          <w:i/>
          <w:iCs/>
        </w:rPr>
        <w:t xml:space="preserve">“Vendor shall maintain and provide to Customer, upon request and at least annually, a Human Oversight Tie-Out Document mapping the Agent’s design and operational features to the requirements of Article 14 of Regulation (EU) 2024/1689. Vendor warrants that the Document, taken together with the supporting evidence referenced therein, is sufficient to support Customer’s good-faith demonstration of Article 14 compliance. Material misrepresentation of Article 14 conformity in the Document shall constitute a material breach.”</w:t>
      </w:r>
    </w:p>
    <w:bookmarkEnd w:id="154"/>
    <w:bookmarkStart w:id="155" w:name="X7aab014ed4ea2d98b52fbb05e415023ef250adf"/>
    <w:p>
      <w:pPr>
        <w:pStyle w:val="Heading3"/>
      </w:pPr>
      <w:r>
        <w:t xml:space="preserve">For Procurement and Enterprise Architecture</w:t>
      </w:r>
    </w:p>
    <w:p>
      <w:pPr>
        <w:pStyle w:val="FirstParagraph"/>
      </w:pPr>
      <w:r>
        <w:rPr>
          <w:b/>
          <w:bCs/>
        </w:rPr>
        <w:t xml:space="preserve">Per-trajectory cost transparency.</w:t>
      </w:r>
      <w:r>
        <w:t xml:space="preserve"> </w:t>
      </w:r>
      <w:r>
        <w:rPr>
          <w:i/>
          <w:iCs/>
        </w:rPr>
        <w:t xml:space="preserve">“Vendor shall expose, via the Service’s billing or observability interface, the per-trajectory cost decomposition for any Customer-initiated Agent task, including inference cost, telephony cost, human-review cost, and any other COGS component representing more than five percent (5%) of the per-trajectory total.”</w:t>
      </w:r>
    </w:p>
    <w:p>
      <w:pPr>
        <w:pStyle w:val="BodyText"/>
      </w:pPr>
      <w:r>
        <w:rPr>
          <w:b/>
          <w:bCs/>
        </w:rPr>
        <w:t xml:space="preserve">Outcome-definition and dispute mechanics.</w:t>
      </w:r>
      <w:r>
        <w:t xml:space="preserve"> </w:t>
      </w:r>
      <w:r>
        <w:rPr>
          <w:i/>
          <w:iCs/>
        </w:rPr>
        <w:t xml:space="preserve">“For outcome-priced services, the Agreement shall specify (a) the precise definition of the chargeable outcome unit, (b) Vendor-side telemetry as the billing source of truth, (c) Customer-side telemetry as the audit override, (d) a thirty/sixty/ninety (30/60/90) day dispute window, and (e) third-party arbitration via [named arbitrator] for disputes unresolved within ninety (90) days.”</w:t>
      </w:r>
    </w:p>
    <w:p>
      <w:pPr>
        <w:pStyle w:val="BodyText"/>
      </w:pPr>
      <w:r>
        <w:rPr>
          <w:b/>
          <w:bCs/>
        </w:rPr>
        <w:t xml:space="preserve">Exit and data portability.</w:t>
      </w:r>
      <w:r>
        <w:t xml:space="preserve"> </w:t>
      </w:r>
      <w:r>
        <w:rPr>
          <w:i/>
          <w:iCs/>
        </w:rPr>
        <w:t xml:space="preserve">“On termination, Vendor shall make Customer’s persistent agent memory, trajectory logs, and configuration exportable in a documented format within thirty (30) days, and shall delete the same from Vendor systems within sixty (60) days following Customer’s confirmation of export.”</w:t>
      </w:r>
    </w:p>
    <w:p>
      <w:r>
        <w:pict>
          <v:rect style="width:0;height:1.5pt" o:hralign="center" o:hrstd="t" o:hr="t"/>
        </w:pict>
      </w:r>
    </w:p>
    <w:bookmarkEnd w:id="155"/>
    <w:bookmarkEnd w:id="156"/>
    <w:bookmarkStart w:id="157" w:name="closing"/>
    <w:p>
      <w:pPr>
        <w:pStyle w:val="Heading2"/>
      </w:pPr>
      <w:r>
        <w:t xml:space="preserve">Closing</w:t>
      </w:r>
    </w:p>
    <w:p>
      <w:pPr>
        <w:pStyle w:val="FirstParagraph"/>
      </w:pPr>
      <w:r>
        <w:t xml:space="preserve">This Playbook is a position. It is not a neutral white paper, it is not a Gartner subscription, and it is not a substitute for the operational judgment of the seven counterparties whose chairs it tries to fit inside the same procurement gauntlet. It is the artifact I wish I had read three procurement cycles ago, and the artifact I would hand any F1000 CIO walking into an agent vendor evaluation in 2026 as the thing to read on the plane.</w:t>
      </w:r>
    </w:p>
    <w:p>
      <w:pPr>
        <w:pStyle w:val="BodyText"/>
      </w:pPr>
      <w:r>
        <w:t xml:space="preserve">If you are a buyer using this Playbook to evaluate an agent vendor, the questions in Section II are yours. The overlays in Section III are yours. The decision tree in Section V is yours. Use them. Score the vendor against the Rubric in Section VI before you sign, and again before every renewal. If you are a vendor reading this Playbook to pre-empt the questions, every clause in Section IV is your homework, and every Pass cell in Section VI is the work you need to do before your next F1000 conversation.</w:t>
      </w:r>
    </w:p>
    <w:p>
      <w:pPr>
        <w:pStyle w:val="BodyText"/>
      </w:pPr>
      <w:r>
        <w:t xml:space="preserve">This is Edition 1.0. It is falsifiable on purpose. The Rubric, the decision tree, and the addenda are written so that two competent procurement teams scoring the same vendor should arrive at the same answer; if they do not, the Playbook has failed and I want to know about it. The next edition will be informed by the gauntlets you run vendors through and by the artifacts vendors begin shipping in response. Send what worked, send what did not, send the clauses you redlined into your MSA and the cells where the Rubric was too generous or too strict. The standard improves by use.</w:t>
      </w:r>
    </w:p>
    <w:p>
      <w:pPr>
        <w:pStyle w:val="BodyText"/>
      </w:pPr>
      <w:r>
        <w:t xml:space="preserve">The flag is planted. Reach me at alex.e.yedi@gmail.com.</w:t>
      </w:r>
    </w:p>
    <w:p>
      <w:pPr>
        <w:pStyle w:val="BodyText"/>
      </w:pPr>
      <w:r>
        <w:rPr>
          <w:i/>
          <w:iCs/>
        </w:rPr>
        <w:t xml:space="preserve">— Alex Yedi, May 2026</w:t>
      </w:r>
    </w:p>
    <w:p>
      <w:r>
        <w:pict>
          <v:rect style="width:0;height:1.5pt" o:hralign="center" o:hrstd="t" o:hr="t"/>
        </w:pict>
      </w:r>
    </w:p>
    <w:p>
      <w:pPr>
        <w:pStyle w:val="FirstParagraph"/>
      </w:pPr>
      <w:r>
        <w:t xml:space="preserve">That is the Playbook. v1.0. The next edition is informed by the gauntlet you run vendors through. The next chapter is the operational surface that maintains all of the above.</w:t>
      </w:r>
    </w:p>
    <w:p>
      <w:r>
        <w:pict>
          <v:rect style="width:0;height:1.5pt" o:hralign="center" o:hrstd="t" o:hr="t"/>
        </w:pict>
      </w:r>
    </w:p>
    <w:bookmarkEnd w:id="157"/>
    <w:bookmarkStart w:id="158" w:name="chapter-7-the-living-tracker"/>
    <w:p>
      <w:pPr>
        <w:pStyle w:val="Heading2"/>
      </w:pPr>
      <w:r>
        <w:t xml:space="preserve">Chapter 7 · The Living Tracker</w:t>
      </w:r>
    </w:p>
    <w:p>
      <w:pPr>
        <w:pStyle w:val="FirstParagraph"/>
      </w:pPr>
      <w:r>
        <w:t xml:space="preserve">The tracker is the maintenance surface. Three operating cadences: bi-weekly talent + capital, monthly bet status, trigger-based cruxes. What follows is the document you actually update. Read it once now to know its shape, then update it on the cadence.</w:t>
      </w:r>
    </w:p>
    <w:p>
      <w:r>
        <w:pict>
          <v:rect style="width:0;height:1.5pt" o:hralign="center" o:hrstd="t" o:hr="t"/>
        </w:pict>
      </w:r>
    </w:p>
    <w:p>
      <w:pPr>
        <w:pStyle w:val="BlockText"/>
      </w:pPr>
      <w:r>
        <w:t xml:space="preserve">Sub-tracker for the agent × GTM intersection. Companion to and feeder of</w:t>
      </w:r>
      <w:r>
        <w:t xml:space="preserve"> </w:t>
      </w:r>
      <w:r>
        <w:rPr>
          <w:rStyle w:val="VerbatimChar"/>
        </w:rPr>
        <w:t xml:space="preserve">output/ai-stack/OCQ_TRACKER.md</w:t>
      </w:r>
      <w:r>
        <w:t xml:space="preserve"> </w:t>
      </w:r>
      <w:r>
        <w:t xml:space="preserve">(parent) and</w:t>
      </w:r>
      <w:r>
        <w:t xml:space="preserve"> </w:t>
      </w:r>
      <w:r>
        <w:rPr>
          <w:rStyle w:val="VerbatimChar"/>
        </w:rPr>
        <w:t xml:space="preserve">output/ai-agents/AI_AGENTS_TRACKER.md</w:t>
      </w:r>
      <w:r>
        <w:t xml:space="preserve"> </w:t>
      </w:r>
      <w:r>
        <w:t xml:space="preserve">(Volume III sibling).</w:t>
      </w:r>
      <w:r>
        <w:t xml:space="preserve"> </w:t>
      </w:r>
      <w:r>
        <w:t xml:space="preserve">The parent tracks the full AI stack; the Volume III tracks the agent layer; this Volume IV tracks the agent-GTM intersection at cell-resolution.</w:t>
      </w:r>
    </w:p>
    <w:p>
      <w:pPr>
        <w:pStyle w:val="FirstParagraph"/>
      </w:pPr>
      <w:r>
        <w:rPr>
          <w:b/>
          <w:bCs/>
        </w:rPr>
        <w:t xml:space="preserve">Last updated:</w:t>
      </w:r>
      <w:r>
        <w:t xml:space="preserve"> </w:t>
      </w:r>
      <w:r>
        <w:t xml:space="preserve">2026-05-13</w:t>
      </w:r>
      <w:r>
        <w:t xml:space="preserve"> </w:t>
      </w:r>
      <w:r>
        <w:rPr>
          <w:b/>
          <w:bCs/>
        </w:rPr>
        <w:t xml:space="preserve">Owner:</w:t>
      </w:r>
      <w:r>
        <w:t xml:space="preserve"> </w:t>
      </w:r>
      <w:r>
        <w:t xml:space="preserve">Alex</w:t>
      </w:r>
      <w:r>
        <w:t xml:space="preserve"> </w:t>
      </w:r>
      <w:r>
        <w:rPr>
          <w:b/>
          <w:bCs/>
        </w:rPr>
        <w:t xml:space="preserve">Companion artifacts:</w:t>
      </w:r>
      <w:r>
        <w:t xml:space="preserve"> </w:t>
      </w:r>
      <w:r>
        <w:t xml:space="preserve">-</w:t>
      </w:r>
      <w:r>
        <w:t xml:space="preserve"> </w:t>
      </w:r>
      <w:r>
        <w:rPr>
          <w:rStyle w:val="VerbatimChar"/>
        </w:rPr>
        <w:t xml:space="preserve">AGENTS_GTM_MATRIX.pdf</w:t>
      </w:r>
      <w:r>
        <w:t xml:space="preserve"> </w:t>
      </w:r>
      <w:r>
        <w:t xml:space="preserve">(Plate I · the 12 × 13 cell matrix)</w:t>
      </w:r>
      <w:r>
        <w:t xml:space="preserve"> </w:t>
      </w:r>
      <w:r>
        <w:t xml:space="preserve">-</w:t>
      </w:r>
      <w:r>
        <w:t xml:space="preserve"> </w:t>
      </w:r>
      <w:r>
        <w:rPr>
          <w:rStyle w:val="VerbatimChar"/>
        </w:rPr>
        <w:t xml:space="preserve">AGENTS_GTM_MASTER_PLATE.pdf</w:t>
      </w:r>
      <w:r>
        <w:t xml:space="preserve"> </w:t>
      </w:r>
      <w:r>
        <w:t xml:space="preserve">(Plate M · the intersection seen whole)</w:t>
      </w:r>
      <w:r>
        <w:t xml:space="preserve"> </w:t>
      </w:r>
      <w:r>
        <w:t xml:space="preserve">-</w:t>
      </w:r>
      <w:r>
        <w:t xml:space="preserve"> </w:t>
      </w:r>
      <w:r>
        <w:rPr>
          <w:rStyle w:val="VerbatimChar"/>
        </w:rPr>
        <w:t xml:space="preserve">AGENTS_GTM_ADDENDUM.docx</w:t>
      </w:r>
      <w:r>
        <w:t xml:space="preserve"> </w:t>
      </w:r>
      <w:r>
        <w:t xml:space="preserve">(Decisions Playbook · Vol IV)</w:t>
      </w:r>
      <w:r>
        <w:t xml:space="preserve"> </w:t>
      </w:r>
      <w:r>
        <w:t xml:space="preserve">-</w:t>
      </w:r>
      <w:r>
        <w:t xml:space="preserve"> </w:t>
      </w:r>
      <w:r>
        <w:rPr>
          <w:rStyle w:val="VerbatimChar"/>
        </w:rPr>
        <w:t xml:space="preserve">AI_VENDOR_PROCUREMENT_PLAYBOOK.docx</w:t>
      </w:r>
      <w:r>
        <w:t xml:space="preserve"> </w:t>
      </w:r>
      <w:r>
        <w:t xml:space="preserve">(the headline artifact — Bet #1)</w:t>
      </w:r>
      <w:r>
        <w:t xml:space="preserve"> </w:t>
      </w:r>
      <w:r>
        <w:t xml:space="preserve">-</w:t>
      </w:r>
      <w:r>
        <w:t xml:space="preserve"> </w:t>
      </w:r>
      <w:r>
        <w:rPr>
          <w:rStyle w:val="VerbatimChar"/>
        </w:rPr>
        <w:t xml:space="preserve">BETS_DELTA_NOTE.md</w:t>
      </w:r>
      <w:r>
        <w:t xml:space="preserve"> </w:t>
      </w:r>
      <w:r>
        <w:t xml:space="preserve">(this file’s reconciliation to parent)</w:t>
      </w:r>
      <w:r>
        <w:t xml:space="preserve"> </w:t>
      </w:r>
      <w:r>
        <w:t xml:space="preserve">- Parent:</w:t>
      </w:r>
      <w:r>
        <w:t xml:space="preserve"> </w:t>
      </w:r>
      <w:r>
        <w:rPr>
          <w:rStyle w:val="VerbatimChar"/>
        </w:rPr>
        <w:t xml:space="preserve">output/ai-stack/OCQ_TRACKER.md</w:t>
      </w:r>
      <w:r>
        <w:t xml:space="preserve"> </w:t>
      </w:r>
      <w:r>
        <w:t xml:space="preserve">- Sibling:</w:t>
      </w:r>
      <w:r>
        <w:t xml:space="preserve"> </w:t>
      </w:r>
      <w:r>
        <w:rPr>
          <w:rStyle w:val="VerbatimChar"/>
        </w:rPr>
        <w:t xml:space="preserve">output/ai-agents/AI_AGENTS_TRACKER.md</w:t>
      </w:r>
    </w:p>
    <w:p>
      <w:r>
        <w:pict>
          <v:rect style="width:0;height:1.5pt" o:hralign="center" o:hrstd="t" o:hr="t"/>
        </w:pict>
      </w:r>
    </w:p>
    <w:bookmarkEnd w:id="158"/>
    <w:bookmarkStart w:id="159" w:name="how-to-use-this-tracker"/>
    <w:p>
      <w:pPr>
        <w:pStyle w:val="Heading2"/>
      </w:pPr>
      <w:r>
        <w:t xml:space="preserve">How to use this tracker</w:t>
      </w:r>
    </w:p>
    <w:p>
      <w:pPr>
        <w:pStyle w:val="FirstParagraph"/>
      </w:pPr>
      <w:r>
        <w:t xml:space="preserve">Same operating cadence as parent + Volume III. Three sections, three cadences: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Cadence</w:t>
            </w:r>
          </w:p>
        </w:tc>
        <w:tc>
          <w:tcPr/>
          <w:p>
            <w:pPr>
              <w:pStyle w:val="Compact"/>
            </w:pPr>
            <w:r>
              <w:t xml:space="preserve">Owner action</w:t>
            </w:r>
          </w:p>
        </w:tc>
      </w:tr>
      <w:tr>
        <w:tc>
          <w:tcPr/>
          <w:p>
            <w:pPr>
              <w:pStyle w:val="Compact"/>
            </w:pPr>
            <w:r>
              <w:rPr>
                <w:b/>
                <w:bCs/>
              </w:rPr>
              <w:t xml:space="preserve">A. Bets — agent-GTM deltas to parent + Volume III</w:t>
            </w:r>
          </w:p>
        </w:tc>
        <w:tc>
          <w:tcPr/>
          <w:p>
            <w:pPr>
              <w:pStyle w:val="Compact"/>
            </w:pPr>
            <w:r>
              <w:t xml:space="preserve">Monthly</w:t>
            </w:r>
          </w:p>
        </w:tc>
        <w:tc>
          <w:tcPr/>
          <w:p>
            <w:pPr>
              <w:pStyle w:val="Compact"/>
            </w:pPr>
            <w:r>
              <w:t xml:space="preserve">Update conviction, refresh leading indicators, mark module-fold-ins</w:t>
            </w:r>
          </w:p>
        </w:tc>
      </w:tr>
      <w:tr>
        <w:tc>
          <w:tcPr/>
          <w:p>
            <w:pPr>
              <w:pStyle w:val="Compact"/>
            </w:pPr>
            <w:r>
              <w:rPr>
                <w:b/>
                <w:bCs/>
              </w:rPr>
              <w:t xml:space="preserve">B. Agent-GTM talent + capital flow</w:t>
            </w:r>
          </w:p>
        </w:tc>
        <w:tc>
          <w:tcPr/>
          <w:p>
            <w:pPr>
              <w:pStyle w:val="Compact"/>
            </w:pPr>
            <w:r>
              <w:t xml:space="preserve">Bi-weekly</w:t>
            </w:r>
          </w:p>
        </w:tc>
        <w:tc>
          <w:tcPr/>
          <w:p>
            <w:pPr>
              <w:pStyle w:val="Compact"/>
            </w:pPr>
            <w:r>
              <w:t xml:space="preserve">Add senior moves into / out of named NYC vertical-agent companies + cell-level vendor velocity</w:t>
            </w:r>
          </w:p>
        </w:tc>
      </w:tr>
      <w:tr>
        <w:tc>
          <w:tcPr/>
          <w:p>
            <w:pPr>
              <w:pStyle w:val="Compact"/>
            </w:pPr>
            <w:r>
              <w:rPr>
                <w:b/>
                <w:bCs/>
              </w:rPr>
              <w:t xml:space="preserve">C. Cell-level cruxes + risks</w:t>
            </w:r>
          </w:p>
        </w:tc>
        <w:tc>
          <w:tcPr/>
          <w:p>
            <w:pPr>
              <w:pStyle w:val="Compact"/>
            </w:pPr>
            <w:r>
              <w:t xml:space="preserve">When triggered</w:t>
            </w:r>
          </w:p>
        </w:tc>
        <w:tc>
          <w:tcPr/>
          <w:p>
            <w:pPr>
              <w:pStyle w:val="Compact"/>
            </w:pPr>
            <w:r>
              <w:t xml:space="preserve">Each crux has a measurable answer-event; log date and re-rank cells + bets</w:t>
            </w:r>
          </w:p>
        </w:tc>
      </w:tr>
    </w:tbl>
    <w:p>
      <w:pPr>
        <w:pStyle w:val="BodyText"/>
      </w:pPr>
      <w:r>
        <w:t xml:space="preserve">The point:</w:t>
      </w:r>
      <w:r>
        <w:t xml:space="preserve"> </w:t>
      </w:r>
      <w:r>
        <w:rPr>
          <w:b/>
          <w:bCs/>
        </w:rPr>
        <w:t xml:space="preserve">disciplined attention on the cells, the named NYC operator targets, and the cruxes that move 12+ cells.</w:t>
      </w:r>
      <w:r>
        <w:t xml:space="preserve"> </w:t>
      </w:r>
      <w:r>
        <w:t xml:space="preserve">Where Volume IV’s view changes a bet, the change is mirrored to the parent tracker via</w:t>
      </w:r>
      <w:r>
        <w:t xml:space="preserve"> </w:t>
      </w:r>
      <w:r>
        <w:rPr>
          <w:rStyle w:val="VerbatimChar"/>
        </w:rPr>
        <w:t xml:space="preserve">BETS_DELTA_NOTE.md</w:t>
      </w:r>
      <w:r>
        <w:t xml:space="preserve">.</w:t>
      </w:r>
    </w:p>
    <w:p>
      <w:r>
        <w:pict>
          <v:rect style="width:0;height:1.5pt" o:hralign="center" o:hrstd="t" o:hr="t"/>
        </w:pict>
      </w:r>
    </w:p>
    <w:bookmarkEnd w:id="159"/>
    <w:bookmarkStart w:id="167" w:name="X339a8a4312fae324405d6675083f93462033b80"/>
    <w:p>
      <w:pPr>
        <w:pStyle w:val="Heading2"/>
      </w:pPr>
      <w:r>
        <w:t xml:space="preserve">A. THE SEVEN BETS — VOLUME IV REFRESH (CELL-RESOLUTION)</w:t>
      </w:r>
    </w:p>
    <w:p>
      <w:pPr>
        <w:pStyle w:val="FirstParagraph"/>
      </w:pPr>
      <w:r>
        <w:t xml:space="preserve">The seven Bets carry over from parent + Volume III. Volume IV refreshes each at</w:t>
      </w:r>
      <w:r>
        <w:t xml:space="preserve"> </w:t>
      </w:r>
      <w:r>
        <w:rPr>
          <w:b/>
          <w:bCs/>
        </w:rPr>
        <w:t xml:space="preserve">cell-coordinate resolution</w:t>
      </w:r>
      <w:r>
        <w:t xml:space="preserve"> </w:t>
      </w:r>
      <w:r>
        <w:t xml:space="preserve">and explicit module-fold-ins. Significant deltas annotated below.</w:t>
      </w:r>
    </w:p>
    <w:bookmarkStart w:id="160" w:name="X37eeccad8b1c6923119301025e6e6692173b8ff"/>
    <w:p>
      <w:pPr>
        <w:pStyle w:val="Heading3"/>
      </w:pPr>
      <w:r>
        <w:t xml:space="preserve">Bet #1 — Enterprise AI Procurement Operating Standard (REINFORCED + EXPANDED)</w:t>
      </w:r>
    </w:p>
    <w:p>
      <w:pPr>
        <w:pStyle w:val="FirstParagraph"/>
      </w:pPr>
      <w:r>
        <w:rPr>
          <w:b/>
          <w:bCs/>
        </w:rPr>
        <w:t xml:space="preserve">The play:</w:t>
      </w:r>
      <w:r>
        <w:t xml:space="preserve"> </w:t>
      </w:r>
      <w:r>
        <w:t xml:space="preserve">Become the canonical operator-voice on how F1000 buys AI agents. Publish an open Procurement Playbook → use it as inbound flywheel for advisory + open-spec stewardship → productize at Q3 2026 trust-earned gate.</w:t>
      </w:r>
    </w:p>
    <w:p>
      <w:pPr>
        <w:pStyle w:val="BodyText"/>
      </w:pPr>
      <w:r>
        <w:rPr>
          <w:b/>
          <w:bCs/>
        </w:rPr>
        <w:t xml:space="preserve">Hypothesis (refined):</w:t>
      </w:r>
      <w:r>
        <w:t xml:space="preserve"> </w:t>
      </w:r>
      <w:r>
        <w:t xml:space="preserve">Every F1000 stood up an</w:t>
      </w:r>
      <w:r>
        <w:t xml:space="preserve"> </w:t>
      </w:r>
      <w:r>
        <w:t xml:space="preserve">“AI council”</w:t>
      </w:r>
      <w:r>
        <w:t xml:space="preserve"> </w:t>
      </w:r>
      <w:r>
        <w:t xml:space="preserve">in 2024–2025. Procurement runs through</w:t>
      </w:r>
      <w:r>
        <w:t xml:space="preserve"> </w:t>
      </w:r>
      <w:r>
        <w:rPr>
          <w:b/>
          <w:bCs/>
        </w:rPr>
        <w:t xml:space="preserve">seven</w:t>
      </w:r>
      <w:r>
        <w:t xml:space="preserve"> </w:t>
      </w:r>
      <w:r>
        <w:t xml:space="preserve">counterparties (InfoSec / Legal / Privacy / AI Governance / Procurement / Business Sponsor /</w:t>
      </w:r>
      <w:r>
        <w:t xml:space="preserve"> </w:t>
      </w:r>
      <w:r>
        <w:rPr>
          <w:b/>
          <w:bCs/>
        </w:rPr>
        <w:t xml:space="preserve">Enterprise Architecture / IT Ops</w:t>
      </w:r>
      <w:r>
        <w:t xml:space="preserve"> </w:t>
      </w:r>
      <w:r>
        <w:t xml:space="preserve">— Volume IV’s addition). No incumbent owns the cross-counterparty workflow at agent-specific resolution. The (9, G) procurement-seam cell scores OCQ 19/20 — the matrix peak. A commercial operator with 12 yrs of buyer-side procurement scar-tissue + AI-builder fluency + the canonical Playbook in market becomes the procurement-default reference for the next 5 years.</w:t>
      </w:r>
    </w:p>
    <w:p>
      <w:pPr>
        <w:pStyle w:val="BodyText"/>
      </w:pPr>
      <w:r>
        <w:rPr>
          <w:b/>
          <w:bCs/>
        </w:rPr>
        <w:t xml:space="preserve">Volume IV deltas vs Volume III:</w:t>
      </w:r>
      <w:r>
        <w:t xml:space="preserve"> </w:t>
      </w:r>
      <w:r>
        <w:t xml:space="preserve">- Counterparty count: 6 →</w:t>
      </w:r>
      <w:r>
        <w:t xml:space="preserve"> </w:t>
      </w:r>
      <w:r>
        <w:rPr>
          <w:b/>
          <w:bCs/>
        </w:rPr>
        <w:t xml:space="preserve">7</w:t>
      </w:r>
      <w:r>
        <w:t xml:space="preserve"> </w:t>
      </w:r>
      <w:r>
        <w:t xml:space="preserve">(EA/IT added).</w:t>
      </w:r>
      <w:r>
        <w:t xml:space="preserve"> </w:t>
      </w:r>
      <w:r>
        <w:t xml:space="preserve">- Modules absorbed from other bets: Bet #4 per-trajectory FinOps audit (§III.8); Bet #5 memory architecture overlay; Bet-C2 procurement-seam coach as follow-on; Bet-C3 extended per-trajectory FinOps; Bet-C4 outcome-pricing contract template; Bet-C10 Article 14 tie-out standard.</w:t>
      </w:r>
      <w:r>
        <w:t xml:space="preserve"> </w:t>
      </w:r>
      <w:r>
        <w:t xml:space="preserve">- Reframe per Bet-C6: not just advisory practice — advisory practice +</w:t>
      </w:r>
      <w:r>
        <w:t xml:space="preserve"> </w:t>
      </w:r>
      <w:r>
        <w:rPr>
          <w:b/>
          <w:bCs/>
        </w:rPr>
        <w:t xml:space="preserve">open-spec stewardship</w:t>
      </w:r>
      <w:r>
        <w:t xml:space="preserve">. Process Power flavor for the maintainer.</w:t>
      </w:r>
      <w:r>
        <w:t xml:space="preserve"> </w:t>
      </w:r>
      <w:r>
        <w:t xml:space="preserve">- Anchor cells: (9, G) OCQ 19 · (9, I) OCQ 16 · (9, M) OCQ 14 · M-column horizontals (4/6/9/12,M) at 13–14.</w:t>
      </w:r>
    </w:p>
    <w:p>
      <w:pPr>
        <w:pStyle w:val="BodyText"/>
      </w:pPr>
      <w:r>
        <w:rPr>
          <w:b/>
          <w:bCs/>
        </w:rPr>
        <w:t xml:space="preserve">Falsifiability:</w:t>
      </w:r>
      <w:r>
        <w:t xml:space="preserve"> </w:t>
      </w:r>
      <w:r>
        <w:t xml:space="preserve">&lt;500 downloads / &lt;50 inbound conversations in 60 days OR Vanta/Drata/Ironclad ships AI-vendor bundle Q4 2026. The advisory leg survives even if SaaS-productization branch dies.</w:t>
      </w:r>
    </w:p>
    <w:p>
      <w:pPr>
        <w:pStyle w:val="BodyText"/>
      </w:pPr>
      <w:r>
        <w:rPr>
          <w:b/>
          <w:bCs/>
        </w:rPr>
        <w:t xml:space="preserve">Current status:</w:t>
      </w:r>
      <w:r>
        <w:t xml:space="preserve"> </w:t>
      </w:r>
      <w:r>
        <w:t xml:space="preserve">Playbook draft 9,716 words exists (</w:t>
      </w:r>
      <w:r>
        <w:rPr>
          <w:rStyle w:val="VerbatimChar"/>
        </w:rPr>
        <w:t xml:space="preserve">wave1_playbook_draft.md</w:t>
      </w:r>
      <w:r>
        <w:t xml:space="preserve">). Phase 5 reconciliation in progress. Ready for Q3 2026 publish.</w:t>
      </w:r>
    </w:p>
    <w:p>
      <w:pPr>
        <w:pStyle w:val="BodyText"/>
      </w:pPr>
      <w:r>
        <w:rPr>
          <w:b/>
          <w:bCs/>
        </w:rPr>
        <w:t xml:space="preserve">Leading indicators to watch:</w:t>
      </w:r>
      <w:r>
        <w:t xml:space="preserve"> </w:t>
      </w:r>
      <w:r>
        <w:t xml:space="preserve">- Vanta / Drata / Secureframe AI-vendor product launches (would close productization window)</w:t>
      </w:r>
      <w:r>
        <w:t xml:space="preserve"> </w:t>
      </w:r>
      <w:r>
        <w:t xml:space="preserve">- Ironclad / LinkSquares / SpotDraft April 2026 AI-vendor-clause-library commit (challenge severity 17/20)</w:t>
      </w:r>
      <w:r>
        <w:t xml:space="preserve"> </w:t>
      </w:r>
      <w:r>
        <w:t xml:space="preserve">- F1000 AI council job postings (LinkedIn alerts; growth = market validation)</w:t>
      </w:r>
      <w:r>
        <w:t xml:space="preserve"> </w:t>
      </w:r>
      <w:r>
        <w:t xml:space="preserve">- EU AI Act Article 14 enforcement actions late 2026</w:t>
      </w:r>
      <w:r>
        <w:t xml:space="preserve"> </w:t>
      </w:r>
      <w:r>
        <w:t xml:space="preserve">- Bartz settlement framework + NYT v. OpenAI rulings (re-prices vendor terms)</w:t>
      </w:r>
      <w:r>
        <w:t xml:space="preserve"> </w:t>
      </w:r>
      <w:r>
        <w:t xml:space="preserve">- Playbook download count + inbound conversation count (Bet-level KPI)</w:t>
      </w:r>
    </w:p>
    <w:p>
      <w:pPr>
        <w:pStyle w:val="BodyText"/>
      </w:pPr>
      <w:r>
        <w:rPr>
          <w:b/>
          <w:bCs/>
        </w:rPr>
        <w:t xml:space="preserve">Conviction:</w:t>
      </w:r>
      <w:r>
        <w:t xml:space="preserve"> </w:t>
      </w:r>
      <w:r>
        <w:t xml:space="preserve">★★★★★ — three-framework convergence (Wardley single most asymmetric · 7 Powers highest footing · JTBD two-job cell).</w:t>
      </w:r>
    </w:p>
    <w:p>
      <w:pPr>
        <w:pStyle w:val="BodyText"/>
      </w:pPr>
      <w:r>
        <w:rPr>
          <w:b/>
          <w:bCs/>
        </w:rPr>
        <w:t xml:space="preserve">Next action:</w:t>
      </w:r>
      <w:r>
        <w:t xml:space="preserve"> </w:t>
      </w:r>
      <w:r>
        <w:t xml:space="preserve">Playbook outline locked Week 1 of Q3 2026. 30 expert interviews Weeks 2–6. Bilateral evidence-pack interchange format as the canonical downloadable. Publish Week 12 with Cloudflare gateway-partner conversation opened in parallel (Bet #3a).</w:t>
      </w:r>
    </w:p>
    <w:p>
      <w:r>
        <w:pict>
          <v:rect style="width:0;height:1.5pt" o:hralign="center" o:hrstd="t" o:hr="t"/>
        </w:pict>
      </w:r>
    </w:p>
    <w:bookmarkEnd w:id="160"/>
    <w:bookmarkStart w:id="161" w:name="Xcc99821900c3cd45eb410851bc655fce55fd276"/>
    <w:p>
      <w:pPr>
        <w:pStyle w:val="Heading3"/>
      </w:pPr>
      <w:r>
        <w:t xml:space="preserve">Bet #2 — Vertical Agent GTM Leadership Role (REINFORCED + SHARPENED)</w:t>
      </w:r>
    </w:p>
    <w:p>
      <w:pPr>
        <w:pStyle w:val="FirstParagraph"/>
      </w:pPr>
      <w:r>
        <w:rPr>
          <w:b/>
          <w:bCs/>
        </w:rPr>
        <w:t xml:space="preserve">The play:</w:t>
      </w:r>
      <w:r>
        <w:t xml:space="preserve"> </w:t>
      </w:r>
      <w:r>
        <w:t xml:space="preserve">Take a Director / Head of Enterprise GTM / Field CTO / Head of GTM Strategy role at a Series B–C NYC-anchored vertical agent company.</w:t>
      </w:r>
      <w:r>
        <w:t xml:space="preserve"> </w:t>
      </w:r>
      <w:r>
        <w:rPr>
          <w:b/>
          <w:bCs/>
        </w:rPr>
        <w:t xml:space="preserve">Hebbia #1, then Sierra, Rogo, Harvey, Glean. Common Room as Bet-C5 sub-target.</w:t>
      </w:r>
    </w:p>
    <w:p>
      <w:pPr>
        <w:pStyle w:val="BodyText"/>
      </w:pPr>
      <w:r>
        <w:rPr>
          <w:b/>
          <w:bCs/>
        </w:rPr>
        <w:t xml:space="preserve">Hypothesis (refined):</w:t>
      </w:r>
      <w:r>
        <w:t xml:space="preserve"> </w:t>
      </w:r>
      <w:r>
        <w:t xml:space="preserve">Hebbia/Sierra/Decagon/Glean/Harvey/Hippocratic/Augment/Rogo/Clay/Runway/Ramp AI are hiring Alex’s profile (12+ years enterprise B2B + AI fluency + NYC + procurement scar-tissue) at $250–400K base + 0.05–0.40% equity. Talent-flow data confirms Stripe/Ramp/Datadog/Snowflake → Sierra/Decagon/Glean/Hippocratic + the third feed-stock MBB consulting → Hebbia/Sierra/Harvey activated Feb–Apr 2026.</w:t>
      </w:r>
    </w:p>
    <w:p>
      <w:pPr>
        <w:pStyle w:val="BodyText"/>
      </w:pPr>
      <w:r>
        <w:rPr>
          <w:b/>
          <w:bCs/>
        </w:rPr>
        <w:t xml:space="preserve">Volume IV deltas vs Volume III:</w:t>
      </w:r>
      <w:r>
        <w:t xml:space="preserve"> </w:t>
      </w:r>
      <w:r>
        <w:t xml:space="preserve">- NYC target list ranked:</w:t>
      </w:r>
      <w:r>
        <w:t xml:space="preserve"> </w:t>
      </w:r>
      <w:r>
        <w:rPr>
          <w:b/>
          <w:bCs/>
        </w:rPr>
        <w:t xml:space="preserve">Hebbia #1</w:t>
      </w:r>
      <w:r>
        <w:t xml:space="preserve"> </w:t>
      </w:r>
      <w:r>
        <w:t xml:space="preserve">composite (F4 + F2 + F3 triple-converged). Sierra #2 (brand-prestige + cleanest secondary liquidity). Rogo #3 (NYC FinServ vertical-data). Harvey + Glean tied #4.</w:t>
      </w:r>
      <w:r>
        <w:t xml:space="preserve"> </w:t>
      </w:r>
      <w:r>
        <w:t xml:space="preserve">- MBB-network 30-day push: Berger BCG → Hebbia Feb 2026; Park McKinsey → Sierra Mar 2026; Sinclair Bain → Harvey Apr 2026 — pipeline activated.</w:t>
      </w:r>
      <w:r>
        <w:t xml:space="preserve"> </w:t>
      </w:r>
      <w:r>
        <w:t xml:space="preserve">- Foundation-lab AE departure (OpenAI/Anthropic NYC enterprise → Sierra/Hebbia/Decagon) emerging as 4th feed-stock — watch Q2–Q3 2026.</w:t>
      </w:r>
      <w:r>
        <w:t xml:space="preserve"> </w:t>
      </w:r>
      <w:r>
        <w:t xml:space="preserve">- Bet-C5 — Common Room senior PMM/GTM operator path PROMOTED as Bet #2 sub-target. Decidability event: Common Room roadmap reveal ~2 quarters out.</w:t>
      </w:r>
      <w:r>
        <w:t xml:space="preserve"> </w:t>
      </w:r>
      <w:r>
        <w:t xml:space="preserve">- Bet-C8 — Deal-Diagnosis Causation Engine WATCHED as a future Bet #2 operator-target if a credible startup emerges in (6, E) cell.</w:t>
      </w:r>
    </w:p>
    <w:p>
      <w:pPr>
        <w:pStyle w:val="BodyText"/>
      </w:pPr>
      <w:r>
        <w:rPr>
          <w:b/>
          <w:bCs/>
        </w:rPr>
        <w:t xml:space="preserve">Falsifiability:</w:t>
      </w:r>
      <w:r>
        <w:t xml:space="preserve"> </w:t>
      </w:r>
      <w:r>
        <w:t xml:space="preserve">If 6 months focused NYC search yields no offers in the band, either the profile bet is wrong or the market is more SF-anchored than the talent flow suggests.</w:t>
      </w:r>
    </w:p>
    <w:p>
      <w:pPr>
        <w:pStyle w:val="BodyText"/>
      </w:pPr>
      <w:r>
        <w:rPr>
          <w:b/>
          <w:bCs/>
        </w:rPr>
        <w:t xml:space="preserve">Current status:</w:t>
      </w:r>
      <w:r>
        <w:t xml:space="preserve"> </w:t>
      </w:r>
      <w:r>
        <w:t xml:space="preserve">Active job search. Network ramp. MBB-network outreach 30-day push opening Q3 2026.</w:t>
      </w:r>
    </w:p>
    <w:p>
      <w:pPr>
        <w:pStyle w:val="BodyText"/>
      </w:pPr>
      <w:r>
        <w:rPr>
          <w:b/>
          <w:bCs/>
        </w:rPr>
        <w:t xml:space="preserve">Leading indicators to watch:</w:t>
      </w:r>
      <w:r>
        <w:t xml:space="preserve"> </w:t>
      </w:r>
      <w:r>
        <w:t xml:space="preserve">- LinkedIn job alerts: Hebbia, Sierra (NYC), Decagon, Glean, Harvey, Hippocratic, Augment, Rogo, Clay, Runway, Ramp AI org, Common Room</w:t>
      </w:r>
      <w:r>
        <w:t xml:space="preserve"> </w:t>
      </w:r>
      <w:r>
        <w:t xml:space="preserve">- Hebbia / Rogo / Augment Series C up-round announcement (equity-band reprice = window-close event)</w:t>
      </w:r>
      <w:r>
        <w:t xml:space="preserve"> </w:t>
      </w:r>
      <w:r>
        <w:t xml:space="preserve">- Sierra NYC office hiring cadence (Bret Taylor’s monthly NYC presence)</w:t>
      </w:r>
      <w:r>
        <w:t xml:space="preserve"> </w:t>
      </w:r>
      <w:r>
        <w:t xml:space="preserve">- Anthropic NYC enterprise headcount (proxy for whole market)</w:t>
      </w:r>
      <w:r>
        <w:t xml:space="preserve"> </w:t>
      </w:r>
      <w:r>
        <w:t xml:space="preserve">- MBB AI-practice alumni LinkedIn changes</w:t>
      </w:r>
      <w:r>
        <w:t xml:space="preserve"> </w:t>
      </w:r>
      <w:r>
        <w:t xml:space="preserve">- Foundation-lab NYC AE departure clusters</w:t>
      </w:r>
    </w:p>
    <w:p>
      <w:pPr>
        <w:pStyle w:val="BodyText"/>
      </w:pPr>
      <w:r>
        <w:rPr>
          <w:b/>
          <w:bCs/>
        </w:rPr>
        <w:t xml:space="preserve">Conviction:</w:t>
      </w:r>
      <w:r>
        <w:t xml:space="preserve"> </w:t>
      </w:r>
      <w:r>
        <w:t xml:space="preserve">★★★★★ — held with sharpened target ranking.</w:t>
      </w:r>
    </w:p>
    <w:p>
      <w:pPr>
        <w:pStyle w:val="BodyText"/>
      </w:pPr>
      <w:r>
        <w:rPr>
          <w:b/>
          <w:bCs/>
        </w:rPr>
        <w:t xml:space="preserve">Next action:</w:t>
      </w:r>
      <w:r>
        <w:t xml:space="preserve"> </w:t>
      </w:r>
      <w:r>
        <w:t xml:space="preserve">MBB-network 30-day push opens parallel pipeline to Hebbia. Second-degree intros via Stripe/Ramp/MBB alumni. Weekly Sierra/Hebbia/Rogo posting check. Time offer</w:t>
      </w:r>
      <w:r>
        <w:t xml:space="preserve"> </w:t>
      </w:r>
      <w:r>
        <w:rPr>
          <w:b/>
          <w:bCs/>
        </w:rPr>
        <w:t xml:space="preserve">before</w:t>
      </w:r>
      <w:r>
        <w:t xml:space="preserve"> </w:t>
      </w:r>
      <w:r>
        <w:t xml:space="preserve">Anthropic ARR Q3 2026 resolution if conviction high;</w:t>
      </w:r>
      <w:r>
        <w:t xml:space="preserve"> </w:t>
      </w:r>
      <w:r>
        <w:rPr>
          <w:b/>
          <w:bCs/>
        </w:rPr>
        <w:t xml:space="preserve">after</w:t>
      </w:r>
      <w:r>
        <w:t xml:space="preserve"> </w:t>
      </w:r>
      <w:r>
        <w:t xml:space="preserve">if wobbly.</w:t>
      </w:r>
    </w:p>
    <w:p>
      <w:r>
        <w:pict>
          <v:rect style="width:0;height:1.5pt" o:hralign="center" o:hrstd="t" o:hr="t"/>
        </w:pict>
      </w:r>
    </w:p>
    <w:bookmarkEnd w:id="161"/>
    <w:bookmarkStart w:id="162" w:name="X28d3b546968112866412563c804b88ea304611b"/>
    <w:p>
      <w:pPr>
        <w:pStyle w:val="Heading3"/>
      </w:pPr>
      <w:r>
        <w:t xml:space="preserve">Bet #3 — Advisory + Gateway-Adjacent Practice (SPLIT INTO 3a + 3b)</w:t>
      </w:r>
    </w:p>
    <w:p>
      <w:pPr>
        <w:pStyle w:val="FirstParagraph"/>
      </w:pPr>
      <w:r>
        <w:rPr>
          <w:b/>
          <w:bCs/>
        </w:rPr>
        <w:t xml:space="preserve">The play (3a):</w:t>
      </w:r>
      <w:r>
        <w:t xml:space="preserve"> </w:t>
      </w:r>
      <w:r>
        <w:t xml:space="preserve">Pair-with-Cloudflare / Kong / Pomerium positioning. Advisory practice compounding on Bet #1’s Playbook + open-spec authority. Runs</w:t>
      </w:r>
      <w:r>
        <w:t xml:space="preserve"> </w:t>
      </w:r>
      <w:r>
        <w:rPr>
          <w:b/>
          <w:bCs/>
        </w:rPr>
        <w:t xml:space="preserve">concurrent with Bet #1</w:t>
      </w:r>
      <w:r>
        <w:t xml:space="preserve"> </w:t>
      </w:r>
      <w:r>
        <w:t xml:space="preserve">from H2 2026.</w:t>
      </w:r>
      <w:r>
        <w:t xml:space="preserve"> </w:t>
      </w:r>
      <w:r>
        <w:rPr>
          <w:b/>
          <w:bCs/>
        </w:rPr>
        <w:t xml:space="preserve">The play (3b):</w:t>
      </w:r>
      <w:r>
        <w:t xml:space="preserve"> </w:t>
      </w:r>
      <w:r>
        <w:t xml:space="preserve">Productized MCP servers — parked per Volume III reframe. F2 confirmed minimal Power footing.</w:t>
      </w:r>
    </w:p>
    <w:p>
      <w:pPr>
        <w:pStyle w:val="BodyText"/>
      </w:pPr>
      <w:r>
        <w:rPr>
          <w:b/>
          <w:bCs/>
        </w:rPr>
        <w:t xml:space="preserve">Hypothesis (refined):</w:t>
      </w:r>
      <w:r>
        <w:t xml:space="preserve"> </w:t>
      </w:r>
      <w:r>
        <w:t xml:space="preserve">F1 (Wardley) flagged PE-4 (MCP gateways → Product H2 2026) as a compression event that closes the advisory window faster than Volume III modeled. If Bet #3a is deferred to post-Bet #1 publish, the gateway-control-plane window may already be closing. Therefore: 3a runs concurrent with #1 publication, not sequenced after.</w:t>
      </w:r>
    </w:p>
    <w:p>
      <w:pPr>
        <w:pStyle w:val="BodyText"/>
      </w:pPr>
      <w:r>
        <w:rPr>
          <w:b/>
          <w:bCs/>
        </w:rPr>
        <w:t xml:space="preserve">Volume IV deltas:</w:t>
      </w:r>
      <w:r>
        <w:t xml:space="preserve"> </w:t>
      </w:r>
      <w:r>
        <w:t xml:space="preserve">- Split: 3a advisory + gateway-pair = concurrent w/ Bet #1; 3b productized = parked.</w:t>
      </w:r>
      <w:r>
        <w:t xml:space="preserve"> </w:t>
      </w:r>
      <w:r>
        <w:t xml:space="preserve">- Process Power flavor (operational scar-tissue) + Branding flavor (canonical voice via Playbook) compound across 3a + #1.</w:t>
      </w:r>
      <w:r>
        <w:t xml:space="preserve"> </w:t>
      </w:r>
      <w:r>
        <w:t xml:space="preserve">- Cloudflare AI Gateway is the highest-OCQ gateway play (~16/20 per C6); Kong ~14; Pomerium ~11; Lakera ~13.</w:t>
      </w:r>
    </w:p>
    <w:p>
      <w:pPr>
        <w:pStyle w:val="BodyText"/>
      </w:pPr>
      <w:r>
        <w:rPr>
          <w:b/>
          <w:bCs/>
        </w:rPr>
        <w:t xml:space="preserve">Falsifiability:</w:t>
      </w:r>
      <w:r>
        <w:t xml:space="preserve"> </w:t>
      </w:r>
      <w:r>
        <w:t xml:space="preserve">MCP forks (Crux C2 — H2 2026 decidability). 3a survives a fork better than 3b — gateway-control-plane advisory works on either schema.</w:t>
      </w:r>
    </w:p>
    <w:p>
      <w:pPr>
        <w:pStyle w:val="BodyText"/>
      </w:pPr>
      <w:r>
        <w:rPr>
          <w:b/>
          <w:bCs/>
        </w:rPr>
        <w:t xml:space="preserve">Conviction:</w:t>
      </w:r>
      <w:r>
        <w:t xml:space="preserve"> </w:t>
      </w:r>
      <w:r>
        <w:t xml:space="preserve">★★★★ — held with shape change.</w:t>
      </w:r>
    </w:p>
    <w:p>
      <w:pPr>
        <w:pStyle w:val="BodyText"/>
      </w:pPr>
      <w:r>
        <w:rPr>
          <w:b/>
          <w:bCs/>
        </w:rPr>
        <w:t xml:space="preserve">Next action:</w:t>
      </w:r>
      <w:r>
        <w:t xml:space="preserve"> </w:t>
      </w:r>
      <w:r>
        <w:t xml:space="preserve">Q2 2026 audit of 10 SaaS systems most lacking MCP servers (filter by Job 1 / Job 4 outcomes). Open Cloudflare gateway-partner conversation Q3 2026.</w:t>
      </w:r>
    </w:p>
    <w:p>
      <w:r>
        <w:pict>
          <v:rect style="width:0;height:1.5pt" o:hralign="center" o:hrstd="t" o:hr="t"/>
        </w:pict>
      </w:r>
    </w:p>
    <w:bookmarkEnd w:id="162"/>
    <w:bookmarkStart w:id="163" w:name="X313502d221e32adce6e4f8625c03b6241e33b7a"/>
    <w:p>
      <w:pPr>
        <w:pStyle w:val="Heading3"/>
      </w:pPr>
      <w:r>
        <w:t xml:space="preserve">Bet #4 — FinOps for Tokens / Per-Trajectory (SUBSUMED into Bet #1)</w:t>
      </w:r>
    </w:p>
    <w:p>
      <w:pPr>
        <w:pStyle w:val="FirstParagraph"/>
      </w:pPr>
      <w:r>
        <w:rPr>
          <w:b/>
          <w:bCs/>
        </w:rPr>
        <w:t xml:space="preserve">The play:</w:t>
      </w:r>
      <w:r>
        <w:t xml:space="preserve"> </w:t>
      </w:r>
      <w:r>
        <w:t xml:space="preserve">Module §III.8 of the Procurement Playbook — per-token + per-trajectory FinOps audit as one of the seven overlays. Free first audit for 1–2 mid-market AI-spending companies; case study lifts into Playbook.</w:t>
      </w:r>
    </w:p>
    <w:p>
      <w:pPr>
        <w:pStyle w:val="BodyText"/>
      </w:pPr>
      <w:r>
        <w:rPr>
          <w:b/>
          <w:bCs/>
        </w:rPr>
        <w:t xml:space="preserve">Volume IV deltas:</w:t>
      </w:r>
      <w:r>
        <w:t xml:space="preserve"> </w:t>
      </w:r>
      <w:r>
        <w:t xml:space="preserve">- F6: Anthropic Claude Agent SDK 2.0 (Apr 2026) + OpenAI Responses API expose per-trajectory billing — 30–60% savings on multi-hop trajectories at $1M+ AI spend. Real, audit-able.</w:t>
      </w:r>
      <w:r>
        <w:t xml:space="preserve"> </w:t>
      </w:r>
      <w:r>
        <w:t xml:space="preserve">- F1: window 12–18 months before AWS Bedrock auto-routing default-on (H2 2027) bundles.</w:t>
      </w:r>
      <w:r>
        <w:t xml:space="preserve"> </w:t>
      </w:r>
      <w:r>
        <w:t xml:space="preserve">- Standalone services practice abandoned; audit module rides inside Playbook.</w:t>
      </w:r>
    </w:p>
    <w:p>
      <w:pPr>
        <w:pStyle w:val="BodyText"/>
      </w:pPr>
      <w:r>
        <w:rPr>
          <w:b/>
          <w:bCs/>
        </w:rPr>
        <w:t xml:space="preserve">Conviction:</w:t>
      </w:r>
      <w:r>
        <w:t xml:space="preserve"> </w:t>
      </w:r>
      <w:r>
        <w:t xml:space="preserve">★★★★ subsumed.</w:t>
      </w:r>
    </w:p>
    <w:p>
      <w:pPr>
        <w:pStyle w:val="BodyText"/>
      </w:pPr>
      <w:r>
        <w:rPr>
          <w:b/>
          <w:bCs/>
        </w:rPr>
        <w:t xml:space="preserve">Next action:</w:t>
      </w:r>
      <w:r>
        <w:t xml:space="preserve"> </w:t>
      </w:r>
      <w:r>
        <w:t xml:space="preserve">First audit lined up Q3 2026. Case study → Playbook §III.8.</w:t>
      </w:r>
    </w:p>
    <w:p>
      <w:r>
        <w:pict>
          <v:rect style="width:0;height:1.5pt" o:hralign="center" o:hrstd="t" o:hr="t"/>
        </w:pict>
      </w:r>
    </w:p>
    <w:bookmarkEnd w:id="163"/>
    <w:bookmarkStart w:id="164" w:name="X30db36d9b4f9316c8f824a7fd419d9d25a25622"/>
    <w:p>
      <w:pPr>
        <w:pStyle w:val="Heading3"/>
      </w:pPr>
      <w:r>
        <w:t xml:space="preserve">Bet #5 — Memory + RAG Architecture (SUBSUMED + Bet-C9 promotion)</w:t>
      </w:r>
    </w:p>
    <w:p>
      <w:pPr>
        <w:pStyle w:val="FirstParagraph"/>
      </w:pPr>
      <w:r>
        <w:rPr>
          <w:b/>
          <w:bCs/>
        </w:rPr>
        <w:t xml:space="preserve">The play:</w:t>
      </w:r>
      <w:r>
        <w:t xml:space="preserve"> </w:t>
      </w:r>
      <w:r>
        <w:t xml:space="preserve">Memory-architecture overlay within Bet #1 Playbook. Bet-C9 (Persistent Memory as Service Line) promoted as Q3 2026 productization vector AFTER Playbook earns trust.</w:t>
      </w:r>
    </w:p>
    <w:p>
      <w:pPr>
        <w:pStyle w:val="BodyText"/>
      </w:pPr>
      <w:r>
        <w:rPr>
          <w:b/>
          <w:bCs/>
        </w:rPr>
        <w:t xml:space="preserve">Volume IV deltas:</w:t>
      </w:r>
      <w:r>
        <w:t xml:space="preserve"> </w:t>
      </w:r>
      <w:r>
        <w:t xml:space="preserve">- F2: least Power-footed of 7 Bets standalone.</w:t>
      </w:r>
      <w:r>
        <w:t xml:space="preserve"> </w:t>
      </w:r>
      <w:r>
        <w:t xml:space="preserve">- F3: most-JTBD-validated. L-column lights up at 3/5 GTM-org jobs.</w:t>
      </w:r>
      <w:r>
        <w:t xml:space="preserve"> </w:t>
      </w:r>
      <w:r>
        <w:t xml:space="preserve">- Reconciliation: subsume standalone, promote Bet-C9 productization at trust-earned gate.</w:t>
      </w:r>
      <w:r>
        <w:t xml:space="preserve"> </w:t>
      </w:r>
      <w:r>
        <w:t xml:space="preserve">- Anchor cells: (6, L) AE memory · (11, L) renewal memory · (12, L) forecasting decay · (10, L) per-customer CX · (9, L) counterparty memory.</w:t>
      </w:r>
    </w:p>
    <w:p>
      <w:pPr>
        <w:pStyle w:val="BodyText"/>
      </w:pPr>
      <w:r>
        <w:rPr>
          <w:b/>
          <w:bCs/>
        </w:rPr>
        <w:t xml:space="preserve">Conviction:</w:t>
      </w:r>
      <w:r>
        <w:t xml:space="preserve"> </w:t>
      </w:r>
      <w:r>
        <w:t xml:space="preserve">★★★★ subsumed standalone; Bet-C9 ★★★ pending trust-earned gate.</w:t>
      </w:r>
    </w:p>
    <w:p>
      <w:pPr>
        <w:pStyle w:val="BodyText"/>
      </w:pPr>
      <w:r>
        <w:rPr>
          <w:b/>
          <w:bCs/>
        </w:rPr>
        <w:t xml:space="preserve">Next action:</w:t>
      </w:r>
      <w:r>
        <w:t xml:space="preserve"> </w:t>
      </w:r>
      <w:r>
        <w:t xml:space="preserve">Modules ride inside Playbook; revisit Bet-C9 productization at Q3 2026.</w:t>
      </w:r>
    </w:p>
    <w:p>
      <w:r>
        <w:pict>
          <v:rect style="width:0;height:1.5pt" o:hralign="center" o:hrstd="t" o:hr="t"/>
        </w:pict>
      </w:r>
    </w:p>
    <w:bookmarkEnd w:id="164"/>
    <w:bookmarkStart w:id="165" w:name="X98be123ea14def90b430b03ba27700bbfcb635d"/>
    <w:p>
      <w:pPr>
        <w:pStyle w:val="Heading3"/>
      </w:pPr>
      <w:r>
        <w:t xml:space="preserve">Bet #6 — Operator Translation Newsletter (REFRAMED as distribution)</w:t>
      </w:r>
    </w:p>
    <w:p>
      <w:pPr>
        <w:pStyle w:val="FirstParagraph"/>
      </w:pPr>
      <w:r>
        <w:rPr>
          <w:b/>
          <w:bCs/>
        </w:rPr>
        <w:t xml:space="preserve">The play:</w:t>
      </w:r>
      <w:r>
        <w:t xml:space="preserve"> </w:t>
      </w:r>
      <w:r>
        <w:t xml:space="preserve">Distribution layer for Bets #1–3. Weekly/bi-weekly translation of frontier capabilities into specific operator implications. Cross-pollinate with Playbook downloads.</w:t>
      </w:r>
    </w:p>
    <w:p>
      <w:pPr>
        <w:pStyle w:val="BodyText"/>
      </w:pPr>
      <w:r>
        <w:rPr>
          <w:b/>
          <w:bCs/>
        </w:rPr>
        <w:t xml:space="preserve">Volume IV deltas:</w:t>
      </w:r>
      <w:r>
        <w:t xml:space="preserve"> </w:t>
      </w:r>
      <w:r>
        <w:t xml:space="preserve">- F3: standalone most-threatens itself; reframe required.</w:t>
      </w:r>
      <w:r>
        <w:t xml:space="preserve"> </w:t>
      </w:r>
      <w:r>
        <w:t xml:space="preserve">- Newsletter becomes Bet #1’s distribution channel + Bet #3a’s positioning broadcast + Bet #2’s intellectual public artifact.</w:t>
      </w:r>
    </w:p>
    <w:p>
      <w:pPr>
        <w:pStyle w:val="BodyText"/>
      </w:pPr>
      <w:r>
        <w:rPr>
          <w:b/>
          <w:bCs/>
        </w:rPr>
        <w:t xml:space="preserve">Conviction:</w:t>
      </w:r>
      <w:r>
        <w:t xml:space="preserve"> </w:t>
      </w:r>
      <w:r>
        <w:t xml:space="preserve">★★★ held, repositioned.</w:t>
      </w:r>
    </w:p>
    <w:p>
      <w:pPr>
        <w:pStyle w:val="BodyText"/>
      </w:pPr>
      <w:r>
        <w:rPr>
          <w:b/>
          <w:bCs/>
        </w:rPr>
        <w:t xml:space="preserve">Falsifiability:</w:t>
      </w:r>
      <w:r>
        <w:t xml:space="preserve"> </w:t>
      </w:r>
      <w:r>
        <w:t xml:space="preserve">&lt;2K subscribers / no inbound role/advisory by month 6 = kill or commit harder.</w:t>
      </w:r>
    </w:p>
    <w:p>
      <w:pPr>
        <w:pStyle w:val="BodyText"/>
      </w:pPr>
      <w:r>
        <w:rPr>
          <w:b/>
          <w:bCs/>
        </w:rPr>
        <w:t xml:space="preserve">Next action:</w:t>
      </w:r>
      <w:r>
        <w:t xml:space="preserve"> </w:t>
      </w:r>
      <w:r>
        <w:t xml:space="preserve">Kit v1 Week 4 of Q3 2026 (after Playbook outline locked).</w:t>
      </w:r>
    </w:p>
    <w:p>
      <w:r>
        <w:pict>
          <v:rect style="width:0;height:1.5pt" o:hralign="center" o:hrstd="t" o:hr="t"/>
        </w:pict>
      </w:r>
    </w:p>
    <w:bookmarkEnd w:id="165"/>
    <w:bookmarkStart w:id="166" w:name="Xeea95abee84289a2c8d4439cc5e1920a2202f01"/>
    <w:p>
      <w:pPr>
        <w:pStyle w:val="Heading3"/>
      </w:pPr>
      <w:r>
        <w:t xml:space="preserve">Bet #7 — VC Operating Partner Path (HELD as fallback)</w:t>
      </w:r>
    </w:p>
    <w:p>
      <w:pPr>
        <w:pStyle w:val="FirstParagraph"/>
      </w:pPr>
      <w:r>
        <w:rPr>
          <w:b/>
          <w:bCs/>
        </w:rPr>
        <w:t xml:space="preserve">The play:</w:t>
      </w:r>
      <w:r>
        <w:t xml:space="preserve"> </w:t>
      </w:r>
      <w:r>
        <w:t xml:space="preserve">Long-arc fallback. Operating Partner / Platform role at Tier 1–2 NYC VC fund.</w:t>
      </w:r>
    </w:p>
    <w:p>
      <w:pPr>
        <w:pStyle w:val="BodyText"/>
      </w:pPr>
      <w:r>
        <w:rPr>
          <w:b/>
          <w:bCs/>
        </w:rPr>
        <w:t xml:space="preserve">Volume IV deltas:</w:t>
      </w:r>
      <w:r>
        <w:t xml:space="preserve"> </w:t>
      </w:r>
      <w:r>
        <w:t xml:space="preserve">None material. Background networking only.</w:t>
      </w:r>
    </w:p>
    <w:p>
      <w:pPr>
        <w:pStyle w:val="BodyText"/>
      </w:pPr>
      <w:r>
        <w:rPr>
          <w:b/>
          <w:bCs/>
        </w:rPr>
        <w:t xml:space="preserve">Conviction:</w:t>
      </w:r>
      <w:r>
        <w:t xml:space="preserve"> </w:t>
      </w:r>
      <w:r>
        <w:t xml:space="preserve">★★★ held; ★★★★ if becomes primary.</w:t>
      </w:r>
    </w:p>
    <w:p>
      <w:pPr>
        <w:pStyle w:val="BodyText"/>
      </w:pPr>
      <w:r>
        <w:rPr>
          <w:b/>
          <w:bCs/>
        </w:rPr>
        <w:t xml:space="preserve">Next action:</w:t>
      </w:r>
      <w:r>
        <w:t xml:space="preserve"> </w:t>
      </w:r>
      <w:r>
        <w:t xml:space="preserve">Relationships at 3 NYC funds via RAAIS / Betaworks / FirstMark MAD events. No active applications until Q4 2026.</w:t>
      </w:r>
    </w:p>
    <w:p>
      <w:r>
        <w:pict>
          <v:rect style="width:0;height:1.5pt" o:hralign="center" o:hrstd="t" o:hr="t"/>
        </w:pict>
      </w:r>
    </w:p>
    <w:bookmarkEnd w:id="166"/>
    <w:bookmarkEnd w:id="167"/>
    <w:bookmarkStart w:id="172" w:name="b.-agent-gtm-talent-capital-flow"/>
    <w:p>
      <w:pPr>
        <w:pStyle w:val="Heading2"/>
      </w:pPr>
      <w:r>
        <w:t xml:space="preserve">B. AGENT-GTM TALENT + CAPITAL FLOW</w:t>
      </w:r>
    </w:p>
    <w:bookmarkStart w:id="168" w:name="X6e22cfbfc95aad8aa630d4d3db4b8e0cb80738a"/>
    <w:p>
      <w:pPr>
        <w:pStyle w:val="Heading3"/>
      </w:pPr>
      <w:r>
        <w:t xml:space="preserve">B1. Senior moves into agent-GTM companies (NYC focus)</w:t>
      </w:r>
    </w:p>
    <w:p>
      <w:pPr>
        <w:pStyle w:val="FirstParagraph"/>
      </w:pPr>
      <w:r>
        <w:t xml:space="preserve">See</w:t>
      </w:r>
      <w:r>
        <w:t xml:space="preserve"> </w:t>
      </w:r>
      <w:r>
        <w:rPr>
          <w:rStyle w:val="VerbatimChar"/>
        </w:rPr>
        <w:t xml:space="preserve">wave1_F4.md</w:t>
      </w:r>
      <w:r>
        <w:t xml:space="preserve"> </w:t>
      </w:r>
      <w:r>
        <w:t xml:space="preserve">§F4.1 for the full 27-row table. Bi-weekly update here.</w:t>
      </w:r>
    </w:p>
    <w:p>
      <w:pPr>
        <w:pStyle w:val="BodyText"/>
      </w:pPr>
      <w:r>
        <w:rPr>
          <w:b/>
          <w:bCs/>
        </w:rPr>
        <w:t xml:space="preserve">May 2026 read-through:</w:t>
      </w:r>
      <w:r>
        <w:t xml:space="preserve"> </w:t>
      </w:r>
      <w:r>
        <w:t xml:space="preserve">- Stripe / Ramp / Datadog / Snowflake → Sierra / Decagon / Glean / Hippocratic</w:t>
      </w:r>
      <w:r>
        <w:t xml:space="preserve"> </w:t>
      </w:r>
      <w:r>
        <w:rPr>
          <w:b/>
          <w:bCs/>
        </w:rPr>
        <w:t xml:space="preserve">accelerating</w:t>
      </w:r>
      <w:r>
        <w:t xml:space="preserve">; March 2026 heaviest single month yet (8+ named LinkedIn moves).</w:t>
      </w:r>
      <w:r>
        <w:t xml:space="preserve"> </w:t>
      </w:r>
      <w:r>
        <w:t xml:space="preserve">-</w:t>
      </w:r>
      <w:r>
        <w:t xml:space="preserve"> </w:t>
      </w:r>
      <w:r>
        <w:rPr>
          <w:b/>
          <w:bCs/>
        </w:rPr>
        <w:t xml:space="preserve">MBB consulting → vertical agent activated Feb–Apr 2026:</w:t>
      </w:r>
      <w:r>
        <w:t xml:space="preserve"> </w:t>
      </w:r>
      <w:r>
        <w:t xml:space="preserve">Berger BCG → Hebbia Feb 2026; Park McKinsey → Sierra Mar 2026; Sinclair Bain → Harvey Apr 2026.</w:t>
      </w:r>
      <w:r>
        <w:t xml:space="preserve"> </w:t>
      </w:r>
      <w:r>
        <w:t xml:space="preserve">- Foundation-lab AE departure (OpenAI/Anthropic NYC enterprise) → emerging Q2 2026, watch.</w:t>
      </w:r>
      <w:r>
        <w:t xml:space="preserve"> </w:t>
      </w:r>
      <w:r>
        <w:t xml:space="preserve">- Over-funded under-performers (11x, Mem, Magic.dev, Adept residual) shedding senior talent to segment winners — supply rising while top equity rooms tighten.</w:t>
      </w:r>
    </w:p>
    <w:bookmarkEnd w:id="168"/>
    <w:bookmarkStart w:id="169" w:name="X42c75cf61a9abf6e360fc5f96bc45eb0c31de8a"/>
    <w:p>
      <w:pPr>
        <w:pStyle w:val="Heading3"/>
      </w:pPr>
      <w:r>
        <w:t xml:space="preserve">B2. Capital events ($50M+ agent-GTM rounds, M&amp;A)</w:t>
      </w:r>
    </w:p>
    <w:p>
      <w:pPr>
        <w:pStyle w:val="FirstParagraph"/>
      </w:pPr>
      <w:r>
        <w:t xml:space="preserve">See</w:t>
      </w:r>
      <w:r>
        <w:t xml:space="preserve"> </w:t>
      </w:r>
      <w:r>
        <w:rPr>
          <w:rStyle w:val="VerbatimChar"/>
        </w:rPr>
        <w:t xml:space="preserve">wave1_F4.md</w:t>
      </w:r>
      <w:r>
        <w:t xml:space="preserve"> </w:t>
      </w:r>
      <w:r>
        <w:t xml:space="preserve">§F4.3 for full Q4’25–Q2’26 table.</w:t>
      </w:r>
    </w:p>
    <w:p>
      <w:pPr>
        <w:pStyle w:val="BodyText"/>
      </w:pPr>
      <w:r>
        <w:rPr>
          <w:b/>
          <w:bCs/>
        </w:rPr>
        <w:t xml:space="preserve">Most recent (Q1–Q2 2026):</w:t>
      </w:r>
      <w:r>
        <w:t xml:space="preserve"> </w:t>
      </w:r>
      <w:r>
        <w:t xml:space="preserve">- Mar 2026 — Sierra additional $350M @ $10B rumored</w:t>
      </w:r>
      <w:r>
        <w:t xml:space="preserve"> </w:t>
      </w:r>
      <w:r>
        <w:t xml:space="preserve">- Mar 2026 — Cognition acquires Codeium ~$3B</w:t>
      </w:r>
      <w:r>
        <w:t xml:space="preserve"> </w:t>
      </w:r>
      <w:r>
        <w:t xml:space="preserve">- Feb 2026 — Harvey E $300M @ $5B · Hippocratic C $150M @ $2B · Factory B $100M @ $750M</w:t>
      </w:r>
      <w:r>
        <w:t xml:space="preserve"> </w:t>
      </w:r>
      <w:r>
        <w:t xml:space="preserve">- Jan 2026 — Lovable A $200M @ $1.8B · Clay growth $100M @ $1.5B · Rogo B $50M @ $400M · Perplexity E $500M @ $18B</w:t>
      </w:r>
      <w:r>
        <w:t xml:space="preserve"> </w:t>
      </w:r>
      <w:r>
        <w:t xml:space="preserve">- Apr 2026 — ElevenLabs D rumor $5B+ · Galileo C rumor ~$60M</w:t>
      </w:r>
      <w:r>
        <w:t xml:space="preserve"> </w:t>
      </w:r>
      <w:r>
        <w:t xml:space="preserve">- Q2 2026 — Ramp growth rumored $20B+ · Hebbia C rumored</w:t>
      </w:r>
    </w:p>
    <w:bookmarkEnd w:id="169"/>
    <w:bookmarkStart w:id="170" w:name="b3.-agent-gtm-arr-watchlist-may-2026"/>
    <w:p>
      <w:pPr>
        <w:pStyle w:val="Heading3"/>
      </w:pPr>
      <w:r>
        <w:t xml:space="preserve">B3. Agent-GTM ARR watchlist (May 2026)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T12 → RR May’26</w:t>
            </w:r>
          </w:p>
        </w:tc>
        <w:tc>
          <w:tcPr/>
          <w:p>
            <w:pPr>
              <w:pStyle w:val="Compact"/>
            </w:pPr>
            <w:r>
              <w:t xml:space="preserve">Sector</w:t>
            </w:r>
          </w:p>
        </w:tc>
        <w:tc>
          <w:tcPr/>
          <w:p>
            <w:pPr>
              <w:pStyle w:val="Compact"/>
            </w:pPr>
            <w:r>
              <w:t xml:space="preserve">Note</w:t>
            </w:r>
          </w:p>
        </w:tc>
      </w:tr>
      <w:tr>
        <w:tc>
          <w:tcPr/>
          <w:p>
            <w:pPr>
              <w:pStyle w:val="Compact"/>
            </w:pPr>
            <w:r>
              <w:t xml:space="preserve">Sierra [IX]</w:t>
            </w:r>
          </w:p>
        </w:tc>
        <w:tc>
          <w:tcPr/>
          <w:p>
            <w:pPr>
              <w:pStyle w:val="Compact"/>
            </w:pPr>
            <w:r>
              <w:t xml:space="preserve">$0 → $175M+ Q1’26</w:t>
            </w:r>
          </w:p>
        </w:tc>
        <w:tc>
          <w:tcPr/>
          <w:p>
            <w:pPr>
              <w:pStyle w:val="Compact"/>
            </w:pPr>
            <w:r>
              <w:t xml:space="preserve">CX vertical</w:t>
            </w:r>
          </w:p>
        </w:tc>
        <w:tc>
          <w:tcPr/>
          <w:p>
            <w:pPr>
              <w:pStyle w:val="Compact"/>
            </w:pPr>
            <w:r>
              <w:t xml:space="preserve">Outcome-pricing reference</w:t>
            </w:r>
          </w:p>
        </w:tc>
      </w:tr>
      <w:tr>
        <w:tc>
          <w:tcPr/>
          <w:p>
            <w:pPr>
              <w:pStyle w:val="Compact"/>
            </w:pPr>
            <w:r>
              <w:t xml:space="preserve">Decagon [IX]</w:t>
            </w:r>
          </w:p>
        </w:tc>
        <w:tc>
          <w:tcPr/>
          <w:p>
            <w:pPr>
              <w:pStyle w:val="Compact"/>
            </w:pPr>
            <w:r>
              <w:t xml:space="preserve">$1M 2024 → $80M+</w:t>
            </w:r>
          </w:p>
        </w:tc>
        <w:tc>
          <w:tcPr/>
          <w:p>
            <w:pPr>
              <w:pStyle w:val="Compact"/>
            </w:pPr>
            <w:r>
              <w:t xml:space="preserve">CX vertical</w:t>
            </w:r>
          </w:p>
        </w:tc>
        <w:tc>
          <w:tcPr/>
          <w:p>
            <w:pPr>
              <w:pStyle w:val="Compact"/>
            </w:pPr>
            <w:r>
              <w:t xml:space="preserve">Sierra peer</w:t>
            </w:r>
          </w:p>
        </w:tc>
      </w:tr>
      <w:tr>
        <w:tc>
          <w:tcPr/>
          <w:p>
            <w:pPr>
              <w:pStyle w:val="Compact"/>
            </w:pPr>
            <w:r>
              <w:t xml:space="preserve">Glean [IX]</w:t>
            </w:r>
          </w:p>
        </w:tc>
        <w:tc>
          <w:tcPr/>
          <w:p>
            <w:pPr>
              <w:pStyle w:val="Compact"/>
            </w:pPr>
            <w:r>
              <w:t xml:space="preserve">$50M → $300M+</w:t>
            </w:r>
          </w:p>
        </w:tc>
        <w:tc>
          <w:tcPr/>
          <w:p>
            <w:pPr>
              <w:pStyle w:val="Compact"/>
            </w:pPr>
            <w:r>
              <w:t xml:space="preserve">Enterprise search</w:t>
            </w:r>
          </w:p>
        </w:tc>
        <w:tc>
          <w:tcPr/>
          <w:p>
            <w:pPr>
              <w:pStyle w:val="Compact"/>
            </w:pPr>
            <w:r>
              <w:t xml:space="preserve">Cross-function suite</w:t>
            </w:r>
          </w:p>
        </w:tc>
      </w:tr>
      <w:tr>
        <w:tc>
          <w:tcPr/>
          <w:p>
            <w:pPr>
              <w:pStyle w:val="Compact"/>
            </w:pPr>
            <w:r>
              <w:t xml:space="preserve">Harvey [IX]</w:t>
            </w:r>
          </w:p>
        </w:tc>
        <w:tc>
          <w:tcPr/>
          <w:p>
            <w:pPr>
              <w:pStyle w:val="Compact"/>
            </w:pPr>
            <w:r>
              <w:t xml:space="preserve">$25M → $100M+</w:t>
            </w:r>
          </w:p>
        </w:tc>
        <w:tc>
          <w:tcPr/>
          <w:p>
            <w:pPr>
              <w:pStyle w:val="Compact"/>
            </w:pPr>
            <w:r>
              <w:t xml:space="preserve">Legal vertical</w:t>
            </w:r>
          </w:p>
        </w:tc>
        <w:tc>
          <w:tcPr/>
          <w:p>
            <w:pPr>
              <w:pStyle w:val="Compact"/>
            </w:pPr>
            <w:r>
              <w:t xml:space="preserve">F100 law-firm Cornered Resource</w:t>
            </w:r>
          </w:p>
        </w:tc>
      </w:tr>
      <w:tr>
        <w:tc>
          <w:tcPr/>
          <w:p>
            <w:pPr>
              <w:pStyle w:val="Compact"/>
            </w:pPr>
            <w:r>
              <w:t xml:space="preserve">Hippocratic [IX]</w:t>
            </w:r>
          </w:p>
        </w:tc>
        <w:tc>
          <w:tcPr/>
          <w:p>
            <w:pPr>
              <w:pStyle w:val="Compact"/>
            </w:pPr>
            <w:r>
              <w:t xml:space="preserve">$5M → $50M+</w:t>
            </w:r>
          </w:p>
        </w:tc>
        <w:tc>
          <w:tcPr/>
          <w:p>
            <w:pPr>
              <w:pStyle w:val="Compact"/>
            </w:pPr>
            <w:r>
              <w:t xml:space="preserve">Healthcare voice</w:t>
            </w:r>
          </w:p>
        </w:tc>
        <w:tc>
          <w:tcPr/>
          <w:p>
            <w:pPr>
              <w:pStyle w:val="Compact"/>
            </w:pPr>
            <w:r>
              <w:t xml:space="preserve">NYC anchor</w:t>
            </w:r>
          </w:p>
        </w:tc>
      </w:tr>
      <w:tr>
        <w:tc>
          <w:tcPr/>
          <w:p>
            <w:pPr>
              <w:pStyle w:val="Compact"/>
            </w:pPr>
            <w:r>
              <w:t xml:space="preserve">Abridge [IX]</w:t>
            </w:r>
          </w:p>
        </w:tc>
        <w:tc>
          <w:tcPr/>
          <w:p>
            <w:pPr>
              <w:pStyle w:val="Compact"/>
            </w:pPr>
            <w:r>
              <w:t xml:space="preserve">$50M → $120M+</w:t>
            </w:r>
          </w:p>
        </w:tc>
        <w:tc>
          <w:tcPr/>
          <w:p>
            <w:pPr>
              <w:pStyle w:val="Compact"/>
            </w:pPr>
            <w:r>
              <w:t xml:space="preserve">Healthcare scribe</w:t>
            </w:r>
          </w:p>
        </w:tc>
        <w:tc>
          <w:tcPr/>
          <w:p>
            <w:pPr>
              <w:pStyle w:val="Compact"/>
            </w:pPr>
            <w:r>
              <w:t xml:space="preserve">Fastest healthcare-AI</w:t>
            </w:r>
          </w:p>
        </w:tc>
      </w:tr>
      <w:tr>
        <w:tc>
          <w:tcPr/>
          <w:p>
            <w:pPr>
              <w:pStyle w:val="Compact"/>
            </w:pPr>
            <w:r>
              <w:t xml:space="preserve">Cursor [IX]</w:t>
            </w:r>
          </w:p>
        </w:tc>
        <w:tc>
          <w:tcPr/>
          <w:p>
            <w:pPr>
              <w:pStyle w:val="Compact"/>
            </w:pPr>
            <w:r>
              <w:t xml:space="preserve">&lt;$1M → $500M+</w:t>
            </w:r>
          </w:p>
        </w:tc>
        <w:tc>
          <w:tcPr/>
          <w:p>
            <w:pPr>
              <w:pStyle w:val="Compact"/>
            </w:pPr>
            <w:r>
              <w:t xml:space="preserve">Dev IDE</w:t>
            </w:r>
          </w:p>
        </w:tc>
        <w:tc>
          <w:tcPr/>
          <w:p>
            <w:pPr>
              <w:pStyle w:val="Compact"/>
            </w:pPr>
            <w:r>
              <w:t xml:space="preserve">Anthropic-dependent</w:t>
            </w:r>
          </w:p>
        </w:tc>
      </w:tr>
      <w:tr>
        <w:tc>
          <w:tcPr/>
          <w:p>
            <w:pPr>
              <w:pStyle w:val="Compact"/>
            </w:pPr>
            <w:r>
              <w:t xml:space="preserve">Hebbia [IX]</w:t>
            </w:r>
          </w:p>
        </w:tc>
        <w:tc>
          <w:tcPr/>
          <w:p>
            <w:pPr>
              <w:pStyle w:val="Compact"/>
            </w:pPr>
            <w:r>
              <w:t xml:space="preserve">$30M → $50M+</w:t>
            </w:r>
          </w:p>
        </w:tc>
        <w:tc>
          <w:tcPr/>
          <w:p>
            <w:pPr>
              <w:pStyle w:val="Compact"/>
            </w:pPr>
            <w:r>
              <w:t xml:space="preserve">FinServ search</w:t>
            </w:r>
          </w:p>
        </w:tc>
        <w:tc>
          <w:tcPr/>
          <w:p>
            <w:pPr>
              <w:pStyle w:val="Compact"/>
            </w:pPr>
            <w:r>
              <w:t xml:space="preserve">NYC HQ;</w:t>
            </w:r>
            <w:r>
              <w:t xml:space="preserve"> </w:t>
            </w:r>
            <w:r>
              <w:rPr>
                <w:b/>
                <w:bCs/>
              </w:rPr>
              <w:t xml:space="preserve">Alex #1 target</w:t>
            </w:r>
          </w:p>
        </w:tc>
      </w:tr>
      <w:tr>
        <w:tc>
          <w:tcPr/>
          <w:p>
            <w:pPr>
              <w:pStyle w:val="Compact"/>
            </w:pPr>
            <w:r>
              <w:t xml:space="preserve">Rogo [IX]</w:t>
            </w:r>
          </w:p>
        </w:tc>
        <w:tc>
          <w:tcPr/>
          <w:p>
            <w:pPr>
              <w:pStyle w:val="Compact"/>
            </w:pPr>
            <w:r>
              <w:t xml:space="preserve">&lt;$5M → $30M+</w:t>
            </w:r>
          </w:p>
        </w:tc>
        <w:tc>
          <w:tcPr/>
          <w:p>
            <w:pPr>
              <w:pStyle w:val="Compact"/>
            </w:pPr>
            <w:r>
              <w:t xml:space="preserve">FinServ banker</w:t>
            </w:r>
          </w:p>
        </w:tc>
        <w:tc>
          <w:tcPr/>
          <w:p>
            <w:pPr>
              <w:pStyle w:val="Compact"/>
            </w:pPr>
            <w:r>
              <w:t xml:space="preserve">NYC; should clear $1B Q3’26</w:t>
            </w:r>
          </w:p>
        </w:tc>
      </w:tr>
      <w:tr>
        <w:tc>
          <w:tcPr/>
          <w:p>
            <w:pPr>
              <w:pStyle w:val="Compact"/>
            </w:pPr>
            <w:r>
              <w:t xml:space="preserve">Clay [IX]</w:t>
            </w:r>
          </w:p>
        </w:tc>
        <w:tc>
          <w:tcPr/>
          <w:p>
            <w:pPr>
              <w:pStyle w:val="Compact"/>
            </w:pPr>
            <w:r>
              <w:t xml:space="preserve">$20M → $80–110M</w:t>
            </w:r>
          </w:p>
        </w:tc>
        <w:tc>
          <w:tcPr/>
          <w:p>
            <w:pPr>
              <w:pStyle w:val="Compact"/>
            </w:pPr>
            <w:r>
              <w:t xml:space="preserve">RevOps enrichment</w:t>
            </w:r>
          </w:p>
        </w:tc>
        <w:tc>
          <w:tcPr/>
          <w:p>
            <w:pPr>
              <w:pStyle w:val="Compact"/>
            </w:pPr>
            <w:r>
              <w:t xml:space="preserve">Only durable RevOps winner</w:t>
            </w:r>
          </w:p>
        </w:tc>
      </w:tr>
      <w:tr>
        <w:tc>
          <w:tcPr/>
          <w:p>
            <w:pPr>
              <w:pStyle w:val="Compact"/>
            </w:pPr>
            <w:r>
              <w:t xml:space="preserve">Common Room [IX]</w:t>
            </w:r>
          </w:p>
        </w:tc>
        <w:tc>
          <w:tcPr/>
          <w:p>
            <w:pPr>
              <w:pStyle w:val="Compact"/>
            </w:pPr>
            <w:r>
              <w:t xml:space="preserve">est ~$30M</w:t>
            </w:r>
          </w:p>
        </w:tc>
        <w:tc>
          <w:tcPr/>
          <w:p>
            <w:pPr>
              <w:pStyle w:val="Compact"/>
            </w:pPr>
            <w:r>
              <w:t xml:space="preserve">PLG signal</w:t>
            </w:r>
          </w:p>
        </w:tc>
        <w:tc>
          <w:tcPr/>
          <w:p>
            <w:pPr>
              <w:pStyle w:val="Compact"/>
            </w:pPr>
            <w:r>
              <w:t xml:space="preserve">Bet-C5 join target</w:t>
            </w:r>
          </w:p>
        </w:tc>
      </w:tr>
      <w:tr>
        <w:tc>
          <w:tcPr/>
          <w:p>
            <w:pPr>
              <w:pStyle w:val="Compact"/>
            </w:pPr>
            <w:r>
              <w:t xml:space="preserve">Augment [IX]</w:t>
            </w:r>
          </w:p>
        </w:tc>
        <w:tc>
          <w:tcPr/>
          <w:p>
            <w:pPr>
              <w:pStyle w:val="Compact"/>
            </w:pPr>
            <w:r>
              <w:t xml:space="preserve">$5M → $40M</w:t>
            </w:r>
          </w:p>
        </w:tc>
        <w:tc>
          <w:tcPr/>
          <w:p>
            <w:pPr>
              <w:pStyle w:val="Compact"/>
            </w:pPr>
            <w:r>
              <w:t xml:space="preserve">Dev IDE enterprise</w:t>
            </w:r>
          </w:p>
        </w:tc>
        <w:tc>
          <w:tcPr/>
          <w:p>
            <w:pPr>
              <w:pStyle w:val="Compact"/>
            </w:pPr>
            <w:r>
              <w:t xml:space="preserve">Under-funded ratio attractive</w:t>
            </w:r>
          </w:p>
        </w:tc>
      </w:tr>
      <w:tr>
        <w:tc>
          <w:tcPr/>
          <w:p>
            <w:pPr>
              <w:pStyle w:val="Compact"/>
            </w:pPr>
            <w:r>
              <w:t xml:space="preserve">11x [IX]</w:t>
            </w:r>
          </w:p>
        </w:tc>
        <w:tc>
          <w:tcPr/>
          <w:p>
            <w:pPr>
              <w:pStyle w:val="Compact"/>
            </w:pPr>
            <w:r>
              <w:t xml:space="preserve">$20M → $20M flat</w:t>
            </w:r>
          </w:p>
        </w:tc>
        <w:tc>
          <w:tcPr/>
          <w:p>
            <w:pPr>
              <w:pStyle w:val="Compact"/>
            </w:pPr>
            <w:r>
              <w:t xml:space="preserve">Synthetic SDR</w:t>
            </w:r>
          </w:p>
        </w:tc>
        <w:tc>
          <w:tcPr/>
          <w:p>
            <w:pPr>
              <w:pStyle w:val="Compact"/>
            </w:pPr>
            <w:r>
              <w:t xml:space="preserve">Ceiling — F2 most-over-rated</w:t>
            </w:r>
          </w:p>
        </w:tc>
      </w:tr>
      <w:tr>
        <w:tc>
          <w:tcPr/>
          <w:p>
            <w:pPr>
              <w:pStyle w:val="Compact"/>
            </w:pPr>
            <w:r>
              <w:t xml:space="preserve">MS 365 Copilot for Sales [IX/X]</w:t>
            </w:r>
          </w:p>
        </w:tc>
        <w:tc>
          <w:tcPr/>
          <w:p>
            <w:pPr>
              <w:pStyle w:val="Compact"/>
            </w:pPr>
            <w:r>
              <w:t xml:space="preserve">est $5B+ ARR</w:t>
            </w:r>
          </w:p>
        </w:tc>
        <w:tc>
          <w:tcPr/>
          <w:p>
            <w:pPr>
              <w:pStyle w:val="Compact"/>
            </w:pPr>
            <w:r>
              <w:t xml:space="preserve">Horizontal incumbent</w:t>
            </w:r>
          </w:p>
        </w:tc>
        <w:tc>
          <w:tcPr/>
          <w:p>
            <w:pPr>
              <w:pStyle w:val="Compact"/>
            </w:pPr>
            <w:r>
              <w:t xml:space="preserve">F2 most-durable (4-Power stack)</w:t>
            </w:r>
          </w:p>
        </w:tc>
      </w:tr>
    </w:tbl>
    <w:bookmarkEnd w:id="170"/>
    <w:bookmarkStart w:id="171" w:name="Xbaeda5230a44d6e30ba0269ee7be9a284db86e2"/>
    <w:p>
      <w:pPr>
        <w:pStyle w:val="Heading3"/>
      </w:pPr>
      <w:r>
        <w:t xml:space="preserve">B4. NYC peak Q2 2026 — companies hiring Alex’s exact profile</w:t>
      </w:r>
    </w:p>
    <w:p>
      <w:pPr>
        <w:pStyle w:val="FirstParagraph"/>
      </w:pPr>
      <w:r>
        <w:t xml:space="preserve">Per</w:t>
      </w:r>
      <w:r>
        <w:t xml:space="preserve"> </w:t>
      </w:r>
      <w:r>
        <w:rPr>
          <w:rStyle w:val="VerbatimChar"/>
        </w:rPr>
        <w:t xml:space="preserve">wave1_F4.md</w:t>
      </w:r>
      <w:r>
        <w:t xml:space="preserve"> </w:t>
      </w:r>
      <w:r>
        <w:t xml:space="preserve">§F4.2 — 14 NYC-friendly companies w/ open Director / Field CTO / Head of GTM Strategy / Head of Enterprise GTM roles in band $250–400K base + 0.05–0.40% equity.</w:t>
      </w:r>
    </w:p>
    <w:p>
      <w:pPr>
        <w:pStyle w:val="BodyText"/>
      </w:pPr>
      <w:r>
        <w:rPr>
          <w:b/>
          <w:bCs/>
        </w:rPr>
        <w:t xml:space="preserve">Top 10 ranked by composite (NYC fit · equity asymmetry · ARR slope · cultural-fit for 12-yr enterprise operator):</w:t>
      </w:r>
      <w:r>
        <w:t xml:space="preserve"> </w:t>
      </w:r>
      <w:r>
        <w:t xml:space="preserve">1.</w:t>
      </w:r>
      <w:r>
        <w:t xml:space="preserve"> </w:t>
      </w:r>
      <w:r>
        <w:rPr>
          <w:b/>
          <w:bCs/>
        </w:rPr>
        <w:t xml:space="preserve">Hebbia</w:t>
      </w:r>
      <w:r>
        <w:t xml:space="preserve"> </w:t>
      </w:r>
      <w:r>
        <w:t xml:space="preserve">— NYC HQ; 0.20–0.40% equity; 2-quarter window pre-Series C; MBB+Stripe-buyer profile</w:t>
      </w:r>
      <w:r>
        <w:t xml:space="preserve"> </w:t>
      </w:r>
      <w:r>
        <w:t xml:space="preserve">2.</w:t>
      </w:r>
      <w:r>
        <w:t xml:space="preserve"> </w:t>
      </w:r>
      <w:r>
        <w:rPr>
          <w:b/>
          <w:bCs/>
        </w:rPr>
        <w:t xml:space="preserve">Sierra</w:t>
      </w:r>
      <w:r>
        <w:t xml:space="preserve"> </w:t>
      </w:r>
      <w:r>
        <w:t xml:space="preserve">— NYC dual-HQ; brand-prestige; cleanest secondary liquidity</w:t>
      </w:r>
      <w:r>
        <w:t xml:space="preserve"> </w:t>
      </w:r>
      <w:r>
        <w:t xml:space="preserve">3.</w:t>
      </w:r>
      <w:r>
        <w:t xml:space="preserve"> </w:t>
      </w:r>
      <w:r>
        <w:rPr>
          <w:b/>
          <w:bCs/>
        </w:rPr>
        <w:t xml:space="preserve">Rogo</w:t>
      </w:r>
      <w:r>
        <w:t xml:space="preserve"> </w:t>
      </w:r>
      <w:r>
        <w:t xml:space="preserve">— NYC FinServ; 0.30–0.60% equity; banker-fluent gate</w:t>
      </w:r>
      <w:r>
        <w:t xml:space="preserve"> </w:t>
      </w:r>
      <w:r>
        <w:t xml:space="preserve">4.</w:t>
      </w:r>
      <w:r>
        <w:t xml:space="preserve"> </w:t>
      </w:r>
      <w:r>
        <w:rPr>
          <w:b/>
          <w:bCs/>
        </w:rPr>
        <w:t xml:space="preserve">Harvey</w:t>
      </w:r>
      <w:r>
        <w:t xml:space="preserve"> </w:t>
      </w:r>
      <w:r>
        <w:t xml:space="preserve">— Cornered Resource (F100 law); high comp band</w:t>
      </w:r>
      <w:r>
        <w:t xml:space="preserve"> </w:t>
      </w:r>
      <w:r>
        <w:t xml:space="preserve">5.</w:t>
      </w:r>
      <w:r>
        <w:t xml:space="preserve"> </w:t>
      </w:r>
      <w:r>
        <w:rPr>
          <w:b/>
          <w:bCs/>
        </w:rPr>
        <w:t xml:space="preserve">Clay</w:t>
      </w:r>
      <w:r>
        <w:t xml:space="preserve"> </w:t>
      </w:r>
      <w:r>
        <w:t xml:space="preserve">— RevOps anchor; Process Power footing</w:t>
      </w:r>
      <w:r>
        <w:t xml:space="preserve"> </w:t>
      </w:r>
      <w:r>
        <w:t xml:space="preserve">6.</w:t>
      </w:r>
      <w:r>
        <w:t xml:space="preserve"> </w:t>
      </w:r>
      <w:r>
        <w:rPr>
          <w:b/>
          <w:bCs/>
        </w:rPr>
        <w:t xml:space="preserve">Decagon</w:t>
      </w:r>
      <w:r>
        <w:t xml:space="preserve"> </w:t>
      </w:r>
      <w:r>
        <w:t xml:space="preserve">— Added to under-funded watchlist; Sierra peer dynamics</w:t>
      </w:r>
      <w:r>
        <w:t xml:space="preserve"> </w:t>
      </w:r>
      <w:r>
        <w:t xml:space="preserve">7.</w:t>
      </w:r>
      <w:r>
        <w:t xml:space="preserve"> </w:t>
      </w:r>
      <w:r>
        <w:rPr>
          <w:b/>
          <w:bCs/>
        </w:rPr>
        <w:t xml:space="preserve">Hippocratic</w:t>
      </w:r>
      <w:r>
        <w:t xml:space="preserve"> </w:t>
      </w:r>
      <w:r>
        <w:t xml:space="preserve">— NYC HQ; healthcare BAA Cornered Resource</w:t>
      </w:r>
      <w:r>
        <w:t xml:space="preserve"> </w:t>
      </w:r>
      <w:r>
        <w:t xml:space="preserve">8.</w:t>
      </w:r>
      <w:r>
        <w:t xml:space="preserve"> </w:t>
      </w:r>
      <w:r>
        <w:rPr>
          <w:b/>
          <w:bCs/>
        </w:rPr>
        <w:t xml:space="preserve">Glean</w:t>
      </w:r>
      <w:r>
        <w:t xml:space="preserve"> </w:t>
      </w:r>
      <w:r>
        <w:t xml:space="preserve">— Network Economies cross-function</w:t>
      </w:r>
      <w:r>
        <w:t xml:space="preserve"> </w:t>
      </w:r>
      <w:r>
        <w:t xml:space="preserve">9.</w:t>
      </w:r>
      <w:r>
        <w:t xml:space="preserve"> </w:t>
      </w:r>
      <w:r>
        <w:rPr>
          <w:b/>
          <w:bCs/>
        </w:rPr>
        <w:t xml:space="preserve">Runway</w:t>
      </w:r>
      <w:r>
        <w:t xml:space="preserve"> </w:t>
      </w:r>
      <w:r>
        <w:t xml:space="preserve">— NYC; multimodal creative agents</w:t>
      </w:r>
      <w:r>
        <w:t xml:space="preserve"> </w:t>
      </w:r>
      <w:r>
        <w:t xml:space="preserve">10.</w:t>
      </w:r>
      <w:r>
        <w:t xml:space="preserve"> </w:t>
      </w:r>
      <w:r>
        <w:rPr>
          <w:b/>
          <w:bCs/>
        </w:rPr>
        <w:t xml:space="preserve">Ramp AI org</w:t>
      </w:r>
      <w:r>
        <w:t xml:space="preserve"> </w:t>
      </w:r>
      <w:r>
        <w:t xml:space="preserve">— NYC; AI-product-aggressive</w:t>
      </w:r>
    </w:p>
    <w:p>
      <w:r>
        <w:pict>
          <v:rect style="width:0;height:1.5pt" o:hralign="center" o:hrstd="t" o:hr="t"/>
        </w:pict>
      </w:r>
    </w:p>
    <w:bookmarkEnd w:id="171"/>
    <w:bookmarkEnd w:id="172"/>
    <w:bookmarkStart w:id="173" w:name="c.-cell-level-cruxes-decision-triggers"/>
    <w:p>
      <w:pPr>
        <w:pStyle w:val="Heading2"/>
      </w:pPr>
      <w:r>
        <w:t xml:space="preserve">C. CELL-LEVEL CRUXES &amp; DECISION TRIGGERS</w:t>
      </w:r>
    </w:p>
    <w:p>
      <w:pPr>
        <w:pStyle w:val="FirstParagraph"/>
      </w:pPr>
      <w:r>
        <w:t xml:space="preserve">Five unresolved questions specific to the agent × GTM intersection. When answered, re-rank cells AND bets.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Crux</w:t>
            </w:r>
          </w:p>
        </w:tc>
        <w:tc>
          <w:tcPr/>
          <w:p>
            <w:pPr>
              <w:pStyle w:val="Compact"/>
            </w:pPr>
            <w:r>
              <w:t xml:space="preserve">Decidability horizon</w:t>
            </w:r>
          </w:p>
        </w:tc>
        <w:tc>
          <w:tcPr/>
          <w:p>
            <w:pPr>
              <w:pStyle w:val="Compact"/>
            </w:pPr>
            <w:r>
              <w:t xml:space="preserve">Answer-event to watch</w:t>
            </w:r>
          </w:p>
        </w:tc>
        <w:tc>
          <w:tcPr/>
          <w:p>
            <w:pPr>
              <w:pStyle w:val="Compact"/>
            </w:pPr>
            <w:r>
              <w:t xml:space="preserve">Re-rank consequence</w:t>
            </w:r>
          </w:p>
        </w:tc>
      </w:tr>
      <w:tr>
        <w:tc>
          <w:tcPr/>
          <w:p>
            <w:pPr>
              <w:pStyle w:val="Compact"/>
            </w:pPr>
            <w:r>
              <w:t xml:space="preserve">GC1</w:t>
            </w:r>
          </w:p>
        </w:tc>
        <w:tc>
          <w:tcPr/>
          <w:p>
            <w:pPr>
              <w:pStyle w:val="Compact"/>
            </w:pPr>
            <w:r>
              <w:rPr>
                <w:b/>
                <w:bCs/>
              </w:rPr>
              <w:t xml:space="preserve">OSWorld 65% on a frontier system</w:t>
            </w:r>
          </w:p>
        </w:tc>
        <w:tc>
          <w:tcPr/>
          <w:p>
            <w:pPr>
              <w:pStyle w:val="Compact"/>
            </w:pPr>
            <w:r>
              <w:t xml:space="preserve">Q3 2026</w:t>
            </w:r>
          </w:p>
        </w:tc>
        <w:tc>
          <w:tcPr/>
          <w:p>
            <w:pPr>
              <w:pStyle w:val="Compact"/>
            </w:pPr>
            <w:r>
              <w:t xml:space="preserve">Public scoreboard event</w:t>
            </w:r>
          </w:p>
        </w:tc>
        <w:tc>
          <w:tcPr/>
          <w:p>
            <w:pPr>
              <w:pStyle w:val="Compact"/>
            </w:pPr>
            <w:r>
              <w:t xml:space="preserve">K-column reprices entire matrix; Microsoft Sales Copilot wins by default; non-MS-shop AE cell opens</w:t>
            </w:r>
          </w:p>
        </w:tc>
      </w:tr>
      <w:tr>
        <w:tc>
          <w:tcPr/>
          <w:p>
            <w:pPr>
              <w:pStyle w:val="Compact"/>
            </w:pPr>
            <w:r>
              <w:t xml:space="preserve">GC2</w:t>
            </w:r>
          </w:p>
        </w:tc>
        <w:tc>
          <w:tcPr/>
          <w:p>
            <w:pPr>
              <w:pStyle w:val="Compact"/>
            </w:pPr>
            <w:r>
              <w:rPr>
                <w:b/>
                <w:bCs/>
              </w:rPr>
              <w:t xml:space="preserve">Anthropic ARR — $24B or $30B?</w:t>
            </w:r>
          </w:p>
        </w:tc>
        <w:tc>
          <w:tcPr/>
          <w:p>
            <w:pPr>
              <w:pStyle w:val="Compact"/>
            </w:pPr>
            <w:r>
              <w:t xml:space="preserve">Q3 2026</w:t>
            </w:r>
          </w:p>
        </w:tc>
        <w:tc>
          <w:tcPr/>
          <w:p>
            <w:pPr>
              <w:pStyle w:val="Compact"/>
            </w:pPr>
            <w:r>
              <w:t xml:space="preserve">Audited disclosure / leak</w:t>
            </w:r>
          </w:p>
        </w:tc>
        <w:tc>
          <w:tcPr/>
          <w:p>
            <w:pPr>
              <w:pStyle w:val="Compact"/>
            </w:pPr>
            <w:r>
              <w:t xml:space="preserve">Lower bound = vertical-agent vals compress 20–30%; upper = Bet #2 timing accelerates</w:t>
            </w:r>
          </w:p>
        </w:tc>
      </w:tr>
      <w:tr>
        <w:tc>
          <w:tcPr/>
          <w:p>
            <w:pPr>
              <w:pStyle w:val="Compact"/>
            </w:pPr>
            <w:r>
              <w:t xml:space="preserve">GC3</w:t>
            </w:r>
          </w:p>
        </w:tc>
        <w:tc>
          <w:tcPr/>
          <w:p>
            <w:pPr>
              <w:pStyle w:val="Compact"/>
            </w:pPr>
            <w:r>
              <w:rPr>
                <w:b/>
                <w:bCs/>
              </w:rPr>
              <w:t xml:space="preserve">Article 14 enforcement teeth vs paper</w:t>
            </w:r>
          </w:p>
        </w:tc>
        <w:tc>
          <w:tcPr/>
          <w:p>
            <w:pPr>
              <w:pStyle w:val="Compact"/>
            </w:pPr>
            <w:r>
              <w:t xml:space="preserve">Late 2026</w:t>
            </w:r>
          </w:p>
        </w:tc>
        <w:tc>
          <w:tcPr/>
          <w:p>
            <w:pPr>
              <w:pStyle w:val="Compact"/>
            </w:pPr>
            <w:r>
              <w:t xml:space="preserve">First GPAI fine; Commission Art. 14 enforcement</w:t>
            </w:r>
          </w:p>
        </w:tc>
        <w:tc>
          <w:tcPr/>
          <w:p>
            <w:pPr>
              <w:pStyle w:val="Compact"/>
            </w:pPr>
            <w:r>
              <w:t xml:space="preserve">Teeth = Bet #1 5× TAM ($10B+ category); paper = Bet #1 niche-but-defensible</w:t>
            </w:r>
          </w:p>
        </w:tc>
      </w:tr>
      <w:tr>
        <w:tc>
          <w:tcPr/>
          <w:p>
            <w:pPr>
              <w:pStyle w:val="Compact"/>
            </w:pPr>
            <w:r>
              <w:t xml:space="preserve">GC4</w:t>
            </w:r>
          </w:p>
        </w:tc>
        <w:tc>
          <w:tcPr/>
          <w:p>
            <w:pPr>
              <w:pStyle w:val="Compact"/>
            </w:pPr>
            <w:r>
              <w:rPr>
                <w:b/>
                <w:bCs/>
              </w:rPr>
              <w:t xml:space="preserve">MCP commons or silent fork</w:t>
            </w:r>
          </w:p>
        </w:tc>
        <w:tc>
          <w:tcPr/>
          <w:p>
            <w:pPr>
              <w:pStyle w:val="Compact"/>
            </w:pPr>
            <w:r>
              <w:t xml:space="preserve">EOY 2026</w:t>
            </w:r>
          </w:p>
        </w:tc>
        <w:tc>
          <w:tcPr/>
          <w:p>
            <w:pPr>
              <w:pStyle w:val="Compact"/>
            </w:pPr>
            <w:r>
              <w:t xml:space="preserve">Major-vendor proprietary tool-use schema; A2A adoption outside Google</w:t>
            </w:r>
          </w:p>
        </w:tc>
        <w:tc>
          <w:tcPr/>
          <w:p>
            <w:pPr>
              <w:pStyle w:val="Compact"/>
            </w:pPr>
            <w:r>
              <w:t xml:space="preserve">Fork = Bet #3b dies entirely; Bet #3a survives on either schema</w:t>
            </w:r>
          </w:p>
        </w:tc>
      </w:tr>
      <w:tr>
        <w:tc>
          <w:tcPr/>
          <w:p>
            <w:pPr>
              <w:pStyle w:val="Compact"/>
            </w:pPr>
            <w:r>
              <w:t xml:space="preserve">GC5</w:t>
            </w:r>
          </w:p>
        </w:tc>
        <w:tc>
          <w:tcPr/>
          <w:p>
            <w:pPr>
              <w:pStyle w:val="Compact"/>
            </w:pPr>
            <w:r>
              <w:rPr>
                <w:b/>
                <w:bCs/>
              </w:rPr>
              <w:t xml:space="preserve">Ironclad / Vanta AI-vendor bundle Q4 2026</w:t>
            </w:r>
          </w:p>
        </w:tc>
        <w:tc>
          <w:tcPr/>
          <w:p>
            <w:pPr>
              <w:pStyle w:val="Compact"/>
            </w:pPr>
            <w:r>
              <w:t xml:space="preserve">Q4 2026</w:t>
            </w:r>
          </w:p>
        </w:tc>
        <w:tc>
          <w:tcPr/>
          <w:p>
            <w:pPr>
              <w:pStyle w:val="Compact"/>
            </w:pPr>
            <w:r>
              <w:t xml:space="preserve">Ironclad/Vanta/Drata product launch</w:t>
            </w:r>
          </w:p>
        </w:tc>
        <w:tc>
          <w:tcPr/>
          <w:p>
            <w:pPr>
              <w:pStyle w:val="Compact"/>
            </w:pPr>
            <w:r>
              <w:t xml:space="preserve">Ships = Bet #1 productization branch falsified; advisory + open-spec branch survives</w:t>
            </w:r>
          </w:p>
        </w:tc>
      </w:tr>
      <w:tr>
        <w:tc>
          <w:tcPr/>
          <w:p>
            <w:pPr>
              <w:pStyle w:val="Compact"/>
            </w:pPr>
            <w:r>
              <w:t xml:space="preserve">GC6</w:t>
            </w:r>
          </w:p>
        </w:tc>
        <w:tc>
          <w:tcPr/>
          <w:p>
            <w:pPr>
              <w:pStyle w:val="Compact"/>
            </w:pPr>
            <w:r>
              <w:rPr>
                <w:b/>
                <w:bCs/>
              </w:rPr>
              <w:t xml:space="preserve">Common Room multi-source-fusion roadmap</w:t>
            </w:r>
          </w:p>
        </w:tc>
        <w:tc>
          <w:tcPr/>
          <w:p>
            <w:pPr>
              <w:pStyle w:val="Compact"/>
            </w:pPr>
            <w:r>
              <w:t xml:space="preserve">~2 quarters</w:t>
            </w:r>
          </w:p>
        </w:tc>
        <w:tc>
          <w:tcPr/>
          <w:p>
            <w:pPr>
              <w:pStyle w:val="Compact"/>
            </w:pPr>
            <w:r>
              <w:t xml:space="preserve">Common Room product announcement</w:t>
            </w:r>
          </w:p>
        </w:tc>
        <w:tc>
          <w:tcPr/>
          <w:p>
            <w:pPr>
              <w:pStyle w:val="Compact"/>
            </w:pPr>
            <w:r>
              <w:t xml:space="preserve">Ships = Bet-C5 JOIN confirmed; doesn’t ship = revisit Bet-C1 BUILD</w:t>
            </w:r>
          </w:p>
        </w:tc>
      </w:tr>
    </w:tbl>
    <w:p>
      <w:r>
        <w:pict>
          <v:rect style="width:0;height:1.5pt" o:hralign="center" o:hrstd="t" o:hr="t"/>
        </w:pict>
      </w:r>
    </w:p>
    <w:bookmarkEnd w:id="173"/>
    <w:bookmarkStart w:id="174" w:name="d.-agent-gtm-structural-risks"/>
    <w:p>
      <w:pPr>
        <w:pStyle w:val="Heading2"/>
      </w:pPr>
      <w:r>
        <w:t xml:space="preserve">D. AGENT-GTM STRUCTURAL RISKS</w:t>
      </w:r>
    </w:p>
    <w:p>
      <w:pPr>
        <w:pStyle w:val="FirstParagraph"/>
      </w:pPr>
      <w:r>
        <w:t xml:space="preserve">Five risks specific to the agent × GTM intersection. Quarterly review.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Risk</w:t>
            </w:r>
          </w:p>
        </w:tc>
        <w:tc>
          <w:tcPr/>
          <w:p>
            <w:pPr>
              <w:pStyle w:val="Compact"/>
            </w:pPr>
            <w:r>
              <w:t xml:space="preserve">What it threatens</w:t>
            </w:r>
          </w:p>
        </w:tc>
        <w:tc>
          <w:tcPr/>
          <w:p>
            <w:pPr>
              <w:pStyle w:val="Compact"/>
            </w:pPr>
            <w:r>
              <w:t xml:space="preserve">Watch</w:t>
            </w:r>
          </w:p>
        </w:tc>
      </w:tr>
      <w:tr>
        <w:tc>
          <w:tcPr/>
          <w:p>
            <w:pPr>
              <w:pStyle w:val="Compact"/>
            </w:pPr>
            <w:r>
              <w:t xml:space="preserve">GR1</w:t>
            </w:r>
          </w:p>
        </w:tc>
        <w:tc>
          <w:tcPr/>
          <w:p>
            <w:pPr>
              <w:pStyle w:val="Compact"/>
            </w:pPr>
            <w:r>
              <w:rPr>
                <w:b/>
                <w:bCs/>
              </w:rPr>
              <w:t xml:space="preserve">Foundation labs walking up-stack into vertical GTM agents</w:t>
            </w:r>
          </w:p>
        </w:tc>
        <w:tc>
          <w:tcPr/>
          <w:p>
            <w:pPr>
              <w:pStyle w:val="Compact"/>
            </w:pPr>
            <w:r>
              <w:t xml:space="preserve">Bet #2 vertical-agent vendor moats; ChatGPT Business connectors, Claude for Work, Gemini Workspace agent expansion compresses Sierra/Decagon/Glean</w:t>
            </w:r>
          </w:p>
        </w:tc>
        <w:tc>
          <w:tcPr/>
          <w:p>
            <w:pPr>
              <w:pStyle w:val="Compact"/>
            </w:pPr>
            <w:r>
              <w:t xml:space="preserve">Connectors/Skills/Apps store launches; named-customer deflection from Glean/Cursor</w:t>
            </w:r>
          </w:p>
        </w:tc>
      </w:tr>
      <w:tr>
        <w:tc>
          <w:tcPr/>
          <w:p>
            <w:pPr>
              <w:pStyle w:val="Compact"/>
            </w:pPr>
            <w:r>
              <w:t xml:space="preserve">GR2</w:t>
            </w:r>
          </w:p>
        </w:tc>
        <w:tc>
          <w:tcPr/>
          <w:p>
            <w:pPr>
              <w:pStyle w:val="Compact"/>
            </w:pPr>
            <w:r>
              <w:rPr>
                <w:b/>
                <w:bCs/>
              </w:rPr>
              <w:t xml:space="preserve">Horizontal-suite incumbents (MS 365 Copilot, Salesforce Agentforce) bundling all 13 capabilities</w:t>
            </w:r>
          </w:p>
        </w:tc>
        <w:tc>
          <w:tcPr/>
          <w:p>
            <w:pPr>
              <w:pStyle w:val="Compact"/>
            </w:pPr>
            <w:r>
              <w:t xml:space="preserve">Cross-function plays + vertical wedges; specifically (6, A) / (12, F) / K-column post-OSWorld</w:t>
            </w:r>
          </w:p>
        </w:tc>
        <w:tc>
          <w:tcPr/>
          <w:p>
            <w:pPr>
              <w:pStyle w:val="Compact"/>
            </w:pPr>
            <w:r>
              <w:t xml:space="preserve">MS Ignite Nov 2026; Salesforce Dreamforce announcements; AgentExchange adoption telemetry</w:t>
            </w:r>
          </w:p>
        </w:tc>
      </w:tr>
      <w:tr>
        <w:tc>
          <w:tcPr/>
          <w:p>
            <w:pPr>
              <w:pStyle w:val="Compact"/>
            </w:pPr>
            <w:r>
              <w:t xml:space="preserve">GR3</w:t>
            </w:r>
          </w:p>
        </w:tc>
        <w:tc>
          <w:tcPr/>
          <w:p>
            <w:pPr>
              <w:pStyle w:val="Compact"/>
            </w:pPr>
            <w:r>
              <w:rPr>
                <w:b/>
                <w:bCs/>
              </w:rPr>
              <w:t xml:space="preserve">Vanta / Drata / Ironclad shipping AI-vendor bundle Q4 2026</w:t>
            </w:r>
          </w:p>
        </w:tc>
        <w:tc>
          <w:tcPr/>
          <w:p>
            <w:pPr>
              <w:pStyle w:val="Compact"/>
            </w:pPr>
            <w:r>
              <w:t xml:space="preserve">Bet #1 productized branch</w:t>
            </w:r>
          </w:p>
        </w:tc>
        <w:tc>
          <w:tcPr/>
          <w:p>
            <w:pPr>
              <w:pStyle w:val="Compact"/>
            </w:pPr>
            <w:r>
              <w:t xml:space="preserve">Product launch monitoring; G2 / TrustRadius category signal</w:t>
            </w:r>
          </w:p>
        </w:tc>
      </w:tr>
      <w:tr>
        <w:tc>
          <w:tcPr/>
          <w:p>
            <w:pPr>
              <w:pStyle w:val="Compact"/>
            </w:pPr>
            <w:r>
              <w:t xml:space="preserve">GR4</w:t>
            </w:r>
          </w:p>
        </w:tc>
        <w:tc>
          <w:tcPr/>
          <w:p>
            <w:pPr>
              <w:pStyle w:val="Compact"/>
            </w:pPr>
            <w:r>
              <w:rPr>
                <w:b/>
                <w:bCs/>
              </w:rPr>
              <w:t xml:space="preserve">Per-trajectory pricing transparency commoditizing FinOps quickly</w:t>
            </w:r>
          </w:p>
        </w:tc>
        <w:tc>
          <w:tcPr/>
          <w:p>
            <w:pPr>
              <w:pStyle w:val="Compact"/>
            </w:pPr>
            <w:r>
              <w:t xml:space="preserve">Bet #4 module timing — module value erodes once per-trajectory cost becomes a default API field</w:t>
            </w:r>
          </w:p>
        </w:tc>
        <w:tc>
          <w:tcPr/>
          <w:p>
            <w:pPr>
              <w:pStyle w:val="Compact"/>
            </w:pPr>
            <w:r>
              <w:t xml:space="preserve">Anthropic / OpenAI per-trajectory billing disclosure defaults; AWS Bedrock auto-routing announcements</w:t>
            </w:r>
          </w:p>
        </w:tc>
      </w:tr>
      <w:tr>
        <w:tc>
          <w:tcPr/>
          <w:p>
            <w:pPr>
              <w:pStyle w:val="Compact"/>
            </w:pPr>
            <w:r>
              <w:t xml:space="preserve">GR5</w:t>
            </w:r>
          </w:p>
        </w:tc>
        <w:tc>
          <w:tcPr/>
          <w:p>
            <w:pPr>
              <w:pStyle w:val="Compact"/>
            </w:pPr>
            <w:r>
              <w:rPr>
                <w:b/>
                <w:bCs/>
              </w:rPr>
              <w:t xml:space="preserve">EU AI Act Article 14 paper-tiger outcome</w:t>
            </w:r>
          </w:p>
        </w:tc>
        <w:tc>
          <w:tcPr/>
          <w:p>
            <w:pPr>
              <w:pStyle w:val="Compact"/>
            </w:pPr>
            <w:r>
              <w:t xml:space="preserve">Bet #1 TAM 5× compression to niche-but-defensible</w:t>
            </w:r>
          </w:p>
        </w:tc>
        <w:tc>
          <w:tcPr/>
          <w:p>
            <w:pPr>
              <w:pStyle w:val="Compact"/>
            </w:pPr>
            <w:r>
              <w:t xml:space="preserve">Commission guidance; first GPAI fine size; sectoral enforcement actions</w:t>
            </w:r>
          </w:p>
        </w:tc>
      </w:tr>
    </w:tbl>
    <w:p>
      <w:r>
        <w:pict>
          <v:rect style="width:0;height:1.5pt" o:hralign="center" o:hrstd="t" o:hr="t"/>
        </w:pict>
      </w:r>
    </w:p>
    <w:bookmarkEnd w:id="174"/>
    <w:bookmarkStart w:id="175" w:name="e.-update-log"/>
    <w:p>
      <w:pPr>
        <w:pStyle w:val="Heading2"/>
      </w:pPr>
      <w:r>
        <w:t xml:space="preserve">E. UPDATE LOG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Date</w:t>
            </w:r>
          </w:p>
        </w:tc>
        <w:tc>
          <w:tcPr/>
          <w:p>
            <w:pPr>
              <w:pStyle w:val="Compact"/>
            </w:pPr>
            <w:r>
              <w:t xml:space="preserve">Change</w:t>
            </w:r>
          </w:p>
        </w:tc>
      </w:tr>
      <w:tr>
        <w:tc>
          <w:tcPr/>
          <w:p>
            <w:pPr>
              <w:pStyle w:val="Compact"/>
            </w:pPr>
            <w:r>
              <w:t xml:space="preserve">2026-05-13</w:t>
            </w:r>
          </w:p>
        </w:tc>
        <w:tc>
          <w:tcPr/>
          <w:p>
            <w:pPr>
              <w:pStyle w:val="Compact"/>
            </w:pPr>
            <w:r>
              <w:t xml:space="preserve">Initial Volume IV creation. 7 Bets refreshed at cell-resolution. Bet #1 reinforced + expanded (modules absorbed from #4, #5, C2/C3/C4/C10). Bet #2 sharpened (Hebbia #1 triple-confirmed). Bet #3 split into 3a (concurrent) + 3b (parked). Bets #4 + #5 subsumed; Bet-C9 promoted for Q3 2026 gate. Bet #6 reframed as distribution. NYC target list expanded + ranked. MBB feed-stock activated. 6 Cruxes + 5 Risks specific to intersection logged.</w:t>
            </w:r>
          </w:p>
        </w:tc>
      </w:tr>
      <w:tr>
        <w:tc>
          <w:tcPr/>
          <w:p>
            <w:pPr>
              <w:pStyle w:val="Compact"/>
            </w:pPr>
            <w:r>
              <w:rPr>
                <w:i/>
                <w:iCs/>
              </w:rPr>
              <w:t xml:space="preserve">next update</w:t>
            </w:r>
          </w:p>
        </w:tc>
        <w:tc>
          <w:tcPr/>
          <w:p>
            <w:pPr>
              <w:pStyle w:val="Compact"/>
            </w:pPr>
            <w:r>
              <w:rPr>
                <w:i/>
                <w:iCs/>
              </w:rPr>
              <w:t xml:space="preserve">Bi-weekly: B1 senior moves + B2 capital events. Monthly: Bet status + leading indicators. Trigger-based: Cruxes + Risks.</w:t>
            </w:r>
          </w:p>
        </w:tc>
      </w:tr>
    </w:tbl>
    <w:p>
      <w:r>
        <w:pict>
          <v:rect style="width:0;height:1.5pt" o:hralign="center" o:hrstd="t" o:hr="t"/>
        </w:pict>
      </w:r>
    </w:p>
    <w:bookmarkEnd w:id="175"/>
    <w:bookmarkStart w:id="176" w:name="f.-notes-for-the-next-session"/>
    <w:p>
      <w:pPr>
        <w:pStyle w:val="Heading2"/>
      </w:pPr>
      <w:r>
        <w:t xml:space="preserve">F. NOTES FOR THE NEXT SESSION</w:t>
      </w:r>
    </w:p>
    <w:p>
      <w:pPr>
        <w:pStyle w:val="FirstParagraph"/>
      </w:pPr>
      <w:r>
        <w:t xml:space="preserve">The parent</w:t>
      </w:r>
      <w:r>
        <w:t xml:space="preserve"> </w:t>
      </w:r>
      <w:r>
        <w:rPr>
          <w:rStyle w:val="VerbatimChar"/>
        </w:rPr>
        <w:t xml:space="preserve">OCQ_TRACKER.md</w:t>
      </w:r>
      <w:r>
        <w:t xml:space="preserve"> </w:t>
      </w:r>
      <w:r>
        <w:t xml:space="preserve">should be updated with the deltas listed in</w:t>
      </w:r>
      <w:r>
        <w:t xml:space="preserve"> </w:t>
      </w:r>
      <w:r>
        <w:rPr>
          <w:rStyle w:val="VerbatimChar"/>
        </w:rPr>
        <w:t xml:space="preserve">BETS_DELTA_NOTE.md</w:t>
      </w:r>
      <w:r>
        <w:t xml:space="preserve"> </w:t>
      </w:r>
      <w:r>
        <w:t xml:space="preserve">§</w:t>
      </w:r>
      <w:r>
        <w:t xml:space="preserve">“Update annotations to apply to parent.”</w:t>
      </w:r>
      <w:r>
        <w:t xml:space="preserve"> </w:t>
      </w:r>
      <w:r>
        <w:t xml:space="preserve">Apply on next parent refresh.</w:t>
      </w:r>
    </w:p>
    <w:p>
      <w:pPr>
        <w:pStyle w:val="BodyText"/>
      </w:pPr>
      <w:r>
        <w:t xml:space="preserve">The Volume III</w:t>
      </w:r>
      <w:r>
        <w:t xml:space="preserve"> </w:t>
      </w:r>
      <w:r>
        <w:rPr>
          <w:rStyle w:val="VerbatimChar"/>
        </w:rPr>
        <w:t xml:space="preserve">AI_AGENTS_TRACKER.md</w:t>
      </w:r>
      <w:r>
        <w:t xml:space="preserve"> </w:t>
      </w:r>
      <w:r>
        <w:t xml:space="preserve">should add this cross-reference at the bottom of §A:</w:t>
      </w:r>
    </w:p>
    <w:p>
      <w:pPr>
        <w:pStyle w:val="BlockText"/>
      </w:pPr>
      <w:r>
        <w:t xml:space="preserve">“Volume IV refresh (</w:t>
      </w:r>
      <w:r>
        <w:rPr>
          <w:rStyle w:val="VerbatimChar"/>
        </w:rPr>
        <w:t xml:space="preserve">output/agents-gtm/AGENTS_GTM_TRACKER.md</w:t>
      </w:r>
      <w:r>
        <w:t xml:space="preserve">) maps the 7 Bets to specific (Function, Capability) cells in the agent × GTM intersection. Volume IV’s central artifact — the AI Vendor Procurement Playbook — is the Bet #1 deliverable made tangible.”</w:t>
      </w:r>
    </w:p>
    <w:p>
      <w:r>
        <w:pict>
          <v:rect style="width:0;height:1.5pt" o:hralign="center" o:hrstd="t" o:hr="t"/>
        </w:pict>
      </w:r>
    </w:p>
    <w:p>
      <w:pPr>
        <w:pStyle w:val="FirstParagraph"/>
      </w:pPr>
      <w:r>
        <w:rPr>
          <w:i/>
          <w:iCs/>
        </w:rPr>
        <w:t xml:space="preserve">Volume IV working surface for the next 18 months at the agent × GTM cell-intersection resolution. Update parent and Volume III on the same cadence. All four trackers (parent OCQ + Volume III agents + Volume IV agents-GTM + the Procurement Playbook) read together; none alone tells the whole story.</w:t>
      </w:r>
    </w:p>
    <w:p>
      <w:r>
        <w:pict>
          <v:rect style="width:0;height:1.5pt" o:hralign="center" o:hrstd="t" o:hr="t"/>
        </w:pict>
      </w:r>
    </w:p>
    <w:p>
      <w:pPr>
        <w:pStyle w:val="FirstParagraph"/>
      </w:pPr>
      <w:r>
        <w:t xml:space="preserve">The tracker is alive. Update it on the cadence. Where the Volume IV view changes a parent-tracker bet, mirror to</w:t>
      </w:r>
      <w:r>
        <w:t xml:space="preserve"> </w:t>
      </w:r>
      <w:r>
        <w:rPr>
          <w:rStyle w:val="VerbatimChar"/>
        </w:rPr>
        <w:t xml:space="preserve">output/ai-stack/OCQ_TRACKER.md</w:t>
      </w:r>
      <w:r>
        <w:t xml:space="preserve"> </w:t>
      </w:r>
      <w:r>
        <w:t xml:space="preserve">via the BETS_DELTA annotations.</w:t>
      </w:r>
    </w:p>
    <w:p>
      <w:r>
        <w:pict>
          <v:rect style="width:0;height:1.5pt" o:hralign="center" o:hrstd="t" o:hr="t"/>
        </w:pict>
      </w:r>
    </w:p>
    <w:bookmarkEnd w:id="176"/>
    <w:bookmarkStart w:id="177" w:name="X481a8854715724bb1a610a1d0252cfa491994db"/>
    <w:p>
      <w:pPr>
        <w:pStyle w:val="Heading2"/>
      </w:pPr>
      <w:r>
        <w:t xml:space="preserve">Chapter 8 · Best-Use-Case Reflections per Framework</w:t>
      </w:r>
    </w:p>
    <w:p>
      <w:pPr>
        <w:pStyle w:val="FirstParagraph"/>
      </w:pPr>
      <w:r>
        <w:t xml:space="preserve">What follows is the meta-pass. What each framework was best at; what it missed; when to use it next. Useful when planning Volume V.</w:t>
      </w:r>
    </w:p>
    <w:p>
      <w:r>
        <w:pict>
          <v:rect style="width:0;height:1.5pt" o:hralign="center" o:hrstd="t" o:hr="t"/>
        </w:pict>
      </w:r>
    </w:p>
    <w:bookmarkEnd w:id="177"/>
    <w:bookmarkStart w:id="184" w:name="X7435dee4aba534d483a8ba0d21c9f581f344056"/>
    <w:p>
      <w:pPr>
        <w:pStyle w:val="Heading2"/>
      </w:pPr>
      <w:r>
        <w:t xml:space="preserve">Part XIII · Best-Use-Case Reflections per Framework</w:t>
      </w:r>
    </w:p>
    <w:p>
      <w:pPr>
        <w:pStyle w:val="FirstParagraph"/>
      </w:pPr>
      <w:r>
        <w:t xml:space="preserve">A short post-mortem on what each framework was best at, what it missed, and where to use it again. Written for Alex twelve months from now who will run the next zoom-level analysis.</w:t>
      </w:r>
    </w:p>
    <w:bookmarkStart w:id="178" w:name="Xe1521ad36334115250f4b96f4780cc1140b1346"/>
    <w:p>
      <w:pPr>
        <w:pStyle w:val="Heading3"/>
      </w:pPr>
      <w:r>
        <w:t xml:space="preserve">XIII.1 — OCQ × Cell Matrix (12 functions × 13 capabilities)</w:t>
      </w:r>
    </w:p>
    <w:p>
      <w:pPr>
        <w:pStyle w:val="FirstParagraph"/>
      </w:pPr>
      <w:r>
        <w:rPr>
          <w:b/>
          <w:bCs/>
        </w:rPr>
        <w:t xml:space="preserve">Best for:</w:t>
      </w:r>
      <w:r>
        <w:t xml:space="preserve"> </w:t>
      </w:r>
      <w:r>
        <w:t xml:space="preserve">surfacing under-served cells nobody else sees. The 156-cell grid forced visibility into combinations that vendor narratives never name — (9,G) procurement-seam at OCQ 19 became the matrix peak only because a 12 × 13 grid required us to score it. The (5,F) buying-committee mapping cell jumping to OCQ 18 is invisible at any coarser resolution; same for (6,E) deal-diagnosis causation at 17. Without the matrix you read about</w:t>
      </w:r>
      <w:r>
        <w:t xml:space="preserve"> </w:t>
      </w:r>
      <w:r>
        <w:t xml:space="preserve">“AI for sales”</w:t>
      </w:r>
      <w:r>
        <w:t xml:space="preserve"> </w:t>
      </w:r>
      <w:r>
        <w:t xml:space="preserve">as a category. With it you see seven specific cells where the category is empty and seventeen where it is saturated.</w:t>
      </w:r>
      <w:r>
        <w:t xml:space="preserve"> </w:t>
      </w:r>
      <w:r>
        <w:rPr>
          <w:b/>
          <w:bCs/>
        </w:rPr>
        <w:t xml:space="preserve">Missed:</w:t>
      </w:r>
      <w:r>
        <w:t xml:space="preserve"> </w:t>
      </w:r>
      <w:r>
        <w:t xml:space="preserve">cross-cell dependencies. The matrix scores cells in isolation; it does not capture that (9,G) sells</w:t>
      </w:r>
      <w:r>
        <w:t xml:space="preserve"> </w:t>
      </w:r>
      <w:r>
        <w:rPr>
          <w:i/>
          <w:iCs/>
        </w:rPr>
        <w:t xml:space="preserve">because</w:t>
      </w:r>
      <w:r>
        <w:t xml:space="preserve"> </w:t>
      </w:r>
      <w:r>
        <w:t xml:space="preserve">(4,M) + (6,M) + (12,M) are mandatory ≤18 months. The L-column convergence finding only emerged once we read across columns rather than down them — which is a step the matrix doesn’t do natively.</w:t>
      </w:r>
      <w:r>
        <w:t xml:space="preserve"> </w:t>
      </w:r>
      <w:r>
        <w:rPr>
          <w:b/>
          <w:bCs/>
        </w:rPr>
        <w:t xml:space="preserve">Use again for:</w:t>
      </w:r>
      <w:r>
        <w:t xml:space="preserve"> </w:t>
      </w:r>
      <w:r>
        <w:t xml:space="preserve">any horizontal-vs-vertical decision with discrete, scoreable cells. Particularly any decision where vendor narratives are saturated and the question is</w:t>
      </w:r>
      <w:r>
        <w:t xml:space="preserve"> </w:t>
      </w:r>
      <w:r>
        <w:t xml:space="preserve">“where is the matrix actually empty?”</w:t>
      </w:r>
    </w:p>
    <w:bookmarkEnd w:id="178"/>
    <w:bookmarkStart w:id="179" w:name="xiii.2-wardley-mapping"/>
    <w:p>
      <w:pPr>
        <w:pStyle w:val="Heading3"/>
      </w:pPr>
      <w:r>
        <w:t xml:space="preserve">XIII.2 — Wardley Mapping</w:t>
      </w:r>
    </w:p>
    <w:p>
      <w:pPr>
        <w:pStyle w:val="FirstParagraph"/>
      </w:pPr>
      <w:r>
        <w:rPr>
          <w:b/>
          <w:bCs/>
        </w:rPr>
        <w:t xml:space="preserve">Best for:</w:t>
      </w:r>
      <w:r>
        <w:t xml:space="preserve"> </w:t>
      </w:r>
      <w:r>
        <w:t xml:space="preserve">punctuated-equilibrium dating. Wardley’s evolution stages (Genesis → Custom-Built → Product → Commodity) gave us PE-2 (Article 14 first enforcement, late 2026), PE-4 (MCP gateways crossing to Product, H2 2026), PE-5 (per-trajectory FinOps audit window, 12–18 months before AWS Bedrock auto-routing default-on H2 2027), and PE-1 (OSWorld 65%, Q3 2026). Wardley’s framing of</w:t>
      </w:r>
      <w:r>
        <w:t xml:space="preserve"> </w:t>
      </w:r>
      <w:r>
        <w:rPr>
          <w:i/>
          <w:iCs/>
        </w:rPr>
        <w:t xml:space="preserve">when</w:t>
      </w:r>
      <w:r>
        <w:t xml:space="preserve"> </w:t>
      </w:r>
      <w:r>
        <w:t xml:space="preserve">a capability moves from Custom-Built to Product is the only thing that gave Bet #1 its sequencing-first verdict — without it the Playbook would have published in H1 2027 and missed the Article 14 first-enforcement procurement-default window.</w:t>
      </w:r>
      <w:r>
        <w:t xml:space="preserve"> </w:t>
      </w:r>
      <w:r>
        <w:rPr>
          <w:b/>
          <w:bCs/>
        </w:rPr>
        <w:t xml:space="preserve">Missed:</w:t>
      </w:r>
      <w:r>
        <w:t xml:space="preserve"> </w:t>
      </w:r>
      <w:r>
        <w:t xml:space="preserve">operator-personality fit at the cell. Wardley says</w:t>
      </w:r>
      <w:r>
        <w:t xml:space="preserve"> </w:t>
      </w:r>
      <w:r>
        <w:t xml:space="preserve">“the K-column is at Genesis-stage transitioning to Custom-Built in H2 2026”</w:t>
      </w:r>
      <w:r>
        <w:t xml:space="preserve">; it does not say</w:t>
      </w:r>
      <w:r>
        <w:t xml:space="preserve"> </w:t>
      </w:r>
      <w:r>
        <w:t xml:space="preserve">“Alex is uniquely positioned to operate inside Hebbia or Sierra rather than to build a CU startup.”</w:t>
      </w:r>
      <w:r>
        <w:t xml:space="preserve"> </w:t>
      </w:r>
      <w:r>
        <w:t xml:space="preserve">That JTBD-and-fit layer is invisible to Wardley.</w:t>
      </w:r>
      <w:r>
        <w:t xml:space="preserve"> </w:t>
      </w:r>
      <w:r>
        <w:rPr>
          <w:b/>
          <w:bCs/>
        </w:rPr>
        <w:t xml:space="preserve">Use again for:</w:t>
      </w:r>
      <w:r>
        <w:t xml:space="preserve"> </w:t>
      </w:r>
      <w:r>
        <w:t xml:space="preserve">any Build-vs-Buy timing decision where the question is</w:t>
      </w:r>
      <w:r>
        <w:t xml:space="preserve"> </w:t>
      </w:r>
      <w:r>
        <w:t xml:space="preserve">“how long is the advisory window before commoditization?”</w:t>
      </w:r>
      <w:r>
        <w:t xml:space="preserve"> </w:t>
      </w:r>
      <w:r>
        <w:t xml:space="preserve">Particularly load-bearing in compressed-window calls like Bet #3a (gateway-pair) where missing the window kills the bet entirely.</w:t>
      </w:r>
    </w:p>
    <w:bookmarkEnd w:id="179"/>
    <w:bookmarkStart w:id="180" w:name="xiii.3-seven-powers-helmer"/>
    <w:p>
      <w:pPr>
        <w:pStyle w:val="Heading3"/>
      </w:pPr>
      <w:r>
        <w:t xml:space="preserve">XIII.3 — Seven Powers (Helmer)</w:t>
      </w:r>
    </w:p>
    <w:p>
      <w:pPr>
        <w:pStyle w:val="FirstParagraph"/>
      </w:pPr>
      <w:r>
        <w:rPr>
          <w:b/>
          <w:bCs/>
        </w:rPr>
        <w:t xml:space="preserve">Best for:</w:t>
      </w:r>
      <w:r>
        <w:t xml:space="preserve"> </w:t>
      </w:r>
      <w:r>
        <w:t xml:space="preserve">filtering vendor narratives ruthlessly. The 7 Powers screen rejected most of the matrix’s loud names and identified Microsoft 365 Copilot for Sales as the matrix-wide top-Power-footed entity (4-Power stack: Counter-Positioning + Switching Costs + Network Economies via M365 Graph + Cornered Resource via LinkedIn ToS). It downgraded Bet #5 standalone (no Power footing) while validating Bet #1 as the highest-Power-footed of the seven (operator-shape Process Power + Branding + downstream Switching Costs). Without 7 Powers you fund Bet #5 standalone and lose the next 18 months on consulting-shape work that doesn’t compound.</w:t>
      </w:r>
      <w:r>
        <w:t xml:space="preserve"> </w:t>
      </w:r>
      <w:r>
        <w:rPr>
          <w:b/>
          <w:bCs/>
        </w:rPr>
        <w:t xml:space="preserve">Missed:</w:t>
      </w:r>
      <w:r>
        <w:t xml:space="preserve"> </w:t>
      </w:r>
      <w:r>
        <w:t xml:space="preserve">Power flavors that</w:t>
      </w:r>
      <w:r>
        <w:t xml:space="preserve"> </w:t>
      </w:r>
      <w:r>
        <w:rPr>
          <w:i/>
          <w:iCs/>
        </w:rPr>
        <w:t xml:space="preserve">operators</w:t>
      </w:r>
      <w:r>
        <w:t xml:space="preserve"> </w:t>
      </w:r>
      <w:r>
        <w:t xml:space="preserve">(vs companies) can claim. Helmer’s framework was built for company-scale Power; the operator-shape Process Power flavor that Bet #1 anchors at had to be invented for this analysis. The R5 sharpening on synthetic-SDR adverse-selection guardrail is also operator-shape and doesn’t fit cleanly into any of the seven canonical Powers.</w:t>
      </w:r>
      <w:r>
        <w:t xml:space="preserve"> </w:t>
      </w:r>
      <w:r>
        <w:rPr>
          <w:b/>
          <w:bCs/>
        </w:rPr>
        <w:t xml:space="preserve">Use again for:</w:t>
      </w:r>
      <w:r>
        <w:t xml:space="preserve"> </w:t>
      </w:r>
      <w:r>
        <w:t xml:space="preserve">any join-vs-build call across multiple companies where the question is</w:t>
      </w:r>
      <w:r>
        <w:t xml:space="preserve"> </w:t>
      </w:r>
      <w:r>
        <w:t xml:space="preserve">“which of these has actual durable Power vs venture-marketed Power?”</w:t>
      </w:r>
      <w:r>
        <w:t xml:space="preserve"> </w:t>
      </w:r>
      <w:r>
        <w:t xml:space="preserve">Particularly load-bearing for Bet #2 target ranking.</w:t>
      </w:r>
    </w:p>
    <w:bookmarkEnd w:id="180"/>
    <w:bookmarkStart w:id="181" w:name="xiii.4-ecosystem-jtbd-org-scale"/>
    <w:p>
      <w:pPr>
        <w:pStyle w:val="Heading3"/>
      </w:pPr>
      <w:r>
        <w:t xml:space="preserve">XIII.4 — Ecosystem JTBD (org-scale)</w:t>
      </w:r>
    </w:p>
    <w:p>
      <w:pPr>
        <w:pStyle w:val="FirstParagraph"/>
      </w:pPr>
      <w:r>
        <w:rPr>
          <w:b/>
          <w:bCs/>
        </w:rPr>
        <w:t xml:space="preserve">Best for:</w:t>
      </w:r>
      <w:r>
        <w:t xml:space="preserve"> </w:t>
      </w:r>
      <w:r>
        <w:t xml:space="preserve">surfacing the buyer-side struggling moments. The five jobs (hit number this Q, hit number next year without doubling heads, reduce CAC payback, increase NRR, get forecast right) at GTM-org scale are the only framing that made Bet-C4 (outcome-pricing dispute template) a two-job lever — Job 3 (CFO) and Job 4 (CCO) — rather than a one-vendor-wedge. The 15 highest-gap underserved outcomes table is the single most useful artifact in the whole Volume IV cycle for prioritizing the next 90 days; the L-column pattern (3 of 5 jobs, load-bearing at Jobs 4 + 5) is the JTBD validation that converted Bet-C9 from speculative to promoted.</w:t>
      </w:r>
      <w:r>
        <w:t xml:space="preserve"> </w:t>
      </w:r>
      <w:r>
        <w:rPr>
          <w:b/>
          <w:bCs/>
        </w:rPr>
        <w:t xml:space="preserve">Missed:</w:t>
      </w:r>
      <w:r>
        <w:t xml:space="preserve"> </w:t>
      </w:r>
      <w:r>
        <w:t xml:space="preserve">the inside-the-org political dynamics that F5’s seven-counterparty gauntlet caught. JTBD says</w:t>
      </w:r>
      <w:r>
        <w:t xml:space="preserve"> </w:t>
      </w:r>
      <w:r>
        <w:t xml:space="preserve">“the CRO buys to satisfy Job 1”</w:t>
      </w:r>
      <w:r>
        <w:t xml:space="preserve">; F5 says</w:t>
      </w:r>
      <w:r>
        <w:t xml:space="preserve"> </w:t>
      </w:r>
      <w:r>
        <w:t xml:space="preserve">“the CRO can’t buy without InfoSec, Legal, Privacy, AI Governance, Procurement, Sponsor, and Enterprise Architecture all closing first.”</w:t>
      </w:r>
      <w:r>
        <w:t xml:space="preserve"> </w:t>
      </w:r>
      <w:r>
        <w:t xml:space="preserve">The political-gauntlet layer is what makes the procurement-seam cell (9,G) the matrix peak — JTBD told us</w:t>
      </w:r>
      <w:r>
        <w:t xml:space="preserve"> </w:t>
      </w:r>
      <w:r>
        <w:rPr>
          <w:i/>
          <w:iCs/>
        </w:rPr>
        <w:t xml:space="preserve">which</w:t>
      </w:r>
      <w:r>
        <w:t xml:space="preserve"> </w:t>
      </w:r>
      <w:r>
        <w:t xml:space="preserve">job; F5 told us</w:t>
      </w:r>
      <w:r>
        <w:t xml:space="preserve"> </w:t>
      </w:r>
      <w:r>
        <w:rPr>
          <w:i/>
          <w:iCs/>
        </w:rPr>
        <w:t xml:space="preserve">which</w:t>
      </w:r>
      <w:r>
        <w:t xml:space="preserve"> </w:t>
      </w:r>
      <w:r>
        <w:t xml:space="preserve">counterparties. Both needed.</w:t>
      </w:r>
      <w:r>
        <w:t xml:space="preserve"> </w:t>
      </w:r>
      <w:r>
        <w:rPr>
          <w:b/>
          <w:bCs/>
        </w:rPr>
        <w:t xml:space="preserve">Use again for:</w:t>
      </w:r>
      <w:r>
        <w:t xml:space="preserve"> </w:t>
      </w:r>
      <w:r>
        <w:t xml:space="preserve">any new-product positioning question at organizational scale, particularly when the buyer is a federation (CRO + CFO + CCO + Board) rather than a single role. Conflating end-user JTBD (B7) with org-scale JTBD (F3) is the most common error in vendor narratives — the layered B7 → F3 hierarchy is itself a transferable analysis tool.</w:t>
      </w:r>
    </w:p>
    <w:bookmarkEnd w:id="181"/>
    <w:bookmarkStart w:id="182" w:name="xiii.5-talent-capital-flow-f4"/>
    <w:p>
      <w:pPr>
        <w:pStyle w:val="Heading3"/>
      </w:pPr>
      <w:r>
        <w:t xml:space="preserve">XIII.5 — Talent + Capital Flow (F4)</w:t>
      </w:r>
    </w:p>
    <w:p>
      <w:pPr>
        <w:pStyle w:val="FirstParagraph"/>
      </w:pPr>
      <w:r>
        <w:rPr>
          <w:b/>
          <w:bCs/>
        </w:rPr>
        <w:t xml:space="preserve">Best for:</w:t>
      </w:r>
      <w:r>
        <w:t xml:space="preserve"> </w:t>
      </w:r>
      <w:r>
        <w:t xml:space="preserve">timing windows and equity arbitrage. F4’s NYC composite ranking of Hebbia #1 (under-funded ratio 2.5–5%, 0.20–0.40% equity, MBB+Stripe-flavored buyer fit, 2-quarter window before Series C) is the single most actionable Wave 1 finding. The MBB feed-stock activation pattern (Berger Feb / Park Mar / Sinclair Apr 2026) is what makes the 30-day MBB-network push viable — the warm-intro lattice is now real, not hypothetical. The Anthropic ARR Q3 2026 single-load-bearing-variable framing is what gives Bet #2 its offer-signature sequencing.</w:t>
      </w:r>
      <w:r>
        <w:t xml:space="preserve"> </w:t>
      </w:r>
      <w:r>
        <w:rPr>
          <w:b/>
          <w:bCs/>
        </w:rPr>
        <w:t xml:space="preserve">Missed:</w:t>
      </w:r>
      <w:r>
        <w:t xml:space="preserve"> </w:t>
      </w:r>
      <w:r>
        <w:t xml:space="preserve">cultural-fit beyond resume signals. F4 ranks Hebbia + Sierra + Rogo + Harvey + Glean on equity asymmetry + brand-prestige + secondary-liquidity — but does not rank them on whether Alex’s 12-year procurement-scar-tissue + AI-builder fluency + NYC operator profile actually</w:t>
      </w:r>
      <w:r>
        <w:t xml:space="preserve"> </w:t>
      </w:r>
      <w:r>
        <w:rPr>
          <w:i/>
          <w:iCs/>
        </w:rPr>
        <w:t xml:space="preserve">clicks</w:t>
      </w:r>
      <w:r>
        <w:t xml:space="preserve"> </w:t>
      </w:r>
      <w:r>
        <w:t xml:space="preserve">with Mehta’s vs Schmidt’s vs Tekriwal’s leadership style. That’s the dimension that decides which one converts to offer-signature; the framework can’t see it.</w:t>
      </w:r>
      <w:r>
        <w:t xml:space="preserve"> </w:t>
      </w:r>
      <w:r>
        <w:rPr>
          <w:b/>
          <w:bCs/>
        </w:rPr>
        <w:t xml:space="preserve">Use again for:</w:t>
      </w:r>
      <w:r>
        <w:t xml:space="preserve"> </w:t>
      </w:r>
      <w:r>
        <w:t xml:space="preserve">any operator-role decision with a finite signing window. Particularly load-bearing for the H2 2026 / H1 2027 Bet #2 offer window where Anthropic ARR resolution + Hebbia/Rogo Series C round timing compress the equity asymmetry inside a 6–9 month band that won’t reopen.</w:t>
      </w:r>
    </w:p>
    <w:bookmarkEnd w:id="182"/>
    <w:bookmarkStart w:id="183" w:name="X5c554f423f3bb8b47d1342c821137f7f0183211"/>
    <w:p>
      <w:pPr>
        <w:pStyle w:val="Heading3"/>
      </w:pPr>
      <w:r>
        <w:t xml:space="preserve">XIII.6 — Closing note on the framework stack</w:t>
      </w:r>
    </w:p>
    <w:p>
      <w:pPr>
        <w:pStyle w:val="FirstParagraph"/>
      </w:pPr>
      <w:r>
        <w:t xml:space="preserve">The five frameworks compounded. OCQ × Cell Matrix surfaced the cells; Wardley dated the windows; 7 Powers filtered the bets; JTBD validated the buyer pain; Talent + Capital Flow timed the offers. None of them alone would have produced the seven-bet sequencing — the 156-cell grid without Wardley dating would have under-prioritized Bet #3a; Wardley without 7 Powers would have over-funded Bet #5 standalone; 7 Powers without JTBD would have missed the L-column validation that promotes Bet-C9; JTBD without Talent + Capital Flow would have left Bet #2 unanchored to Hebbia. The five-framework stack is itself the transferable artifact — apply it as a template at the next zoom level.</w:t>
      </w:r>
    </w:p>
    <w:p>
      <w:r>
        <w:pict>
          <v:rect style="width:0;height:1.5pt" o:hralign="center" o:hrstd="t" o:hr="t"/>
        </w:pict>
      </w:r>
    </w:p>
    <w:p>
      <w:pPr>
        <w:pStyle w:val="FirstParagraph"/>
      </w:pPr>
      <w:r>
        <w:rPr>
          <w:i/>
          <w:iCs/>
        </w:rPr>
        <w:t xml:space="preserve">End AGENTS_GTM_ADDENDUM Part B (Parts X–XIII). ~7,800 words. Companion to Part A. Both feed into the next refresh of</w:t>
      </w:r>
      <w:r>
        <w:rPr>
          <w:i/>
          <w:iCs/>
        </w:rPr>
        <w:t xml:space="preserve"> </w:t>
      </w:r>
      <w:r>
        <w:rPr>
          <w:rStyle w:val="VerbatimChar"/>
          <w:i/>
          <w:iCs/>
        </w:rPr>
        <w:t xml:space="preserve">output/ai-stack/OCQ_TRACKER.md</w:t>
      </w:r>
      <w:r>
        <w:rPr>
          <w:i/>
          <w:iCs/>
        </w:rPr>
        <w:t xml:space="preserve"> </w:t>
      </w:r>
      <w:r>
        <w:rPr>
          <w:i/>
          <w:iCs/>
        </w:rPr>
        <w:t xml:space="preserve">per the BETS_DELTA_NOTE annotations.</w:t>
      </w:r>
    </w:p>
    <w:p>
      <w:r>
        <w:pict>
          <v:rect style="width:0;height:1.5pt" o:hralign="center" o:hrstd="t" o:hr="t"/>
        </w:pict>
      </w:r>
    </w:p>
    <w:p>
      <w:pPr>
        <w:pStyle w:val="FirstParagraph"/>
      </w:pPr>
      <w:r>
        <w:t xml:space="preserve">Five frameworks. One Volume IV. The compounding lives in the stack.</w:t>
      </w:r>
    </w:p>
    <w:p>
      <w:r>
        <w:pict>
          <v:rect style="width:0;height:1.5pt" o:hralign="center" o:hrstd="t" o:hr="t"/>
        </w:pict>
      </w:r>
    </w:p>
    <w:bookmarkEnd w:id="183"/>
    <w:bookmarkEnd w:id="184"/>
    <w:bookmarkStart w:id="185" w:name="X8877140d9726d256d9548f219df54e2544015a7"/>
    <w:p>
      <w:pPr>
        <w:pStyle w:val="Heading2"/>
      </w:pPr>
      <w:r>
        <w:t xml:space="preserve">Chapter 9 · Appendix A · Visual Atlas Reference</w:t>
      </w:r>
    </w:p>
    <w:p>
      <w:pPr>
        <w:pStyle w:val="FirstParagraph"/>
      </w:pPr>
      <w:r>
        <w:t xml:space="preserve">Four PDFs, twelve plates total. Each plate pairs with one or more chapters in this Master Read-Through. The table below tells you what is on which plate and when in the read to open it.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File</w:t>
            </w:r>
          </w:p>
        </w:tc>
        <w:tc>
          <w:tcPr/>
          <w:p>
            <w:pPr>
              <w:pStyle w:val="Compact"/>
            </w:pPr>
            <w:r>
              <w:t xml:space="preserve">Plate</w:t>
            </w:r>
          </w:p>
        </w:tc>
        <w:tc>
          <w:tcPr/>
          <w:p>
            <w:pPr>
              <w:pStyle w:val="Compact"/>
            </w:pPr>
            <w:r>
              <w:t xml:space="preserve">Title</w:t>
            </w:r>
          </w:p>
        </w:tc>
        <w:tc>
          <w:tcPr/>
          <w:p>
            <w:pPr>
              <w:pStyle w:val="Compact"/>
            </w:pPr>
            <w:r>
              <w:t xml:space="preserve">What it shows</w:t>
            </w:r>
          </w:p>
        </w:tc>
        <w:tc>
          <w:tcPr/>
          <w:p>
            <w:pPr>
              <w:pStyle w:val="Compact"/>
            </w:pPr>
            <w:r>
              <w:t xml:space="preserve">Open during</w:t>
            </w:r>
          </w:p>
        </w:tc>
      </w:tr>
      <w:tr>
        <w:tc>
          <w:tcPr/>
          <w:p>
            <w:pPr>
              <w:pStyle w:val="Compact"/>
            </w:pPr>
            <w:r>
              <w:rPr>
                <w:rStyle w:val="VerbatimChar"/>
              </w:rPr>
              <w:t xml:space="preserve">AGENTS_GTM_MATRIX.pdf</w:t>
            </w:r>
          </w:p>
        </w:tc>
        <w:tc>
          <w:tcPr/>
          <w:p>
            <w:pPr>
              <w:pStyle w:val="Compact"/>
            </w:pPr>
            <w:r>
              <w:t xml:space="preserve">I</w:t>
            </w:r>
          </w:p>
        </w:tc>
        <w:tc>
          <w:tcPr/>
          <w:p>
            <w:pPr>
              <w:pStyle w:val="Compact"/>
            </w:pPr>
            <w:r>
              <w:t xml:space="preserve">Cell Matrix (labeled)</w:t>
            </w:r>
          </w:p>
        </w:tc>
        <w:tc>
          <w:tcPr/>
          <w:p>
            <w:pPr>
              <w:pStyle w:val="Compact"/>
            </w:pPr>
            <w:r>
              <w:t xml:space="preserve">12 × 13 cells with vendor abbreviations, sub-stratum tags, OCQ scores; vermilion-flagged top-15 cells</w:t>
            </w:r>
          </w:p>
        </w:tc>
        <w:tc>
          <w:tcPr/>
          <w:p>
            <w:pPr>
              <w:pStyle w:val="Compact"/>
            </w:pPr>
            <w:r>
              <w:t xml:space="preserve">Chapter 2</w:t>
            </w:r>
          </w:p>
        </w:tc>
      </w:tr>
      <w:tr>
        <w:tc>
          <w:tcPr/>
          <w:p>
            <w:pPr>
              <w:pStyle w:val="Compact"/>
            </w:pPr>
            <w:r>
              <w:rPr>
                <w:rStyle w:val="VerbatimChar"/>
              </w:rPr>
              <w:t xml:space="preserve">AGENTS_GTM_MASTER_PLATE.pdf</w:t>
            </w:r>
          </w:p>
        </w:tc>
        <w:tc>
          <w:tcPr/>
          <w:p>
            <w:pPr>
              <w:pStyle w:val="Compact"/>
            </w:pPr>
            <w:r>
              <w:t xml:space="preserve">M</w:t>
            </w:r>
          </w:p>
        </w:tc>
        <w:tc>
          <w:tcPr/>
          <w:p>
            <w:pPr>
              <w:pStyle w:val="Compact"/>
            </w:pPr>
            <w:r>
              <w:t xml:space="preserve">Whole-Thesis Synthesis</w:t>
            </w:r>
          </w:p>
        </w:tc>
        <w:tc>
          <w:tcPr/>
          <w:p>
            <w:pPr>
              <w:pStyle w:val="Compact"/>
            </w:pPr>
            <w:r>
              <w:t xml:space="preserve">Cell-matrix heat inset, three-paragraph thesis, seven-counterparty gauntlet, Updated 7 Bets with star conviction marks, NYC operator ranking (Hebbia #1 vermilion), six Cruxes with date triggers</w:t>
            </w:r>
          </w:p>
        </w:tc>
        <w:tc>
          <w:tcPr/>
          <w:p>
            <w:pPr>
              <w:pStyle w:val="Compact"/>
            </w:pPr>
            <w:r>
              <w:t xml:space="preserve">Chapter 1</w:t>
            </w:r>
          </w:p>
        </w:tc>
      </w:tr>
      <w:tr>
        <w:tc>
          <w:tcPr/>
          <w:p>
            <w:pPr>
              <w:pStyle w:val="Compact"/>
            </w:pPr>
            <w:r>
              <w:rPr>
                <w:rStyle w:val="VerbatimChar"/>
              </w:rPr>
              <w:t xml:space="preserve">AGENTS_GTM_SUBSTRATE.pdf</w:t>
            </w:r>
          </w:p>
        </w:tc>
        <w:tc>
          <w:tcPr/>
          <w:p>
            <w:pPr>
              <w:pStyle w:val="Compact"/>
            </w:pPr>
            <w:r>
              <w:t xml:space="preserve">I</w:t>
            </w:r>
          </w:p>
        </w:tc>
        <w:tc>
          <w:tcPr/>
          <w:p>
            <w:pPr>
              <w:pStyle w:val="Compact"/>
            </w:pPr>
            <w:r>
              <w:t xml:space="preserve">Cell Index</w:t>
            </w:r>
          </w:p>
        </w:tc>
        <w:tc>
          <w:tcPr/>
          <w:p>
            <w:pPr>
              <w:pStyle w:val="Compact"/>
            </w:pPr>
            <w:r>
              <w:t xml:space="preserve">Two-column register: all 102 mapped cells with status glyphs + OCQ; right column ranked top-30 by OCQ with vendor + stratum tags</w:t>
            </w:r>
          </w:p>
        </w:tc>
        <w:tc>
          <w:tcPr/>
          <w:p>
            <w:pPr>
              <w:pStyle w:val="Compact"/>
            </w:pPr>
            <w:r>
              <w:t xml:space="preserve">Chapter 2 (reference)</w:t>
            </w:r>
          </w:p>
        </w:tc>
      </w:tr>
      <w:tr>
        <w:tc>
          <w:tcPr/>
          <w:p>
            <w:pPr>
              <w:pStyle w:val="Compact"/>
            </w:pPr>
            <w:r>
              <w:rPr>
                <w:rStyle w:val="VerbatimChar"/>
              </w:rPr>
              <w:t xml:space="preserve">AGENTS_GTM_SUBSTRATE.pdf</w:t>
            </w:r>
          </w:p>
        </w:tc>
        <w:tc>
          <w:tcPr/>
          <w:p>
            <w:pPr>
              <w:pStyle w:val="Compact"/>
            </w:pPr>
            <w:r>
              <w:t xml:space="preserve">II</w:t>
            </w:r>
          </w:p>
        </w:tc>
        <w:tc>
          <w:tcPr/>
          <w:p>
            <w:pPr>
              <w:pStyle w:val="Compact"/>
            </w:pPr>
            <w:r>
              <w:t xml:space="preserve">Functions I–VI Deep-Dive</w:t>
            </w:r>
          </w:p>
        </w:tc>
        <w:tc>
          <w:tcPr/>
          <w:p>
            <w:pPr>
              <w:pStyle w:val="Compact"/>
            </w:pPr>
            <w:r>
              <w:t xml:space="preserve">Marketing + Selling at higher cell-resolution; six function rows × thirteen capability columns; vermilion top-15 cells called out in callout register</w:t>
            </w:r>
          </w:p>
        </w:tc>
        <w:tc>
          <w:tcPr/>
          <w:p>
            <w:pPr>
              <w:pStyle w:val="Compact"/>
            </w:pPr>
            <w:r>
              <w:t xml:space="preserve">Chapter 2</w:t>
            </w:r>
          </w:p>
        </w:tc>
      </w:tr>
      <w:tr>
        <w:tc>
          <w:tcPr/>
          <w:p>
            <w:pPr>
              <w:pStyle w:val="Compact"/>
            </w:pPr>
            <w:r>
              <w:rPr>
                <w:rStyle w:val="VerbatimChar"/>
              </w:rPr>
              <w:t xml:space="preserve">AGENTS_GTM_SUBSTRATE.pdf</w:t>
            </w:r>
          </w:p>
        </w:tc>
        <w:tc>
          <w:tcPr/>
          <w:p>
            <w:pPr>
              <w:pStyle w:val="Compact"/>
            </w:pPr>
            <w:r>
              <w:t xml:space="preserve">III</w:t>
            </w:r>
          </w:p>
        </w:tc>
        <w:tc>
          <w:tcPr/>
          <w:p>
            <w:pPr>
              <w:pStyle w:val="Compact"/>
            </w:pPr>
            <w:r>
              <w:t xml:space="preserve">Functions VII–XII Deep-Dive</w:t>
            </w:r>
          </w:p>
        </w:tc>
        <w:tc>
          <w:tcPr/>
          <w:p>
            <w:pPr>
              <w:pStyle w:val="Compact"/>
            </w:pPr>
            <w:r>
              <w:t xml:space="preserve">Operations + Post-Sale + Planning at higher cell-resolution; (9, G) marked with full-width vermilion frame as</w:t>
            </w:r>
            <w:r>
              <w:t xml:space="preserve"> </w:t>
            </w:r>
            <w:r>
              <w:t xml:space="preserve">“THE CELL OF RECORD · OCQ 19/20”</w:t>
            </w:r>
          </w:p>
        </w:tc>
        <w:tc>
          <w:tcPr/>
          <w:p>
            <w:pPr>
              <w:pStyle w:val="Compact"/>
            </w:pPr>
            <w:r>
              <w:t xml:space="preserve">Chapter 2</w:t>
            </w:r>
          </w:p>
        </w:tc>
      </w:tr>
      <w:tr>
        <w:tc>
          <w:tcPr/>
          <w:p>
            <w:pPr>
              <w:pStyle w:val="Compact"/>
            </w:pPr>
            <w:r>
              <w:rPr>
                <w:rStyle w:val="VerbatimChar"/>
              </w:rPr>
              <w:t xml:space="preserve">AGENTS_GTM_SUBSTRATE.pdf</w:t>
            </w:r>
          </w:p>
        </w:tc>
        <w:tc>
          <w:tcPr/>
          <w:p>
            <w:pPr>
              <w:pStyle w:val="Compact"/>
            </w:pPr>
            <w:r>
              <w:t xml:space="preserve">IV</w:t>
            </w:r>
          </w:p>
        </w:tc>
        <w:tc>
          <w:tcPr/>
          <w:p>
            <w:pPr>
              <w:pStyle w:val="Compact"/>
            </w:pPr>
            <w:r>
              <w:t xml:space="preserve">Seven-Counterparty Gauntlet</w:t>
            </w:r>
          </w:p>
        </w:tc>
        <w:tc>
          <w:tcPr/>
          <w:p>
            <w:pPr>
              <w:pStyle w:val="Compact"/>
            </w:pPr>
            <w:r>
              <w:t xml:space="preserve">Seven vertical chair-columns left-to-right (InfoSec → Legal → Privacy → AI Governance → Procurement → Sponsor → EA) with three verbatim 2026 questions each; calendar-time axis with three regime bars; sectoral overlays</w:t>
            </w:r>
          </w:p>
        </w:tc>
        <w:tc>
          <w:tcPr/>
          <w:p>
            <w:pPr>
              <w:pStyle w:val="Compact"/>
            </w:pPr>
            <w:r>
              <w:t xml:space="preserve">Chapters 4 + 6 (Playbook §II)</w:t>
            </w:r>
          </w:p>
        </w:tc>
      </w:tr>
      <w:tr>
        <w:tc>
          <w:tcPr/>
          <w:p>
            <w:pPr>
              <w:pStyle w:val="Compact"/>
            </w:pPr>
            <w:r>
              <w:rPr>
                <w:rStyle w:val="VerbatimChar"/>
              </w:rPr>
              <w:t xml:space="preserve">AGENTS_GTM_SUBSTRATE.pdf</w:t>
            </w:r>
          </w:p>
        </w:tc>
        <w:tc>
          <w:tcPr/>
          <w:p>
            <w:pPr>
              <w:pStyle w:val="Compact"/>
            </w:pPr>
            <w:r>
              <w:t xml:space="preserve">V</w:t>
            </w:r>
          </w:p>
        </w:tc>
        <w:tc>
          <w:tcPr/>
          <w:p>
            <w:pPr>
              <w:pStyle w:val="Compact"/>
            </w:pPr>
            <w:r>
              <w:t xml:space="preserve">Talent Flow · NYC Q2 2026</w:t>
            </w:r>
          </w:p>
        </w:tc>
        <w:tc>
          <w:tcPr/>
          <w:p>
            <w:pPr>
              <w:pStyle w:val="Compact"/>
            </w:pPr>
            <w:r>
              <w:t xml:space="preserve">Sankey-style flow from four feed-stocks (Stripe/Ramp/Datadog/Snowflake · MBB · Foundation-lab AE · Enterprise B2B) into ten ranked NYC destinations with Hebbia vermilion #1</w:t>
            </w:r>
          </w:p>
        </w:tc>
        <w:tc>
          <w:tcPr/>
          <w:p>
            <w:pPr>
              <w:pStyle w:val="Compact"/>
            </w:pPr>
            <w:r>
              <w:t xml:space="preserve">Chapter 5</w:t>
            </w:r>
          </w:p>
        </w:tc>
      </w:tr>
      <w:tr>
        <w:tc>
          <w:tcPr/>
          <w:p>
            <w:pPr>
              <w:pStyle w:val="Compact"/>
            </w:pPr>
            <w:r>
              <w:rPr>
                <w:rStyle w:val="VerbatimChar"/>
              </w:rPr>
              <w:t xml:space="preserve">AGENTS_GTM_DECISIONS.pdf</w:t>
            </w:r>
          </w:p>
        </w:tc>
        <w:tc>
          <w:tcPr/>
          <w:p>
            <w:pPr>
              <w:pStyle w:val="Compact"/>
            </w:pPr>
            <w:r>
              <w:t xml:space="preserve">VI</w:t>
            </w:r>
          </w:p>
        </w:tc>
        <w:tc>
          <w:tcPr/>
          <w:p>
            <w:pPr>
              <w:pStyle w:val="Compact"/>
            </w:pPr>
            <w:r>
              <w:t xml:space="preserve">OCQ Cell-Heat</w:t>
            </w:r>
          </w:p>
        </w:tc>
        <w:tc>
          <w:tcPr/>
          <w:p>
            <w:pPr>
              <w:pStyle w:val="Compact"/>
            </w:pPr>
            <w:r>
              <w:t xml:space="preserve">Pure intensity-only 12 × 13 heat-map (no labels in cells); three saturation bands; right-side OCQ distribution histogram</w:t>
            </w:r>
          </w:p>
        </w:tc>
        <w:tc>
          <w:tcPr/>
          <w:p>
            <w:pPr>
              <w:pStyle w:val="Compact"/>
            </w:pPr>
            <w:r>
              <w:t xml:space="preserve">Chapter 2 (overview)</w:t>
            </w:r>
          </w:p>
        </w:tc>
      </w:tr>
      <w:tr>
        <w:tc>
          <w:tcPr/>
          <w:p>
            <w:pPr>
              <w:pStyle w:val="Compact"/>
            </w:pPr>
            <w:r>
              <w:rPr>
                <w:rStyle w:val="VerbatimChar"/>
              </w:rPr>
              <w:t xml:space="preserve">AGENTS_GTM_DECISIONS.pdf</w:t>
            </w:r>
          </w:p>
        </w:tc>
        <w:tc>
          <w:tcPr/>
          <w:p>
            <w:pPr>
              <w:pStyle w:val="Compact"/>
            </w:pPr>
            <w:r>
              <w:t xml:space="preserve">VII</w:t>
            </w:r>
          </w:p>
        </w:tc>
        <w:tc>
          <w:tcPr/>
          <w:p>
            <w:pPr>
              <w:pStyle w:val="Compact"/>
            </w:pPr>
            <w:r>
              <w:t xml:space="preserve">Wardley Evolution Map</w:t>
            </w:r>
          </w:p>
        </w:tc>
        <w:tc>
          <w:tcPr/>
          <w:p>
            <w:pPr>
              <w:pStyle w:val="Compact"/>
            </w:pPr>
            <w:r>
              <w:t xml:space="preserve">Four anchored user needs at top; ~35 components placed along Genesis → Custom → Product → Commodity axis; six punctuated equilibria as vermilion arrows; Pioneer/Settle/Town-Plan/Partner quadrants with Alex’s vermilion star in Pioneer</w:t>
            </w:r>
          </w:p>
        </w:tc>
        <w:tc>
          <w:tcPr/>
          <w:p>
            <w:pPr>
              <w:pStyle w:val="Compact"/>
            </w:pPr>
            <w:r>
              <w:t xml:space="preserve">Chapter 3</w:t>
            </w:r>
          </w:p>
        </w:tc>
      </w:tr>
      <w:tr>
        <w:tc>
          <w:tcPr/>
          <w:p>
            <w:pPr>
              <w:pStyle w:val="Compact"/>
            </w:pPr>
            <w:r>
              <w:rPr>
                <w:rStyle w:val="VerbatimChar"/>
              </w:rPr>
              <w:t xml:space="preserve">AGENTS_GTM_DECISIONS.pdf</w:t>
            </w:r>
          </w:p>
        </w:tc>
        <w:tc>
          <w:tcPr/>
          <w:p>
            <w:pPr>
              <w:pStyle w:val="Compact"/>
            </w:pPr>
            <w:r>
              <w:t xml:space="preserve">VIII</w:t>
            </w:r>
          </w:p>
        </w:tc>
        <w:tc>
          <w:tcPr/>
          <w:p>
            <w:pPr>
              <w:pStyle w:val="Compact"/>
            </w:pPr>
            <w:r>
              <w:t xml:space="preserve">7 Powers Durability Screen</w:t>
            </w:r>
          </w:p>
        </w:tc>
        <w:tc>
          <w:tcPr/>
          <w:p>
            <w:pPr>
              <w:pStyle w:val="Compact"/>
            </w:pPr>
            <w:r>
              <w:t xml:space="preserve">30 companies in sub-grouped rows × 7 Powers columns; top-5 most-durable in vermilion; top-5 most-over-rated with horizontal slash; per-row dominant-power verdict</w:t>
            </w:r>
          </w:p>
        </w:tc>
        <w:tc>
          <w:tcPr/>
          <w:p>
            <w:pPr>
              <w:pStyle w:val="Compact"/>
            </w:pPr>
            <w:r>
              <w:t xml:space="preserve">Chapter 3</w:t>
            </w:r>
          </w:p>
        </w:tc>
      </w:tr>
      <w:tr>
        <w:tc>
          <w:tcPr/>
          <w:p>
            <w:pPr>
              <w:pStyle w:val="Compact"/>
            </w:pPr>
            <w:r>
              <w:rPr>
                <w:rStyle w:val="VerbatimChar"/>
              </w:rPr>
              <w:t xml:space="preserve">AGENTS_GTM_DECISIONS.pdf</w:t>
            </w:r>
          </w:p>
        </w:tc>
        <w:tc>
          <w:tcPr/>
          <w:p>
            <w:pPr>
              <w:pStyle w:val="Compact"/>
            </w:pPr>
            <w:r>
              <w:t xml:space="preserve">IX</w:t>
            </w:r>
          </w:p>
        </w:tc>
        <w:tc>
          <w:tcPr/>
          <w:p>
            <w:pPr>
              <w:pStyle w:val="Compact"/>
            </w:pPr>
            <w:r>
              <w:t xml:space="preserve">JTBD 5-Jobs × 8-Phases</w:t>
            </w:r>
          </w:p>
        </w:tc>
        <w:tc>
          <w:tcPr/>
          <w:p>
            <w:pPr>
              <w:pStyle w:val="Compact"/>
            </w:pPr>
            <w:r>
              <w:t xml:space="preserve">Five jobs as rows, eight Ulwick phases as columns; high-gap cells (≥7) flagged vermilion; Alex-fit jobs (J1, J4, J2) marked with vermilion brackets</w:t>
            </w:r>
          </w:p>
        </w:tc>
        <w:tc>
          <w:tcPr/>
          <w:p>
            <w:pPr>
              <w:pStyle w:val="Compact"/>
            </w:pPr>
            <w:r>
              <w:t xml:space="preserve">Chapter 3</w:t>
            </w:r>
          </w:p>
        </w:tc>
      </w:tr>
      <w:tr>
        <w:tc>
          <w:tcPr/>
          <w:p>
            <w:pPr>
              <w:pStyle w:val="Compact"/>
            </w:pPr>
            <w:r>
              <w:rPr>
                <w:rStyle w:val="VerbatimChar"/>
              </w:rPr>
              <w:t xml:space="preserve">AGENTS_GTM_DECISIONS.pdf</w:t>
            </w:r>
          </w:p>
        </w:tc>
        <w:tc>
          <w:tcPr/>
          <w:p>
            <w:pPr>
              <w:pStyle w:val="Compact"/>
            </w:pPr>
            <w:r>
              <w:t xml:space="preserve">X</w:t>
            </w:r>
          </w:p>
        </w:tc>
        <w:tc>
          <w:tcPr/>
          <w:p>
            <w:pPr>
              <w:pStyle w:val="Compact"/>
            </w:pPr>
            <w:r>
              <w:t xml:space="preserve">Action Portfolio · 18-Month Map</w:t>
            </w:r>
          </w:p>
        </w:tc>
        <w:tc>
          <w:tcPr/>
          <w:p>
            <w:pPr>
              <w:pStyle w:val="Compact"/>
            </w:pPr>
            <w:r>
              <w:t xml:space="preserve">Updated 8 Bets as star-conviction cards (top register); 18-month Gantt May 2026 → Nov 2027; six Cruxes as vermilion date markers; ten candidate-bet verdicts</w:t>
            </w:r>
          </w:p>
        </w:tc>
        <w:tc>
          <w:tcPr/>
          <w:p>
            <w:pPr>
              <w:pStyle w:val="Compact"/>
            </w:pPr>
            <w:r>
              <w:t xml:space="preserve">Chapters 4 + 5</w:t>
            </w:r>
          </w:p>
        </w:tc>
      </w:tr>
    </w:tbl>
    <w:p>
      <w:pPr>
        <w:pStyle w:val="BodyText"/>
      </w:pPr>
      <w:r>
        <w:t xml:space="preserve">Use the visual atlas as a parallel surface to the document. The plates were designed to be readable in two minutes each; together they take ~24 minutes of looking. The document chapters that pair with each plate take longer to read but make the plate land harder.</w:t>
      </w:r>
    </w:p>
    <w:p>
      <w:r>
        <w:pict>
          <v:rect style="width:0;height:1.5pt" o:hralign="center" o:hrstd="t" o:hr="t"/>
        </w:pict>
      </w:r>
    </w:p>
    <w:bookmarkEnd w:id="185"/>
    <w:bookmarkStart w:id="191" w:name="Xa507df0b72433f9c9a13ef849cb95bb88610206"/>
    <w:p>
      <w:pPr>
        <w:pStyle w:val="Heading2"/>
      </w:pPr>
      <w:r>
        <w:t xml:space="preserve">Chapter 10 · Appendix B · Source-Material Index</w:t>
      </w:r>
    </w:p>
    <w:p>
      <w:pPr>
        <w:pStyle w:val="FirstParagraph"/>
      </w:pPr>
      <w:r>
        <w:t xml:space="preserve">These are the underlying source files that fed the Addendum + Playbook. You should not read these end-to-end. They are forensic-lookup material for questions like:</w:t>
      </w:r>
      <w:r>
        <w:t xml:space="preserve"> </w:t>
      </w:r>
      <w:r>
        <w:t xml:space="preserve">“where did the (5, F) buying-committee mapping finding originate?”</w:t>
      </w:r>
      <w:r>
        <w:t xml:space="preserve"> </w:t>
      </w:r>
      <w:r>
        <w:t xml:space="preserve">(answer:</w:t>
      </w:r>
      <w:r>
        <w:t xml:space="preserve"> </w:t>
      </w:r>
      <w:r>
        <w:rPr>
          <w:rStyle w:val="VerbatimChar"/>
        </w:rPr>
        <w:t xml:space="preserve">wave1_C2.md</w:t>
      </w:r>
      <w:r>
        <w:t xml:space="preserve">). Or:</w:t>
      </w:r>
      <w:r>
        <w:t xml:space="preserve"> </w:t>
      </w:r>
      <w:r>
        <w:t xml:space="preserve">“what was the 7 Powers verdict on Sierra?”</w:t>
      </w:r>
      <w:r>
        <w:t xml:space="preserve"> </w:t>
      </w:r>
      <w:r>
        <w:t xml:space="preserve">(answer:</w:t>
      </w:r>
      <w:r>
        <w:t xml:space="preserve"> </w:t>
      </w:r>
      <w:r>
        <w:rPr>
          <w:rStyle w:val="VerbatimChar"/>
        </w:rPr>
        <w:t xml:space="preserve">wave2_F2_seven_powers.md</w:t>
      </w:r>
      <w:r>
        <w:t xml:space="preserve">).</w:t>
      </w:r>
    </w:p>
    <w:p>
      <w:pPr>
        <w:pStyle w:val="BodyText"/>
      </w:pPr>
      <w:r>
        <w:t xml:space="preserve">All files live in</w:t>
      </w:r>
      <w:r>
        <w:t xml:space="preserve"> </w:t>
      </w:r>
      <w:r>
        <w:rPr>
          <w:rStyle w:val="VerbatimChar"/>
        </w:rPr>
        <w:t xml:space="preserve">/Users/sameoldexpressions/Documents/GitHub/alex-agents-skills/output/agents-gtm/</w:t>
      </w:r>
      <w:r>
        <w:t xml:space="preserve">.</w:t>
      </w:r>
    </w:p>
    <w:bookmarkStart w:id="186" w:name="wave-1-cell-population-10-files"/>
    <w:p>
      <w:pPr>
        <w:pStyle w:val="Heading3"/>
      </w:pPr>
      <w:r>
        <w:t xml:space="preserve">Wave 1 — Cell Population (10 files)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What’s in it</w:t>
            </w:r>
          </w:p>
        </w:tc>
        <w:tc>
          <w:tcPr/>
          <w:p>
            <w:pPr>
              <w:pStyle w:val="Compact"/>
            </w:pPr>
            <w:r>
              <w:t xml:space="preserve">When to reach for it</w:t>
            </w:r>
          </w:p>
        </w:tc>
      </w:tr>
      <w:tr>
        <w:tc>
          <w:tcPr/>
          <w:p>
            <w:pPr>
              <w:pStyle w:val="Compact"/>
            </w:pPr>
            <w:r>
              <w:rPr>
                <w:rStyle w:val="VerbatimChar"/>
              </w:rPr>
              <w:t xml:space="preserve">wave1_C1.md</w:t>
            </w:r>
          </w:p>
        </w:tc>
        <w:tc>
          <w:tcPr/>
          <w:p>
            <w:pPr>
              <w:pStyle w:val="Compact"/>
            </w:pPr>
            <w:r>
              <w:t xml:space="preserve">Functions 1–3 (Demand-gen / Content-SEO / Inbound-PLG) × 13 capabilities. 39 cells. ~2,500 words. Includes (1, K) / (2, K) creative GUI cell flagged as Alex-claimable from Bazaarvoice/Curalate background.</w:t>
            </w:r>
          </w:p>
        </w:tc>
        <w:tc>
          <w:tcPr/>
          <w:p>
            <w:pPr>
              <w:pStyle w:val="Compact"/>
            </w:pPr>
            <w:r>
              <w:t xml:space="preserve">Marketing-side cell deep dive</w:t>
            </w:r>
          </w:p>
        </w:tc>
      </w:tr>
      <w:tr>
        <w:tc>
          <w:tcPr/>
          <w:p>
            <w:pPr>
              <w:pStyle w:val="Compact"/>
            </w:pPr>
            <w:r>
              <w:rPr>
                <w:rStyle w:val="VerbatimChar"/>
              </w:rPr>
              <w:t xml:space="preserve">wave1_C2.md</w:t>
            </w:r>
          </w:p>
        </w:tc>
        <w:tc>
          <w:tcPr/>
          <w:p>
            <w:pPr>
              <w:pStyle w:val="Compact"/>
            </w:pPr>
            <w:r>
              <w:t xml:space="preserve">Functions 4–6 (Outbound / ABM / New-biz AE) × 13 capabilities. 39 cells. ~3,670 words. Surfaces (5, F) buying-committee mapping at OCQ 18, (6, E) deal-diagnosis at OCQ 17, (6, L) persistent AE memory at OCQ 16. The densest funded bucket.</w:t>
            </w:r>
          </w:p>
        </w:tc>
        <w:tc>
          <w:tcPr/>
          <w:p>
            <w:pPr>
              <w:pStyle w:val="Compact"/>
            </w:pPr>
            <w:r>
              <w:t xml:space="preserve">Sales-side cell deep dive</w:t>
            </w:r>
          </w:p>
        </w:tc>
      </w:tr>
      <w:tr>
        <w:tc>
          <w:tcPr/>
          <w:p>
            <w:pPr>
              <w:pStyle w:val="Compact"/>
            </w:pPr>
            <w:r>
              <w:rPr>
                <w:rStyle w:val="VerbatimChar"/>
              </w:rPr>
              <w:t xml:space="preserve">wave1_C3.md</w:t>
            </w:r>
          </w:p>
        </w:tc>
        <w:tc>
          <w:tcPr/>
          <w:p>
            <w:pPr>
              <w:pStyle w:val="Compact"/>
            </w:pPr>
            <w:r>
              <w:t xml:space="preserve">Functions 7–9 (Enablement / RevOps / Deal-desk) × 13 capabilities. 39 cells + 600w on (9, G) procurement-seam. ~4,050 words. The most load-bearing C-agent — surfaced (9, G) at OCQ 19/20.</w:t>
            </w:r>
          </w:p>
        </w:tc>
        <w:tc>
          <w:tcPr/>
          <w:p>
            <w:pPr>
              <w:pStyle w:val="Compact"/>
            </w:pPr>
            <w:r>
              <w:t xml:space="preserve">The procurement-seam cell origin</w:t>
            </w:r>
          </w:p>
        </w:tc>
      </w:tr>
      <w:tr>
        <w:tc>
          <w:tcPr/>
          <w:p>
            <w:pPr>
              <w:pStyle w:val="Compact"/>
            </w:pPr>
            <w:r>
              <w:rPr>
                <w:rStyle w:val="VerbatimChar"/>
              </w:rPr>
              <w:t xml:space="preserve">wave1_C4.md</w:t>
            </w:r>
          </w:p>
        </w:tc>
        <w:tc>
          <w:tcPr/>
          <w:p>
            <w:pPr>
              <w:pStyle w:val="Compact"/>
            </w:pPr>
            <w:r>
              <w:t xml:space="preserve">Functions 10–11 (CS / AM-Renewals) × 13 capabilities. 26 cells. ~2,380 words. Klarna reversal Feb 2025 + (11, L) cross-quarter persistent memory gap.</w:t>
            </w:r>
          </w:p>
        </w:tc>
        <w:tc>
          <w:tcPr/>
          <w:p>
            <w:pPr>
              <w:pStyle w:val="Compact"/>
            </w:pPr>
            <w:r>
              <w:t xml:space="preserve">CX/CS deep dive</w:t>
            </w:r>
          </w:p>
        </w:tc>
      </w:tr>
      <w:tr>
        <w:tc>
          <w:tcPr/>
          <w:p>
            <w:pPr>
              <w:pStyle w:val="Compact"/>
            </w:pPr>
            <w:r>
              <w:rPr>
                <w:rStyle w:val="VerbatimChar"/>
              </w:rPr>
              <w:t xml:space="preserve">wave1_C5.md</w:t>
            </w:r>
          </w:p>
        </w:tc>
        <w:tc>
          <w:tcPr/>
          <w:p>
            <w:pPr>
              <w:pStyle w:val="Compact"/>
            </w:pPr>
            <w:r>
              <w:t xml:space="preserve">Function 12 (Forecasting / GTM Strategy) × 13 capabilities. 13 cells. ~1,780 words. GTM-strategy-design cell confirmed empty.</w:t>
            </w:r>
          </w:p>
        </w:tc>
        <w:tc>
          <w:tcPr/>
          <w:p>
            <w:pPr>
              <w:pStyle w:val="Compact"/>
            </w:pPr>
            <w:r>
              <w:t xml:space="preserve">Forecasting deep dive</w:t>
            </w:r>
          </w:p>
        </w:tc>
      </w:tr>
      <w:tr>
        <w:tc>
          <w:tcPr/>
          <w:p>
            <w:pPr>
              <w:pStyle w:val="Compact"/>
            </w:pPr>
            <w:r>
              <w:rPr>
                <w:rStyle w:val="VerbatimChar"/>
              </w:rPr>
              <w:t xml:space="preserve">wave1_C6.md</w:t>
            </w:r>
          </w:p>
        </w:tc>
        <w:tc>
          <w:tcPr/>
          <w:p>
            <w:pPr>
              <w:pStyle w:val="Compact"/>
            </w:pPr>
            <w:r>
              <w:t xml:space="preserve">Cross-function platforms (Glean, Microsoft 365 Copilot, Salesforce Agentforce, Cloudflare gateway, etc.). ~2,180 words. Includes the gateway-control-plane analysis for Bet #3.</w:t>
            </w:r>
          </w:p>
        </w:tc>
        <w:tc>
          <w:tcPr/>
          <w:p>
            <w:pPr>
              <w:pStyle w:val="Compact"/>
            </w:pPr>
            <w:r>
              <w:t xml:space="preserve">Horizontal-vs-vertical analysis</w:t>
            </w:r>
          </w:p>
        </w:tc>
      </w:tr>
      <w:tr>
        <w:tc>
          <w:tcPr/>
          <w:p>
            <w:pPr>
              <w:pStyle w:val="Compact"/>
            </w:pPr>
            <w:r>
              <w:rPr>
                <w:rStyle w:val="VerbatimChar"/>
              </w:rPr>
              <w:t xml:space="preserve">wave1_F4.md</w:t>
            </w:r>
          </w:p>
        </w:tc>
        <w:tc>
          <w:tcPr/>
          <w:p>
            <w:pPr>
              <w:pStyle w:val="Compact"/>
            </w:pPr>
            <w:r>
              <w:t xml:space="preserve">Talent + capital flow. ~5,900 words (table-heavy). 27 named senior moves; 14 NYC-friendly open roles; ranked target list with Hebbia #1; MBB feed-stock activation.</w:t>
            </w:r>
          </w:p>
        </w:tc>
        <w:tc>
          <w:tcPr/>
          <w:p>
            <w:pPr>
              <w:pStyle w:val="Compact"/>
            </w:pPr>
            <w:r>
              <w:t xml:space="preserve">Career strategy + NYC targeting</w:t>
            </w:r>
          </w:p>
        </w:tc>
      </w:tr>
      <w:tr>
        <w:tc>
          <w:tcPr/>
          <w:p>
            <w:pPr>
              <w:pStyle w:val="Compact"/>
            </w:pPr>
            <w:r>
              <w:rPr>
                <w:rStyle w:val="VerbatimChar"/>
              </w:rPr>
              <w:t xml:space="preserve">wave1_F5.md</w:t>
            </w:r>
          </w:p>
        </w:tc>
        <w:tc>
          <w:tcPr/>
          <w:p>
            <w:pPr>
              <w:pStyle w:val="Compact"/>
            </w:pPr>
            <w:r>
              <w:t xml:space="preserve">Seven-counterparty buyer-side gauntlet. ~5,000 words. The chapter-grade source for Playbook Section II + 14 addenda + 3 sectoral overlays. F5 recommended 7 counterparties, not 6 (EA/IT added).</w:t>
            </w:r>
          </w:p>
        </w:tc>
        <w:tc>
          <w:tcPr/>
          <w:p>
            <w:pPr>
              <w:pStyle w:val="Compact"/>
            </w:pPr>
            <w:r>
              <w:t xml:space="preserve">Procurement gauntlet primary source</w:t>
            </w:r>
          </w:p>
        </w:tc>
      </w:tr>
      <w:tr>
        <w:tc>
          <w:tcPr/>
          <w:p>
            <w:pPr>
              <w:pStyle w:val="Compact"/>
            </w:pPr>
            <w:r>
              <w:rPr>
                <w:rStyle w:val="VerbatimChar"/>
              </w:rPr>
              <w:t xml:space="preserve">wave1_F6.md</w:t>
            </w:r>
          </w:p>
        </w:tc>
        <w:tc>
          <w:tcPr/>
          <w:p>
            <w:pPr>
              <w:pStyle w:val="Compact"/>
            </w:pPr>
            <w:r>
              <w:t xml:space="preserve">Pricing &amp; packaging. ~2,460 words. 22% inference cost at Sierra scale. Outcome-pricing exportability rule of thumb. Per-trajectory FinOps window.</w:t>
            </w:r>
          </w:p>
        </w:tc>
        <w:tc>
          <w:tcPr/>
          <w:p>
            <w:pPr>
              <w:pStyle w:val="Compact"/>
            </w:pPr>
            <w:r>
              <w:t xml:space="preserve">Playbook Section IV.15 + Decision Tree branch 8 source</w:t>
            </w:r>
          </w:p>
        </w:tc>
      </w:tr>
      <w:tr>
        <w:tc>
          <w:tcPr/>
          <w:p>
            <w:pPr>
              <w:pStyle w:val="Compact"/>
            </w:pPr>
            <w:r>
              <w:rPr>
                <w:rStyle w:val="VerbatimChar"/>
              </w:rPr>
              <w:t xml:space="preserve">wave1_playbook_draft.md</w:t>
            </w:r>
          </w:p>
        </w:tc>
        <w:tc>
          <w:tcPr/>
          <w:p>
            <w:pPr>
              <w:pStyle w:val="Compact"/>
            </w:pPr>
            <w:r>
              <w:t xml:space="preserve">First-pass Playbook draft from Phase 1. ~9,700 words. Foreword + 7 overlay chapters + Decision Tree (7 branches) + 38-term Glossary. Source of Sections I, III.1–7, V.1–7, VII of the final Playbook.</w:t>
            </w:r>
          </w:p>
        </w:tc>
        <w:tc>
          <w:tcPr/>
          <w:p>
            <w:pPr>
              <w:pStyle w:val="Compact"/>
            </w:pPr>
            <w:r>
              <w:t xml:space="preserve">Playbook draft origin</w:t>
            </w:r>
          </w:p>
        </w:tc>
      </w:tr>
    </w:tbl>
    <w:bookmarkEnd w:id="186"/>
    <w:bookmarkStart w:id="187" w:name="wave-1-synthesis-1-file"/>
    <w:p>
      <w:pPr>
        <w:pStyle w:val="Heading3"/>
      </w:pPr>
      <w:r>
        <w:t xml:space="preserve">Wave 1 — Synthesis (1 file)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What’s in it</w:t>
            </w:r>
          </w:p>
        </w:tc>
      </w:tr>
      <w:tr>
        <w:tc>
          <w:tcPr/>
          <w:p>
            <w:pPr>
              <w:pStyle w:val="Compact"/>
            </w:pPr>
            <w:r>
              <w:rPr>
                <w:rStyle w:val="VerbatimChar"/>
              </w:rPr>
              <w:t xml:space="preserve">wave1_synthesis.md</w:t>
            </w:r>
          </w:p>
        </w:tc>
        <w:tc>
          <w:tcPr/>
          <w:p>
            <w:pPr>
              <w:pStyle w:val="Compact"/>
            </w:pPr>
            <w:r>
              <w:t xml:space="preserve">Phase 2a unified view (~3,500 words). 12 × 13 cell map with OCQ scores; top-15 cell ranking; cross-bucket convergence findings; 8 contradictions for Phase 4 arbitration; 10 candidate new bets; Alex’s</w:t>
            </w:r>
            <w:r>
              <w:t xml:space="preserve"> </w:t>
            </w:r>
            <w:r>
              <w:t xml:space="preserve">“where to claim”</w:t>
            </w:r>
            <w:r>
              <w:t xml:space="preserve"> </w:t>
            </w:r>
            <w:r>
              <w:t xml:space="preserve">map; Wave 2 carry-forward facts.</w:t>
            </w:r>
            <w:r>
              <w:t xml:space="preserve"> </w:t>
            </w:r>
            <w:r>
              <w:rPr>
                <w:b/>
                <w:bCs/>
              </w:rPr>
              <w:t xml:space="preserve">This is the most reach-back-able single source file.</w:t>
            </w:r>
          </w:p>
        </w:tc>
      </w:tr>
    </w:tbl>
    <w:bookmarkEnd w:id="187"/>
    <w:bookmarkStart w:id="188" w:name="wave-2-framework-analysis-3-files"/>
    <w:p>
      <w:pPr>
        <w:pStyle w:val="Heading3"/>
      </w:pPr>
      <w:r>
        <w:t xml:space="preserve">Wave 2 — Framework Analysis (3 files)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What’s in it</w:t>
            </w:r>
          </w:p>
        </w:tc>
      </w:tr>
      <w:tr>
        <w:tc>
          <w:tcPr/>
          <w:p>
            <w:pPr>
              <w:pStyle w:val="Compact"/>
            </w:pPr>
            <w:r>
              <w:rPr>
                <w:rStyle w:val="VerbatimChar"/>
              </w:rPr>
              <w:t xml:space="preserve">wave2_F1_wardley.md</w:t>
            </w:r>
          </w:p>
        </w:tc>
        <w:tc>
          <w:tcPr/>
          <w:p>
            <w:pPr>
              <w:pStyle w:val="Compact"/>
            </w:pPr>
            <w:r>
              <w:t xml:space="preserve">Wardley map at agent-GTM cell-resolution. ~2,400 words. Six punctuated equilibria with dates. Strategic quadrants for Alex (Pioneer / Settle / Town-Plan / Partner). Bet #3 sequencing-change finding (must run concurrent with Bet #1, not deferred).</w:t>
            </w:r>
          </w:p>
        </w:tc>
      </w:tr>
      <w:tr>
        <w:tc>
          <w:tcPr/>
          <w:p>
            <w:pPr>
              <w:pStyle w:val="Compact"/>
            </w:pPr>
            <w:r>
              <w:rPr>
                <w:rStyle w:val="VerbatimChar"/>
              </w:rPr>
              <w:t xml:space="preserve">wave2_F2_seven_powers.md</w:t>
            </w:r>
          </w:p>
        </w:tc>
        <w:tc>
          <w:tcPr/>
          <w:p>
            <w:pPr>
              <w:pStyle w:val="Compact"/>
            </w:pPr>
            <w:r>
              <w:t xml:space="preserve">Helmer’s 7 Powers across 30 companies. ~2,400 words. Top 5 most-durable + top 5 most-over-rated. Operator-shape Powers Alex can claim. JOIN ranking Hebbia &gt; Sierra &gt; Rogo &gt; Harvey &gt; Glean. Bet #5 standalone least-Power-footed verdict.</w:t>
            </w:r>
          </w:p>
        </w:tc>
      </w:tr>
      <w:tr>
        <w:tc>
          <w:tcPr/>
          <w:p>
            <w:pPr>
              <w:pStyle w:val="Compact"/>
            </w:pPr>
            <w:r>
              <w:rPr>
                <w:rStyle w:val="VerbatimChar"/>
              </w:rPr>
              <w:t xml:space="preserve">wave2_F3_jtbd.md</w:t>
            </w:r>
          </w:p>
        </w:tc>
        <w:tc>
          <w:tcPr/>
          <w:p>
            <w:pPr>
              <w:pStyle w:val="Compact"/>
            </w:pPr>
            <w:r>
              <w:t xml:space="preserve">Ecosystem JTBD applied to GTM org as customer. ~2,800 words. Five jobs with owners and struggling moments. 15 highest-gap underserved outcomes. Three Alex-fit jobs with bet mapping. Common Room JOIN-vs-BUILD verdict.</w:t>
            </w:r>
          </w:p>
        </w:tc>
      </w:tr>
    </w:tbl>
    <w:bookmarkEnd w:id="188"/>
    <w:bookmarkStart w:id="189" w:name="X4062869ce351c938da664fbcf52ec3ce14443be"/>
    <w:p>
      <w:pPr>
        <w:pStyle w:val="Heading3"/>
      </w:pPr>
      <w:r>
        <w:t xml:space="preserve">Phase 4 / 5 Intermediate Files (the document halves before concatenation)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What’s in it</w:t>
            </w:r>
          </w:p>
        </w:tc>
      </w:tr>
      <w:tr>
        <w:tc>
          <w:tcPr/>
          <w:p>
            <w:pPr>
              <w:pStyle w:val="Compact"/>
            </w:pPr>
            <w:r>
              <w:rPr>
                <w:rStyle w:val="VerbatimChar"/>
              </w:rPr>
              <w:t xml:space="preserve">AGENTS_GTM_ADDENDUM_part_A.md</w:t>
            </w:r>
          </w:p>
        </w:tc>
        <w:tc>
          <w:tcPr/>
          <w:p>
            <w:pPr>
              <w:pStyle w:val="Compact"/>
            </w:pPr>
            <w:r>
              <w:t xml:space="preserve">Addendum Parts VI–IX (Methodology + OCQ Matrix + Wardley + 7 Powers). ~10,000 words.</w:t>
            </w:r>
          </w:p>
        </w:tc>
      </w:tr>
      <w:tr>
        <w:tc>
          <w:tcPr/>
          <w:p>
            <w:pPr>
              <w:pStyle w:val="Compact"/>
            </w:pPr>
            <w:r>
              <w:rPr>
                <w:rStyle w:val="VerbatimChar"/>
              </w:rPr>
              <w:t xml:space="preserve">AGENTS_GTM_ADDENDUM_part_B.md</w:t>
            </w:r>
          </w:p>
        </w:tc>
        <w:tc>
          <w:tcPr/>
          <w:p>
            <w:pPr>
              <w:pStyle w:val="Compact"/>
            </w:pPr>
            <w:r>
              <w:t xml:space="preserve">Addendum Parts X–XIII (JTBD + Updated Bets + Action Map + Reflections). ~8,600 words.</w:t>
            </w:r>
          </w:p>
        </w:tc>
      </w:tr>
      <w:tr>
        <w:tc>
          <w:tcPr/>
          <w:p>
            <w:pPr>
              <w:pStyle w:val="Compact"/>
            </w:pPr>
            <w:r>
              <w:rPr>
                <w:rStyle w:val="VerbatimChar"/>
              </w:rPr>
              <w:t xml:space="preserve">PLAYBOOK_part_A.md</w:t>
            </w:r>
          </w:p>
        </w:tc>
        <w:tc>
          <w:tcPr/>
          <w:p>
            <w:pPr>
              <w:pStyle w:val="Compact"/>
            </w:pPr>
            <w:r>
              <w:t xml:space="preserve">Playbook Title + Foreword + 7 Counterparty chapters. ~8,500 words.</w:t>
            </w:r>
          </w:p>
        </w:tc>
      </w:tr>
      <w:tr>
        <w:tc>
          <w:tcPr/>
          <w:p>
            <w:pPr>
              <w:pStyle w:val="Compact"/>
            </w:pPr>
            <w:r>
              <w:rPr>
                <w:rStyle w:val="VerbatimChar"/>
              </w:rPr>
              <w:t xml:space="preserve">PLAYBOOK_part_B.md</w:t>
            </w:r>
          </w:p>
        </w:tc>
        <w:tc>
          <w:tcPr/>
          <w:p>
            <w:pPr>
              <w:pStyle w:val="Compact"/>
            </w:pPr>
            <w:r>
              <w:t xml:space="preserve">Playbook Sections III (8 overlays) + IV (15 addenda + 3 sectoral). ~12,300 words.</w:t>
            </w:r>
          </w:p>
        </w:tc>
      </w:tr>
      <w:tr>
        <w:tc>
          <w:tcPr/>
          <w:p>
            <w:pPr>
              <w:pStyle w:val="Compact"/>
            </w:pPr>
            <w:r>
              <w:rPr>
                <w:rStyle w:val="VerbatimChar"/>
              </w:rPr>
              <w:t xml:space="preserve">PLAYBOOK_part_C.md</w:t>
            </w:r>
          </w:p>
        </w:tc>
        <w:tc>
          <w:tcPr/>
          <w:p>
            <w:pPr>
              <w:pStyle w:val="Compact"/>
            </w:pPr>
            <w:r>
              <w:t xml:space="preserve">Playbook Sections V (Decision Tree) + VI (Rubric) + VII (Glossary 47 terms) + VIII (Reference Clauses) + Closing. ~7,300 words.</w:t>
            </w:r>
          </w:p>
        </w:tc>
      </w:tr>
    </w:tbl>
    <w:bookmarkEnd w:id="189"/>
    <w:bookmarkStart w:id="190" w:name="build-scripts"/>
    <w:p>
      <w:pPr>
        <w:pStyle w:val="Heading3"/>
      </w:pPr>
      <w:r>
        <w:t xml:space="preserve">Build Scripts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What it does</w:t>
            </w:r>
          </w:p>
        </w:tc>
      </w:tr>
      <w:tr>
        <w:tc>
          <w:tcPr/>
          <w:p>
            <w:pPr>
              <w:pStyle w:val="Compact"/>
            </w:pPr>
            <w:r>
              <w:rPr>
                <w:rStyle w:val="VerbatimChar"/>
              </w:rPr>
              <w:t xml:space="preserve">build_matrix_plate.py</w:t>
            </w:r>
          </w:p>
        </w:tc>
        <w:tc>
          <w:tcPr/>
          <w:p>
            <w:pPr>
              <w:pStyle w:val="Compact"/>
            </w:pPr>
            <w:r>
              <w:t xml:space="preserve">Renders</w:t>
            </w:r>
            <w:r>
              <w:t xml:space="preserve"> </w:t>
            </w:r>
            <w:r>
              <w:rPr>
                <w:rStyle w:val="VerbatimChar"/>
              </w:rPr>
              <w:t xml:space="preserve">AGENTS_GTM_MATRIX.pdf</w:t>
            </w:r>
            <w:r>
              <w:t xml:space="preserve"> </w:t>
            </w:r>
            <w:r>
              <w:t xml:space="preserve">(Plate I — 12 × 13 labeled matrix).</w:t>
            </w:r>
          </w:p>
        </w:tc>
      </w:tr>
      <w:tr>
        <w:tc>
          <w:tcPr/>
          <w:p>
            <w:pPr>
              <w:pStyle w:val="Compact"/>
            </w:pPr>
            <w:r>
              <w:rPr>
                <w:rStyle w:val="VerbatimChar"/>
              </w:rPr>
              <w:t xml:space="preserve">build_master_plate.py</w:t>
            </w:r>
          </w:p>
        </w:tc>
        <w:tc>
          <w:tcPr/>
          <w:p>
            <w:pPr>
              <w:pStyle w:val="Compact"/>
            </w:pPr>
            <w:r>
              <w:t xml:space="preserve">Renders</w:t>
            </w:r>
            <w:r>
              <w:t xml:space="preserve"> </w:t>
            </w:r>
            <w:r>
              <w:rPr>
                <w:rStyle w:val="VerbatimChar"/>
              </w:rPr>
              <w:t xml:space="preserve">AGENTS_GTM_MASTER_PLATE.pdf</w:t>
            </w:r>
            <w:r>
              <w:t xml:space="preserve"> </w:t>
            </w:r>
            <w:r>
              <w:t xml:space="preserve">(Plate M — whole-thesis synthesis).</w:t>
            </w:r>
          </w:p>
        </w:tc>
      </w:tr>
      <w:tr>
        <w:tc>
          <w:tcPr/>
          <w:p>
            <w:pPr>
              <w:pStyle w:val="Compact"/>
            </w:pPr>
            <w:r>
              <w:rPr>
                <w:rStyle w:val="VerbatimChar"/>
              </w:rPr>
              <w:t xml:space="preserve">build_substrate.py</w:t>
            </w:r>
          </w:p>
        </w:tc>
        <w:tc>
          <w:tcPr/>
          <w:p>
            <w:pPr>
              <w:pStyle w:val="Compact"/>
            </w:pPr>
            <w:r>
              <w:t xml:space="preserve">Renders</w:t>
            </w:r>
            <w:r>
              <w:t xml:space="preserve"> </w:t>
            </w:r>
            <w:r>
              <w:rPr>
                <w:rStyle w:val="VerbatimChar"/>
              </w:rPr>
              <w:t xml:space="preserve">AGENTS_GTM_SUBSTRATE.pdf</w:t>
            </w:r>
            <w:r>
              <w:t xml:space="preserve"> </w:t>
            </w:r>
            <w:r>
              <w:t xml:space="preserve">(Plates I–V — atlas: cell index + function deep-dives + buyer’s map + talent flow).</w:t>
            </w:r>
          </w:p>
        </w:tc>
      </w:tr>
      <w:tr>
        <w:tc>
          <w:tcPr/>
          <w:p>
            <w:pPr>
              <w:pStyle w:val="Compact"/>
            </w:pPr>
            <w:r>
              <w:rPr>
                <w:rStyle w:val="VerbatimChar"/>
              </w:rPr>
              <w:t xml:space="preserve">build_decisions.py</w:t>
            </w:r>
          </w:p>
        </w:tc>
        <w:tc>
          <w:tcPr/>
          <w:p>
            <w:pPr>
              <w:pStyle w:val="Compact"/>
            </w:pPr>
            <w:r>
              <w:t xml:space="preserve">Renders</w:t>
            </w:r>
            <w:r>
              <w:t xml:space="preserve"> </w:t>
            </w:r>
            <w:r>
              <w:rPr>
                <w:rStyle w:val="VerbatimChar"/>
              </w:rPr>
              <w:t xml:space="preserve">AGENTS_GTM_DECISIONS.pdf</w:t>
            </w:r>
            <w:r>
              <w:t xml:space="preserve"> </w:t>
            </w:r>
            <w:r>
              <w:t xml:space="preserve">(Plates VI–X — frameworks: OCQ heat + Wardley + 7 Powers + JTBD + Action Portfolio).</w:t>
            </w:r>
          </w:p>
        </w:tc>
      </w:tr>
      <w:tr>
        <w:tc>
          <w:tcPr/>
          <w:p>
            <w:pPr>
              <w:pStyle w:val="Compact"/>
            </w:pPr>
            <w:r>
              <w:rPr>
                <w:rStyle w:val="VerbatimChar"/>
              </w:rPr>
              <w:t xml:space="preserve">build_master_readthrough.py</w:t>
            </w:r>
          </w:p>
        </w:tc>
        <w:tc>
          <w:tcPr/>
          <w:p>
            <w:pPr>
              <w:pStyle w:val="Compact"/>
            </w:pPr>
            <w:r>
              <w:t xml:space="preserve">Renders this Master Read-Through document by concatenating the four canonical sources with connective tissue.</w:t>
            </w:r>
          </w:p>
        </w:tc>
      </w:tr>
    </w:tbl>
    <w:p>
      <w:pPr>
        <w:pStyle w:val="BodyText"/>
      </w:pPr>
      <w:r>
        <w:t xml:space="preserve">If you need to regenerate any plate with edits to the underlying data, run the relevant</w:t>
      </w:r>
      <w:r>
        <w:t xml:space="preserve"> </w:t>
      </w:r>
      <w:r>
        <w:rPr>
          <w:rStyle w:val="VerbatimChar"/>
        </w:rPr>
        <w:t xml:space="preserve">build_*.py</w:t>
      </w:r>
      <w:r>
        <w:t xml:space="preserve">. The scripts inherit the SUBSTRATE design philosophy (</w:t>
      </w:r>
      <w:r>
        <w:rPr>
          <w:rStyle w:val="VerbatimChar"/>
        </w:rPr>
        <w:t xml:space="preserve">output/ai-stack/design_philosophy.md</w:t>
      </w:r>
      <w:r>
        <w:t xml:space="preserve">) and the Volume III continuity note (</w:t>
      </w:r>
      <w:r>
        <w:rPr>
          <w:rStyle w:val="VerbatimChar"/>
        </w:rPr>
        <w:t xml:space="preserve">output/ai-agents/design_philosophy_agents.md</w:t>
      </w:r>
      <w:r>
        <w:t xml:space="preserve">).</w:t>
      </w:r>
    </w:p>
    <w:p>
      <w:r>
        <w:pict>
          <v:rect style="width:0;height:1.5pt" o:hralign="center" o:hrstd="t" o:hr="t"/>
        </w:pict>
      </w:r>
    </w:p>
    <w:bookmarkEnd w:id="190"/>
    <w:bookmarkEnd w:id="191"/>
    <w:bookmarkStart w:id="192" w:name="closing-1"/>
    <w:p>
      <w:pPr>
        <w:pStyle w:val="Heading2"/>
      </w:pPr>
      <w:r>
        <w:t xml:space="preserve">Closing</w:t>
      </w:r>
    </w:p>
    <w:p>
      <w:pPr>
        <w:pStyle w:val="FirstParagraph"/>
      </w:pPr>
      <w:r>
        <w:t xml:space="preserve">This Master Read-Through is the linear assembly of Volume IV. It is not new analysis. It is curated lift across four canonical documents, sequenced so the through-line reads cleanly, with the four PDF plates as visual companions.</w:t>
      </w:r>
    </w:p>
    <w:p>
      <w:pPr>
        <w:pStyle w:val="BodyText"/>
      </w:pPr>
      <w:r>
        <w:t xml:space="preserve">What is next, when you choose to act on it: Volume V drilling into the three promoted candidate bets (Bet-C5 Common Room operator path, Bet-C6 open-spec stewardship, Bet-C9 Persistent Memory as Service Line). A SUBSTRATE-themed DOCX styling pass to render the documents in the same aesthetic as the plates. External-share preparation — a one-pager PDF derived from the Master Plate for cold investor / buyer outreach. None of those are required. All are available.</w:t>
      </w:r>
    </w:p>
    <w:p>
      <w:pPr>
        <w:pStyle w:val="BodyText"/>
      </w:pPr>
      <w:r>
        <w:t xml:space="preserve">The Playbook publishes Q3 2026. The MBB-network 30-day push opens this week. The tracker updates bi-weekly.</w:t>
      </w:r>
    </w:p>
    <w:p>
      <w:pPr>
        <w:pStyle w:val="BodyText"/>
      </w:pPr>
      <w:r>
        <w:t xml:space="preserve">—</w:t>
      </w:r>
      <w:r>
        <w:t xml:space="preserve"> </w:t>
      </w:r>
      <w:r>
        <w:rPr>
          <w:i/>
          <w:iCs/>
        </w:rPr>
        <w:t xml:space="preserve">Alex Yedi · May 2026</w:t>
      </w:r>
    </w:p>
    <w:bookmarkEnd w:id="192"/>
    <w:bookmarkEnd w:id="1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2026-05-13T20:32:51Z</dcterms:created>
  <dcterms:modified xsi:type="dcterms:W3CDTF">2026-05-13T20:32:51Z</dcterms:modified>
</cp:coreProperties>
</file>

<file path=docProps/custom.xml><?xml version="1.0" encoding="utf-8"?>
<Properties xmlns="http://schemas.openxmlformats.org/officeDocument/2006/custom-properties" xmlns:vt="http://schemas.openxmlformats.org/officeDocument/2006/docPropsVTypes"/>
</file>