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Cómo funciona el clustering en este proyecto</w:t>
      </w:r>
    </w:p>
    <w:p>
      <w:pPr>
        <w:spacing w:after="160"/>
      </w:pPr>
      <w:r>
        <w:t xml:space="preserve">Documento de referencia técnica sobre el punto c) de Fase III: el agrupamiento de contratistas en segmentos de riesgo mediante k-means. Explica qué hace, cómo lo hace, y cómo se valida y se mantiene reproducible.</w:t>
      </w:r>
    </w:p>
    <w:p>
      <w:pPr>
        <w:spacing w:after="160"/>
      </w:pPr>
      <w:r>
        <w:t xml:space="preserve">Archivos involucrados:</w:t>
      </w:r>
    </w:p>
    <w:p>
      <w:pPr>
        <w:pStyle w:val="ListParagraph"/>
        <w:numPr>
          <w:ilvl w:val="0"/>
          <w:numId w:val="1"/>
        </w:numPr>
        <w:spacing w:after="60"/>
      </w:pPr>
      <w:r>
        <w:rPr>
          <w:rFonts w:ascii="Consolas" w:cs="Consolas" w:eastAsia="Consolas" w:hAnsi="Consolas"/>
          <w:shd w:fill="EFEFEF" w:val="clear"/>
        </w:rPr>
        <w:t xml:space="preserve">fase3/04_patrones_clustering.R</w:t>
      </w:r>
      <w:r>
        <w:t xml:space="preserve"> — script original que genera el clustering (fuente de verdad).</w:t>
      </w:r>
    </w:p>
    <w:p>
      <w:pPr>
        <w:pStyle w:val="ListParagraph"/>
        <w:numPr>
          <w:ilvl w:val="0"/>
          <w:numId w:val="1"/>
        </w:numPr>
        <w:spacing w:after="60"/>
      </w:pPr>
      <w:r>
        <w:rPr>
          <w:rFonts w:ascii="Consolas" w:cs="Consolas" w:eastAsia="Consolas" w:hAnsi="Consolas"/>
          <w:shd w:fill="EFEFEF" w:val="clear"/>
        </w:rPr>
        <w:t xml:space="preserve">fase3/05_validacion_patrones.R</w:t>
      </w:r>
      <w:r>
        <w:t xml:space="preserve"> — las 7 pruebas de validación.</w:t>
      </w:r>
    </w:p>
    <w:p>
      <w:pPr>
        <w:pStyle w:val="ListParagraph"/>
        <w:numPr>
          <w:ilvl w:val="0"/>
          <w:numId w:val="1"/>
        </w:numPr>
        <w:spacing w:after="60"/>
      </w:pPr>
      <w:r>
        <w:rPr>
          <w:rFonts w:ascii="Consolas" w:cs="Consolas" w:eastAsia="Consolas" w:hAnsi="Consolas"/>
          <w:shd w:fill="EFEFEF" w:val="clear"/>
        </w:rPr>
        <w:t xml:space="preserve">fase3/app_shiny/global.R</w:t>
      </w:r>
      <w:r>
        <w:t xml:space="preserve"> (función </w:t>
      </w:r>
      <w:r>
        <w:rPr>
          <w:rFonts w:ascii="Consolas" w:cs="Consolas" w:eastAsia="Consolas" w:hAnsi="Consolas"/>
          <w:shd w:fill="EFEFEF" w:val="clear"/>
        </w:rPr>
        <w:t xml:space="preserve">recalcular_grupos()</w:t>
      </w:r>
      <w:r>
        <w:t xml:space="preserve">) — réplica del mismo proceso, invocable desde la app.</w:t>
      </w:r>
    </w:p>
    <w:p>
      <w:pPr>
        <w:pBdr>
          <w:bottom w:val="single" w:color="999999" w:sz="6"/>
        </w:pBdr>
        <w:spacing w:after="200"/>
      </w:pPr>
    </w:p>
    <w:p>
      <w:pPr>
        <w:pStyle w:val="Heading2"/>
        <w:spacing w:after="120" w:before="240"/>
      </w:pPr>
      <w:r>
        <w:t xml:space="preserve">1. Qué problema resuelve</w:t>
      </w:r>
    </w:p>
    <w:p>
      <w:pPr>
        <w:spacing w:after="160"/>
      </w:pPr>
      <w:r>
        <w:t xml:space="preserve">La DGM tiene 2,521 contratistas autorizados y una capacidad de fiscalización limitada. No puede inspeccionar a todos con la misma frecuencia. El clustering responde a: </w:t>
      </w:r>
      <w:r>
        <w:rPr>
          <w:b/>
          <w:bCs/>
        </w:rPr>
        <w:t xml:space="preserve">¿cómo agrupar a las empresas en perfiles de riesgo, sin tener una etiqueta previa de "riesgo real", para poder priorizar la fiscalización?</w:t>
      </w:r>
    </w:p>
    <w:p>
      <w:pPr>
        <w:spacing w:after="160"/>
      </w:pPr>
      <w:r>
        <w:t xml:space="preserve">Es un problema de </w:t>
      </w:r>
      <w:r>
        <w:rPr>
          <w:b/>
          <w:bCs/>
        </w:rPr>
        <w:t xml:space="preserve">aprendizaje no supervisado</w:t>
      </w:r>
      <w:r>
        <w:t xml:space="preserve">: no existe una columna "riesgo correcto" en el dataset contra la cual entrenar un modelo. Se usa clustering (k-means) para descubrir agrupamientos naturales en los datos, y luego se traduce ese agrupamiento a un criterio de negocio (prioridad de fiscalización).</w:t>
      </w:r>
    </w:p>
    <w:p>
      <w:pPr>
        <w:pBdr>
          <w:bottom w:val="single" w:color="999999" w:sz="6"/>
        </w:pBdr>
        <w:spacing w:after="200"/>
      </w:pPr>
    </w:p>
    <w:p>
      <w:pPr>
        <w:pStyle w:val="Heading2"/>
        <w:spacing w:after="120" w:before="240"/>
      </w:pPr>
      <w:r>
        <w:t xml:space="preserve">2. Las 6 variables de entrada</w:t>
      </w:r>
    </w:p>
    <w:p>
      <w:pPr>
        <w:spacing w:after="160"/>
      </w:pPr>
      <w:r>
        <w:t xml:space="preserve">El clustering no usa todas las columnas del contratista — usa 6, cada una ligada explícitamente a una regla de negocio (RN):</w:t>
      </w:r>
    </w:p>
    <w:tbl>
      <w:tblPr>
        <w:tblW w:type="dxa" w:w="9746"/>
        <w:tblBorders>
          <w:top w:val="single" w:color="BBBBBB" w:sz="2"/>
          <w:left w:val="single" w:color="BBBBBB" w:sz="2"/>
          <w:bottom w:val="single" w:color="BBBBBB" w:sz="2"/>
          <w:right w:val="single" w:color="BBBBBB" w:sz="2"/>
          <w:insideH w:val="single" w:color="BBBBBB" w:sz="2"/>
          <w:insideV w:val="single" w:color="BBBBBB" w:sz="2"/>
        </w:tblBorders>
      </w:tblPr>
      <w:tblGrid>
        <w:gridCol w:w="3248"/>
        <w:gridCol w:w="3248"/>
        <w:gridCol w:w="3248"/>
      </w:tblGrid>
      <w:tr>
        <w:trPr>
          <w:tblHeader/>
        </w:trPr>
        <w:tc>
          <w:tcPr>
            <w:tcW w:type="dxa" w:w="3248"/>
            <w:shd w:fill="1F3A3D" w:val="clear"/>
          </w:tcPr>
          <w:p>
            <w:r>
              <w:rPr>
                <w:b/>
                <w:bCs/>
                <w:color w:val="FFFFFF"/>
              </w:rPr>
              <w:t xml:space="preserve">Variable</w:t>
            </w:r>
          </w:p>
        </w:tc>
        <w:tc>
          <w:tcPr>
            <w:tcW w:type="dxa" w:w="3248"/>
            <w:shd w:fill="1F3A3D" w:val="clear"/>
          </w:tcPr>
          <w:p>
            <w:r>
              <w:rPr>
                <w:b/>
                <w:bCs/>
                <w:color w:val="FFFFFF"/>
              </w:rPr>
              <w:t xml:space="preserve">Regla de negocio</w:t>
            </w:r>
          </w:p>
        </w:tc>
        <w:tc>
          <w:tcPr>
            <w:tcW w:type="dxa" w:w="3248"/>
            <w:shd w:fill="1F3A3D" w:val="clear"/>
          </w:tcPr>
          <w:p>
            <w:r>
              <w:rPr>
                <w:b/>
                <w:bCs/>
                <w:color w:val="FFFFFF"/>
              </w:rPr>
              <w:t xml:space="preserve">Qué mide</w:t>
            </w:r>
          </w:p>
        </w:tc>
      </w:tr>
      <w:tr>
        <w:trPr>
          <w:tblHeader w:val="false"/>
        </w:trPr>
        <w:tc>
          <w:tcPr>
            <w:tcW w:type="dxa" w:w="3248"/>
          </w:tcPr>
          <w:p>
            <w:r>
              <w:rPr>
                <w:rFonts w:ascii="Consolas" w:cs="Consolas" w:eastAsia="Consolas" w:hAnsi="Consolas"/>
                <w:shd w:fill="EFEFEF" w:val="clear"/>
              </w:rPr>
              <w:t xml:space="preserve">amplitud_actividad_actual</w:t>
            </w:r>
          </w:p>
        </w:tc>
        <w:tc>
          <w:tcPr>
            <w:tcW w:type="dxa" w:w="3248"/>
          </w:tcPr>
          <w:p>
            <w:r>
              <w:t xml:space="preserve">RN1 (exposición operativa)</w:t>
            </w:r>
          </w:p>
        </w:tc>
        <w:tc>
          <w:tcPr>
            <w:tcW w:type="dxa" w:w="3248"/>
          </w:tcPr>
          <w:p>
            <w:r>
              <w:t xml:space="preserve">Cuántas de las 4 actividades mineras tiene autorizadas (0–4)</w:t>
            </w:r>
          </w:p>
        </w:tc>
      </w:tr>
      <w:tr>
        <w:trPr>
          <w:tblHeader w:val="false"/>
        </w:trPr>
        <w:tc>
          <w:tcPr>
            <w:tcW w:type="dxa" w:w="3248"/>
          </w:tcPr>
          <w:p>
            <w:r>
              <w:rPr>
                <w:rFonts w:ascii="Consolas" w:cs="Consolas" w:eastAsia="Consolas" w:hAnsi="Consolas"/>
                <w:shd w:fill="EFEFEF" w:val="clear"/>
              </w:rPr>
              <w:t xml:space="preserve">num_autorizaciones</w:t>
            </w:r>
          </w:p>
        </w:tc>
        <w:tc>
          <w:tcPr>
            <w:tcW w:type="dxa" w:w="3248"/>
          </w:tcPr>
          <w:p>
            <w:r>
              <w:t xml:space="preserve">RN5 (dinamismo)</w:t>
            </w:r>
          </w:p>
        </w:tc>
        <w:tc>
          <w:tcPr>
            <w:tcW w:type="dxa" w:w="3248"/>
          </w:tcPr>
          <w:p>
            <w:r>
              <w:t xml:space="preserve">Cuántas veces ha renovado/ampliado su autorización</w:t>
            </w:r>
          </w:p>
        </w:tc>
      </w:tr>
      <w:tr>
        <w:trPr>
          <w:tblHeader w:val="false"/>
        </w:trPr>
        <w:tc>
          <w:tcPr>
            <w:tcW w:type="dxa" w:w="3248"/>
          </w:tcPr>
          <w:p>
            <w:r>
              <w:rPr>
                <w:rFonts w:ascii="Consolas" w:cs="Consolas" w:eastAsia="Consolas" w:hAnsi="Consolas"/>
                <w:shd w:fill="EFEFEF" w:val="clear"/>
              </w:rPr>
              <w:t xml:space="preserve">antiguedad_anios</w:t>
            </w:r>
          </w:p>
        </w:tc>
        <w:tc>
          <w:tcPr>
            <w:tcW w:type="dxa" w:w="3248"/>
          </w:tcPr>
          <w:p>
            <w:r>
              <w:t xml:space="preserve">RN5 (trayectoria)</w:t>
            </w:r>
          </w:p>
        </w:tc>
        <w:tc>
          <w:tcPr>
            <w:tcW w:type="dxa" w:w="3248"/>
          </w:tcPr>
          <w:p>
            <w:r>
              <w:t xml:space="preserve">Años desde su primer registro</w:t>
            </w:r>
          </w:p>
        </w:tc>
      </w:tr>
      <w:tr>
        <w:trPr>
          <w:tblHeader w:val="false"/>
        </w:trPr>
        <w:tc>
          <w:tcPr>
            <w:tcW w:type="dxa" w:w="3248"/>
          </w:tcPr>
          <w:p>
            <w:r>
              <w:rPr>
                <w:rFonts w:ascii="Consolas" w:cs="Consolas" w:eastAsia="Consolas" w:hAnsi="Consolas"/>
                <w:shd w:fill="EFEFEF" w:val="clear"/>
              </w:rPr>
              <w:t xml:space="preserve">recencia_anios</w:t>
            </w:r>
          </w:p>
        </w:tc>
        <w:tc>
          <w:tcPr>
            <w:tcW w:type="dxa" w:w="3248"/>
          </w:tcPr>
          <w:p>
            <w:r>
              <w:t xml:space="preserve">RN5 (inactividad)</w:t>
            </w:r>
          </w:p>
        </w:tc>
        <w:tc>
          <w:tcPr>
            <w:tcW w:type="dxa" w:w="3248"/>
          </w:tcPr>
          <w:p>
            <w:r>
              <w:t xml:space="preserve">Años desde su última autorización</w:t>
            </w:r>
          </w:p>
        </w:tc>
      </w:tr>
      <w:tr>
        <w:trPr>
          <w:tblHeader w:val="false"/>
        </w:trPr>
        <w:tc>
          <w:tcPr>
            <w:tcW w:type="dxa" w:w="3248"/>
          </w:tcPr>
          <w:p>
            <w:r>
              <w:rPr>
                <w:rFonts w:ascii="Consolas" w:cs="Consolas" w:eastAsia="Consolas" w:hAnsi="Consolas"/>
                <w:shd w:fill="EFEFEF" w:val="clear"/>
              </w:rPr>
              <w:t xml:space="preserve">contacto</w:t>
            </w:r>
            <w:r>
              <w:t xml:space="preserve"> (0/1)</w:t>
            </w:r>
          </w:p>
        </w:tc>
        <w:tc>
          <w:tcPr>
            <w:tcW w:type="dxa" w:w="3248"/>
          </w:tcPr>
          <w:p>
            <w:r>
              <w:t xml:space="preserve">RN2 (contactabilidad)</w:t>
            </w:r>
          </w:p>
        </w:tc>
        <w:tc>
          <w:tcPr>
            <w:tcW w:type="dxa" w:w="3248"/>
          </w:tcPr>
          <w:p>
            <w:r>
              <w:t xml:space="preserve">Si tiene teléfono de referencia</w:t>
            </w:r>
          </w:p>
        </w:tc>
      </w:tr>
      <w:tr>
        <w:trPr>
          <w:tblHeader w:val="false"/>
        </w:trPr>
        <w:tc>
          <w:tcPr>
            <w:tcW w:type="dxa" w:w="3248"/>
          </w:tcPr>
          <w:p>
            <w:r>
              <w:rPr>
                <w:rFonts w:ascii="Consolas" w:cs="Consolas" w:eastAsia="Consolas" w:hAnsi="Consolas"/>
                <w:shd w:fill="EFEFEF" w:val="clear"/>
              </w:rPr>
              <w:t xml:space="preserve">es_regiones</w:t>
            </w:r>
            <w:r>
              <w:t xml:space="preserve"> (0/1)</w:t>
            </w:r>
          </w:p>
        </w:tc>
        <w:tc>
          <w:tcPr>
            <w:tcW w:type="dxa" w:w="3248"/>
          </w:tcPr>
          <w:p>
            <w:r>
              <w:t xml:space="preserve">RN3 (complejidad logística)</w:t>
            </w:r>
          </w:p>
        </w:tc>
        <w:tc>
          <w:tcPr>
            <w:tcW w:type="dxa" w:w="3248"/>
          </w:tcPr>
          <w:p>
            <w:r>
              <w:t xml:space="preserve">Si está fuera de Lima/Callao</w:t>
            </w:r>
          </w:p>
        </w:tc>
      </w:tr>
    </w:tbl>
    <w:p>
      <w:pPr>
        <w:spacing w:after="200"/>
      </w:pPr>
    </w:p>
    <w:p>
      <w:pPr>
        <w:spacing w:after="160"/>
      </w:pPr>
      <w:r>
        <w:t xml:space="preserve">Estas variables se extraen de MongoDB con una agregación que hace </w:t>
      </w:r>
      <w:r>
        <w:rPr>
          <w:rFonts w:ascii="Consolas" w:cs="Consolas" w:eastAsia="Consolas" w:hAnsi="Consolas"/>
          <w:shd w:fill="EFEFEF" w:val="clear"/>
        </w:rPr>
        <w:t xml:space="preserve">$lookup</w:t>
      </w:r>
      <w:r>
        <w:t xml:space="preserve"> contra </w:t>
      </w:r>
      <w:r>
        <w:rPr>
          <w:rFonts w:ascii="Consolas" w:cs="Consolas" w:eastAsia="Consolas" w:hAnsi="Consolas"/>
          <w:shd w:fill="EFEFEF" w:val="clear"/>
        </w:rPr>
        <w:t xml:space="preserve">ubicaciones</w:t>
      </w:r>
      <w:r>
        <w:t xml:space="preserve"> (para saber la macrozona) y convierte los booleanos a 0/1:</w:t>
      </w:r>
    </w:p>
    <w:p>
      <w:pPr>
        <w:pBdr>
          <w:top w:val="single" w:color="CCCCCC" w:sz="4"/>
          <w:left w:val="single" w:color="CCCCCC" w:sz="4"/>
          <w:bottom w:val="single" w:color="CCCCCC" w:sz="4"/>
          <w:right w:val="single" w:color="CCCCCC" w:sz="4"/>
        </w:pBdr>
        <w:shd w:fill="F4F4F4" w:val="clear"/>
        <w:spacing w:after="200"/>
      </w:pPr>
      <w:r>
        <w:rPr>
          <w:rFonts w:ascii="Consolas" w:cs="Consolas" w:eastAsia="Consolas" w:hAnsi="Consolas"/>
          <w:sz w:val="18"/>
          <w:szCs w:val="18"/>
        </w:rPr>
        <w:t xml:space="preserve">datos &lt;- con_contratistas$aggregate('[</w:t>
      </w:r>
      <w:r>
        <w:br/>
      </w:r>
      <w:r>
        <w:rPr>
          <w:rFonts w:ascii="Consolas" w:cs="Consolas" w:eastAsia="Consolas" w:hAnsi="Consolas"/>
          <w:sz w:val="18"/>
          <w:szCs w:val="18"/>
        </w:rPr>
        <w:t xml:space="preserve">  { "$match": { "activo": { "$ne": false } } },</w:t>
      </w:r>
      <w:r>
        <w:br/>
      </w:r>
      <w:r>
        <w:rPr>
          <w:rFonts w:ascii="Consolas" w:cs="Consolas" w:eastAsia="Consolas" w:hAnsi="Consolas"/>
          <w:sz w:val="18"/>
          <w:szCs w:val="18"/>
        </w:rPr>
        <w:t xml:space="preserve">  { "$lookup": { "from": "ubicaciones", "localField": "ubicacion_id",</w:t>
      </w:r>
      <w:r>
        <w:br/>
      </w:r>
      <w:r>
        <w:rPr>
          <w:rFonts w:ascii="Consolas" w:cs="Consolas" w:eastAsia="Consolas" w:hAnsi="Consolas"/>
          <w:sz w:val="18"/>
          <w:szCs w:val="18"/>
        </w:rPr>
        <w:t xml:space="preserve">      "foreignField": "id_ubicacion", "as": "ubic" } },</w:t>
      </w:r>
      <w:r>
        <w:br/>
      </w:r>
      <w:r>
        <w:rPr>
          <w:rFonts w:ascii="Consolas" w:cs="Consolas" w:eastAsia="Consolas" w:hAnsi="Consolas"/>
          <w:sz w:val="18"/>
          <w:szCs w:val="18"/>
        </w:rPr>
        <w:t xml:space="preserve">  { "$unwind": "$ubic" },</w:t>
      </w:r>
      <w:r>
        <w:br/>
      </w:r>
      <w:r>
        <w:rPr>
          <w:rFonts w:ascii="Consolas" w:cs="Consolas" w:eastAsia="Consolas" w:hAnsi="Consolas"/>
          <w:sz w:val="18"/>
          <w:szCs w:val="18"/>
        </w:rPr>
        <w:t xml:space="preserve">  { "$project": {</w:t>
      </w:r>
      <w:r>
        <w:br/>
      </w:r>
      <w:r>
        <w:rPr>
          <w:rFonts w:ascii="Consolas" w:cs="Consolas" w:eastAsia="Consolas" w:hAnsi="Consolas"/>
          <w:sz w:val="18"/>
          <w:szCs w:val="18"/>
        </w:rPr>
        <w:t xml:space="preserve">      "_id": 0, "ruc": 1,</w:t>
      </w:r>
      <w:r>
        <w:br/>
      </w:r>
      <w:r>
        <w:rPr>
          <w:rFonts w:ascii="Consolas" w:cs="Consolas" w:eastAsia="Consolas" w:hAnsi="Consolas"/>
          <w:sz w:val="18"/>
          <w:szCs w:val="18"/>
        </w:rPr>
        <w:t xml:space="preserve">      "amplitud_actividad_actual": 1, "num_autorizaciones": 1,</w:t>
      </w:r>
      <w:r>
        <w:br/>
      </w:r>
      <w:r>
        <w:rPr>
          <w:rFonts w:ascii="Consolas" w:cs="Consolas" w:eastAsia="Consolas" w:hAnsi="Consolas"/>
          <w:sz w:val="18"/>
          <w:szCs w:val="18"/>
        </w:rPr>
        <w:t xml:space="preserve">      "antiguedad_anios": 1, "recencia_anios": 1,</w:t>
      </w:r>
      <w:r>
        <w:br/>
      </w:r>
      <w:r>
        <w:rPr>
          <w:rFonts w:ascii="Consolas" w:cs="Consolas" w:eastAsia="Consolas" w:hAnsi="Consolas"/>
          <w:sz w:val="18"/>
          <w:szCs w:val="18"/>
        </w:rPr>
        <w:t xml:space="preserve">      "contacto": { "$cond": ["$indice_completitud_contacto", 1, 0] },</w:t>
      </w:r>
      <w:r>
        <w:br/>
      </w:r>
      <w:r>
        <w:rPr>
          <w:rFonts w:ascii="Consolas" w:cs="Consolas" w:eastAsia="Consolas" w:hAnsi="Consolas"/>
          <w:sz w:val="18"/>
          <w:szCs w:val="18"/>
        </w:rPr>
        <w:t xml:space="preserve">      "es_regiones": { "$cond": [ { "$eq": ["$ubic.macrozona", "Regiones"] }, 1, 0 ]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60"/>
      </w:pPr>
      <w:r>
        <w:t xml:space="preserve">Nota: solo se agrupan contratistas </w:t>
      </w:r>
      <w:r>
        <w:rPr>
          <w:b/>
          <w:bCs/>
        </w:rPr>
        <w:t xml:space="preserve">activos</w:t>
      </w:r>
      <w:r>
        <w:t xml:space="preserve"> (los dados de baja lógica quedan fuera, no distorsionan el agrupamiento).</w:t>
      </w:r>
    </w:p>
    <w:p>
      <w:pPr>
        <w:pBdr>
          <w:bottom w:val="single" w:color="999999" w:sz="6"/>
        </w:pBdr>
        <w:spacing w:after="200"/>
      </w:pPr>
    </w:p>
    <w:p>
      <w:pPr>
        <w:pStyle w:val="Heading2"/>
        <w:spacing w:after="120" w:before="240"/>
      </w:pPr>
      <w:r>
        <w:t xml:space="preserve">3. Estandarización (z-score)</w:t>
      </w:r>
    </w:p>
    <w:p>
      <w:pPr>
        <w:spacing w:after="160"/>
      </w:pPr>
      <w:r>
        <w:t xml:space="preserve">k-means mide </w:t>
      </w:r>
      <w:r>
        <w:rPr>
          <w:b/>
          <w:bCs/>
        </w:rPr>
        <w:t xml:space="preserve">distancias</w:t>
      </w:r>
      <w:r>
        <w:t xml:space="preserve"> entre empresas (distancia euclídea). Si dejáramos las variables en su escala original, </w:t>
      </w:r>
      <w:r>
        <w:rPr>
          <w:rFonts w:ascii="Consolas" w:cs="Consolas" w:eastAsia="Consolas" w:hAnsi="Consolas"/>
          <w:shd w:fill="EFEFEF" w:val="clear"/>
        </w:rPr>
        <w:t xml:space="preserve">antiguedad_anios</w:t>
      </w:r>
      <w:r>
        <w:t xml:space="preserve"> (rango ~0–18) dominaría completamente sobre </w:t>
      </w:r>
      <w:r>
        <w:rPr>
          <w:rFonts w:ascii="Consolas" w:cs="Consolas" w:eastAsia="Consolas" w:hAnsi="Consolas"/>
          <w:shd w:fill="EFEFEF" w:val="clear"/>
        </w:rPr>
        <w:t xml:space="preserve">contacto</w:t>
      </w:r>
      <w:r>
        <w:t xml:space="preserve"> (rango 0–1), aunque ambas sean igual de importantes conceptualmente.</w:t>
      </w:r>
    </w:p>
    <w:p>
      <w:pPr>
        <w:pBdr>
          <w:top w:val="single" w:color="CCCCCC" w:sz="4"/>
          <w:left w:val="single" w:color="CCCCCC" w:sz="4"/>
          <w:bottom w:val="single" w:color="CCCCCC" w:sz="4"/>
          <w:right w:val="single" w:color="CCCCCC" w:sz="4"/>
        </w:pBdr>
        <w:shd w:fill="F4F4F4" w:val="clear"/>
        <w:spacing w:after="200"/>
      </w:pPr>
      <w:r>
        <w:rPr>
          <w:rFonts w:ascii="Consolas" w:cs="Consolas" w:eastAsia="Consolas" w:hAnsi="Consolas"/>
          <w:sz w:val="18"/>
          <w:szCs w:val="18"/>
        </w:rPr>
        <w:t xml:space="preserve">vars &lt;- c("amplitud_actividad_actual", "num_autorizaciones",</w:t>
      </w:r>
      <w:r>
        <w:br/>
      </w:r>
      <w:r>
        <w:rPr>
          <w:rFonts w:ascii="Consolas" w:cs="Consolas" w:eastAsia="Consolas" w:hAnsi="Consolas"/>
          <w:sz w:val="18"/>
          <w:szCs w:val="18"/>
        </w:rPr>
        <w:t xml:space="preserve">          "antiguedad_anios", "recencia_anios", "contacto", "es_regiones")</w:t>
      </w:r>
      <w:r>
        <w:br/>
      </w:r>
      <w:r>
        <w:rPr>
          <w:rFonts w:ascii="Consolas" w:cs="Consolas" w:eastAsia="Consolas" w:hAnsi="Consolas"/>
          <w:sz w:val="18"/>
          <w:szCs w:val="18"/>
        </w:rPr>
        <w:t xml:space="preserve">X &lt;- scale(datos[, vars])</w:t>
      </w:r>
    </w:p>
    <w:p>
      <w:pPr>
        <w:spacing w:after="160"/>
      </w:pPr>
      <w:r>
        <w:rPr>
          <w:rFonts w:ascii="Consolas" w:cs="Consolas" w:eastAsia="Consolas" w:hAnsi="Consolas"/>
          <w:shd w:fill="EFEFEF" w:val="clear"/>
        </w:rPr>
        <w:t xml:space="preserve">scale()</w:t>
      </w:r>
      <w:r>
        <w:t xml:space="preserve"> transforma cada variable para que tenga media 0 y desviación estándar 1. Así todas "pesan" lo mismo en el cálculo de distancia, salvo por la ponderación que se les da después en el índice de riesgo (sección 6).</w:t>
      </w:r>
    </w:p>
    <w:p>
      <w:pPr>
        <w:spacing w:after="160"/>
      </w:pPr>
      <w:r>
        <w:rPr>
          <w:b/>
          <w:bCs/>
        </w:rPr>
        <w:t xml:space="preserve">Limitación metodológica conocida (documentada en el informe, no oculta):</w:t>
      </w:r>
      <w:r>
        <w:t xml:space="preserve"> estandarizar variables binarias (0/1) junto con continuas tiene un efecto secundario — las binarias, al tener solo dos valores posibles, generan particiones muy "limpias" del espacio y pueden dominar la asignación de clústeres frente a variables continuas con solapamiento natural. Se verificó empíricamente que esto ocurre parcialmente con la variable </w:t>
      </w:r>
      <w:r>
        <w:rPr>
          <w:rFonts w:ascii="Consolas" w:cs="Consolas" w:eastAsia="Consolas" w:hAnsi="Consolas"/>
          <w:shd w:fill="EFEFEF" w:val="clear"/>
        </w:rPr>
        <w:t xml:space="preserve">contacto</w:t>
      </w:r>
      <w:r>
        <w:t xml:space="preserve"> en uno de los grupos (ver sección 8).</w:t>
      </w:r>
    </w:p>
    <w:p>
      <w:pPr>
        <w:pBdr>
          <w:bottom w:val="single" w:color="999999" w:sz="6"/>
        </w:pBdr>
        <w:spacing w:after="200"/>
      </w:pPr>
    </w:p>
    <w:p>
      <w:pPr>
        <w:pStyle w:val="Heading2"/>
        <w:spacing w:after="120" w:before="240"/>
      </w:pPr>
      <w:r>
        <w:t xml:space="preserve">4. Elegir k: método del codo + silueta</w:t>
      </w:r>
    </w:p>
    <w:p>
      <w:pPr>
        <w:spacing w:after="160"/>
      </w:pPr>
      <w:r>
        <w:t xml:space="preserve">Antes de decidir en cuántos grupos dividir, se prueban varios valores de k (de 2 a 8) y se mide, para cada uno:</w:t>
      </w:r>
    </w:p>
    <w:p>
      <w:pPr>
        <w:pStyle w:val="ListParagraph"/>
        <w:numPr>
          <w:ilvl w:val="0"/>
          <w:numId w:val="1"/>
        </w:numPr>
        <w:spacing w:after="60"/>
      </w:pPr>
      <w:r>
        <w:rPr>
          <w:b/>
          <w:bCs/>
        </w:rPr>
        <w:t xml:space="preserve">WSS</w:t>
      </w:r>
      <w:r>
        <w:t xml:space="preserve"> (within-cluster sum of squares / suma de cuadrados intra-clúster): qué tan compactos son los grupos. Baja siempre que k sube; interesa dónde deja de bajar mucho (el "codo").</w:t>
      </w:r>
    </w:p>
    <w:p>
      <w:pPr>
        <w:pStyle w:val="ListParagraph"/>
        <w:numPr>
          <w:ilvl w:val="0"/>
          <w:numId w:val="1"/>
        </w:numPr>
        <w:spacing w:after="60"/>
      </w:pPr>
      <w:r>
        <w:rPr>
          <w:b/>
          <w:bCs/>
        </w:rPr>
        <w:t xml:space="preserve">Silueta promedio</w:t>
      </w:r>
      <w:r>
        <w:t xml:space="preserve">: qué tan bien separado está cada punto de los demás grupos frente a su propio grupo. Va de -1 a 1; más alto es mejor.</w:t>
      </w:r>
    </w:p>
    <w:p>
      <w:pPr>
        <w:pBdr>
          <w:top w:val="single" w:color="CCCCCC" w:sz="4"/>
          <w:left w:val="single" w:color="CCCCCC" w:sz="4"/>
          <w:bottom w:val="single" w:color="CCCCCC" w:sz="4"/>
          <w:right w:val="single" w:color="CCCCCC" w:sz="4"/>
        </w:pBdr>
        <w:shd w:fill="F4F4F4" w:val="clear"/>
        <w:spacing w:after="200"/>
      </w:pPr>
      <w:r>
        <w:rPr>
          <w:rFonts w:ascii="Consolas" w:cs="Consolas" w:eastAsia="Consolas" w:hAnsi="Consolas"/>
          <w:sz w:val="18"/>
          <w:szCs w:val="18"/>
        </w:rPr>
        <w:t xml:space="preserve">eval_k &lt;- data.frame(k = 2:8, wss = NA_real_, silueta = NA_real_)</w:t>
      </w:r>
      <w:r>
        <w:br/>
      </w:r>
      <w:r>
        <w:rPr>
          <w:rFonts w:ascii="Consolas" w:cs="Consolas" w:eastAsia="Consolas" w:hAnsi="Consolas"/>
          <w:sz w:val="18"/>
          <w:szCs w:val="18"/>
        </w:rPr>
        <w:t xml:space="preserve">for (i in seq_len(nrow(eval_k))) {</w:t>
      </w:r>
      <w:r>
        <w:br/>
      </w:r>
      <w:r>
        <w:rPr>
          <w:rFonts w:ascii="Consolas" w:cs="Consolas" w:eastAsia="Consolas" w:hAnsi="Consolas"/>
          <w:sz w:val="18"/>
          <w:szCs w:val="18"/>
        </w:rPr>
        <w:t xml:space="preserve">  k &lt;- eval_k$k[i]</w:t>
      </w:r>
      <w:r>
        <w:br/>
      </w:r>
      <w:r>
        <w:rPr>
          <w:rFonts w:ascii="Consolas" w:cs="Consolas" w:eastAsia="Consolas" w:hAnsi="Consolas"/>
          <w:sz w:val="18"/>
          <w:szCs w:val="18"/>
        </w:rPr>
        <w:t xml:space="preserve">  km &lt;- kmeans(X, centers = k, nstart = 25, iter.max = 100)</w:t>
      </w:r>
      <w:r>
        <w:br/>
      </w:r>
      <w:r>
        <w:rPr>
          <w:rFonts w:ascii="Consolas" w:cs="Consolas" w:eastAsia="Consolas" w:hAnsi="Consolas"/>
          <w:sz w:val="18"/>
          <w:szCs w:val="18"/>
        </w:rPr>
        <w:t xml:space="preserve">  eval_k$wss[i] &lt;- km$tot.withinss</w:t>
      </w:r>
      <w:r>
        <w:br/>
      </w:r>
      <w:r>
        <w:rPr>
          <w:rFonts w:ascii="Consolas" w:cs="Consolas" w:eastAsia="Consolas" w:hAnsi="Consolas"/>
          <w:sz w:val="18"/>
          <w:szCs w:val="18"/>
        </w:rPr>
        <w:t xml:space="preserve">  sil &lt;- silhouette(km$cluster, dist(X))</w:t>
      </w:r>
      <w:r>
        <w:br/>
      </w:r>
      <w:r>
        <w:rPr>
          <w:rFonts w:ascii="Consolas" w:cs="Consolas" w:eastAsia="Consolas" w:hAnsi="Consolas"/>
          <w:sz w:val="18"/>
          <w:szCs w:val="18"/>
        </w:rPr>
        <w:t xml:space="preserve">  eval_k$silueta[i] &lt;- mean(sil[, 3])</w:t>
      </w:r>
      <w:r>
        <w:br/>
      </w:r>
      <w:r>
        <w:rPr>
          <w:rFonts w:ascii="Consolas" w:cs="Consolas" w:eastAsia="Consolas" w:hAnsi="Consolas"/>
          <w:sz w:val="18"/>
          <w:szCs w:val="18"/>
        </w:rPr>
        <w:t xml:space="preserve">}</w:t>
      </w:r>
    </w:p>
    <w:p>
      <w:pPr>
        <w:spacing w:after="160"/>
      </w:pPr>
      <w:r>
        <w:t xml:space="preserve">Resultado real (verificado contra la base de datos):</w:t>
      </w:r>
    </w:p>
    <w:tbl>
      <w:tblPr>
        <w:tblW w:type="dxa" w:w="9746"/>
        <w:tblBorders>
          <w:top w:val="single" w:color="BBBBBB" w:sz="2"/>
          <w:left w:val="single" w:color="BBBBBB" w:sz="2"/>
          <w:bottom w:val="single" w:color="BBBBBB" w:sz="2"/>
          <w:right w:val="single" w:color="BBBBBB" w:sz="2"/>
          <w:insideH w:val="single" w:color="BBBBBB" w:sz="2"/>
          <w:insideV w:val="single" w:color="BBBBBB" w:sz="2"/>
        </w:tblBorders>
      </w:tblPr>
      <w:tblGrid>
        <w:gridCol w:w="3248"/>
        <w:gridCol w:w="3248"/>
        <w:gridCol w:w="3248"/>
      </w:tblGrid>
      <w:tr>
        <w:trPr>
          <w:tblHeader/>
        </w:trPr>
        <w:tc>
          <w:tcPr>
            <w:tcW w:type="dxa" w:w="3248"/>
            <w:shd w:fill="1F3A3D" w:val="clear"/>
          </w:tcPr>
          <w:p>
            <w:r>
              <w:rPr>
                <w:b/>
                <w:bCs/>
                <w:color w:val="FFFFFF"/>
              </w:rPr>
              <w:t xml:space="preserve">k</w:t>
            </w:r>
          </w:p>
        </w:tc>
        <w:tc>
          <w:tcPr>
            <w:tcW w:type="dxa" w:w="3248"/>
            <w:shd w:fill="1F3A3D" w:val="clear"/>
          </w:tcPr>
          <w:p>
            <w:r>
              <w:rPr>
                <w:b/>
                <w:bCs/>
                <w:color w:val="FFFFFF"/>
              </w:rPr>
              <w:t xml:space="preserve">WSS</w:t>
            </w:r>
          </w:p>
        </w:tc>
        <w:tc>
          <w:tcPr>
            <w:tcW w:type="dxa" w:w="3248"/>
            <w:shd w:fill="1F3A3D" w:val="clear"/>
          </w:tcPr>
          <w:p>
            <w:r>
              <w:rPr>
                <w:b/>
                <w:bCs/>
                <w:color w:val="FFFFFF"/>
              </w:rPr>
              <w:t xml:space="preserve">Silueta</w:t>
            </w:r>
          </w:p>
        </w:tc>
      </w:tr>
      <w:tr>
        <w:trPr>
          <w:tblHeader w:val="false"/>
        </w:trPr>
        <w:tc>
          <w:tcPr>
            <w:tcW w:type="dxa" w:w="3248"/>
          </w:tcPr>
          <w:p>
            <w:r>
              <w:t xml:space="preserve">2</w:t>
            </w:r>
          </w:p>
        </w:tc>
        <w:tc>
          <w:tcPr>
            <w:tcW w:type="dxa" w:w="3248"/>
          </w:tcPr>
          <w:p>
            <w:r>
              <w:t xml:space="preserve">11,028</w:t>
            </w:r>
          </w:p>
        </w:tc>
        <w:tc>
          <w:tcPr>
            <w:tcW w:type="dxa" w:w="3248"/>
          </w:tcPr>
          <w:p>
            <w:r>
              <w:t xml:space="preserve">0.284</w:t>
            </w:r>
          </w:p>
        </w:tc>
      </w:tr>
      <w:tr>
        <w:trPr>
          <w:tblHeader w:val="false"/>
        </w:trPr>
        <w:tc>
          <w:tcPr>
            <w:tcW w:type="dxa" w:w="3248"/>
          </w:tcPr>
          <w:p>
            <w:r>
              <w:t xml:space="preserve">3</w:t>
            </w:r>
          </w:p>
        </w:tc>
        <w:tc>
          <w:tcPr>
            <w:tcW w:type="dxa" w:w="3248"/>
          </w:tcPr>
          <w:p>
            <w:r>
              <w:t xml:space="preserve">8,971</w:t>
            </w:r>
          </w:p>
        </w:tc>
        <w:tc>
          <w:tcPr>
            <w:tcW w:type="dxa" w:w="3248"/>
          </w:tcPr>
          <w:p>
            <w:r>
              <w:t xml:space="preserve">0.325</w:t>
            </w:r>
          </w:p>
        </w:tc>
      </w:tr>
      <w:tr>
        <w:trPr>
          <w:tblHeader w:val="false"/>
        </w:trPr>
        <w:tc>
          <w:tcPr>
            <w:tcW w:type="dxa" w:w="3248"/>
          </w:tcPr>
          <w:p>
            <w:r>
              <w:rPr>
                <w:b/>
                <w:bCs/>
              </w:rPr>
              <w:t xml:space="preserve">4</w:t>
            </w:r>
          </w:p>
        </w:tc>
        <w:tc>
          <w:tcPr>
            <w:tcW w:type="dxa" w:w="3248"/>
          </w:tcPr>
          <w:p>
            <w:r>
              <w:rPr>
                <w:b/>
                <w:bCs/>
              </w:rPr>
              <w:t xml:space="preserve">7,257</w:t>
            </w:r>
          </w:p>
        </w:tc>
        <w:tc>
          <w:tcPr>
            <w:tcW w:type="dxa" w:w="3248"/>
          </w:tcPr>
          <w:p>
            <w:r>
              <w:rPr>
                <w:b/>
                <w:bCs/>
              </w:rPr>
              <w:t xml:space="preserve">0.342</w:t>
            </w:r>
          </w:p>
        </w:tc>
      </w:tr>
      <w:tr>
        <w:trPr>
          <w:tblHeader w:val="false"/>
        </w:trPr>
        <w:tc>
          <w:tcPr>
            <w:tcW w:type="dxa" w:w="3248"/>
          </w:tcPr>
          <w:p>
            <w:r>
              <w:t xml:space="preserve">5</w:t>
            </w:r>
          </w:p>
        </w:tc>
        <w:tc>
          <w:tcPr>
            <w:tcW w:type="dxa" w:w="3248"/>
          </w:tcPr>
          <w:p>
            <w:r>
              <w:t xml:space="preserve">6,054</w:t>
            </w:r>
          </w:p>
        </w:tc>
        <w:tc>
          <w:tcPr>
            <w:tcW w:type="dxa" w:w="3248"/>
          </w:tcPr>
          <w:p>
            <w:r>
              <w:t xml:space="preserve">0.343</w:t>
            </w:r>
          </w:p>
        </w:tc>
      </w:tr>
      <w:tr>
        <w:trPr>
          <w:tblHeader w:val="false"/>
        </w:trPr>
        <w:tc>
          <w:tcPr>
            <w:tcW w:type="dxa" w:w="3248"/>
          </w:tcPr>
          <w:p>
            <w:r>
              <w:t xml:space="preserve">6</w:t>
            </w:r>
          </w:p>
        </w:tc>
        <w:tc>
          <w:tcPr>
            <w:tcW w:type="dxa" w:w="3248"/>
          </w:tcPr>
          <w:p>
            <w:r>
              <w:t xml:space="preserve">5,129</w:t>
            </w:r>
          </w:p>
        </w:tc>
        <w:tc>
          <w:tcPr>
            <w:tcW w:type="dxa" w:w="3248"/>
          </w:tcPr>
          <w:p>
            <w:r>
              <w:t xml:space="preserve">0.367</w:t>
            </w:r>
          </w:p>
        </w:tc>
      </w:tr>
      <w:tr>
        <w:trPr>
          <w:tblHeader w:val="false"/>
        </w:trPr>
        <w:tc>
          <w:tcPr>
            <w:tcW w:type="dxa" w:w="3248"/>
          </w:tcPr>
          <w:p>
            <w:r>
              <w:t xml:space="preserve">7</w:t>
            </w:r>
          </w:p>
        </w:tc>
        <w:tc>
          <w:tcPr>
            <w:tcW w:type="dxa" w:w="3248"/>
          </w:tcPr>
          <w:p>
            <w:r>
              <w:t xml:space="preserve">4,503</w:t>
            </w:r>
          </w:p>
        </w:tc>
        <w:tc>
          <w:tcPr>
            <w:tcW w:type="dxa" w:w="3248"/>
          </w:tcPr>
          <w:p>
            <w:r>
              <w:t xml:space="preserve">0.370</w:t>
            </w:r>
          </w:p>
        </w:tc>
      </w:tr>
      <w:tr>
        <w:trPr>
          <w:tblHeader w:val="false"/>
        </w:trPr>
        <w:tc>
          <w:tcPr>
            <w:tcW w:type="dxa" w:w="3248"/>
          </w:tcPr>
          <w:p>
            <w:r>
              <w:t xml:space="preserve">8</w:t>
            </w:r>
          </w:p>
        </w:tc>
        <w:tc>
          <w:tcPr>
            <w:tcW w:type="dxa" w:w="3248"/>
          </w:tcPr>
          <w:p>
            <w:r>
              <w:t xml:space="preserve">4,047</w:t>
            </w:r>
          </w:p>
        </w:tc>
        <w:tc>
          <w:tcPr>
            <w:tcW w:type="dxa" w:w="3248"/>
          </w:tcPr>
          <w:p>
            <w:r>
              <w:t xml:space="preserve">0.396</w:t>
            </w:r>
          </w:p>
        </w:tc>
      </w:tr>
    </w:tbl>
    <w:p>
      <w:pPr>
        <w:spacing w:after="200"/>
      </w:pPr>
    </w:p>
    <w:p>
      <w:pPr>
        <w:spacing w:after="160"/>
      </w:pPr>
      <w:r>
        <w:rPr>
          <w:b/>
          <w:bCs/>
        </w:rPr>
        <w:t xml:space="preserve">Por qué se eligió k = 4 y no un valor "mejor" en silueta:</w:t>
      </w:r>
    </w:p>
    <w:p>
      <w:pPr>
        <w:pStyle w:val="ListParagraph"/>
        <w:numPr>
          <w:ilvl w:val="0"/>
          <w:numId w:val="1"/>
        </w:numPr>
        <w:spacing w:after="60"/>
      </w:pPr>
      <w:r>
        <w:t xml:space="preserve">La silueta mejora con k más alto, pero de forma marginal después de k=4 (0.342 → 0.343 entre k=4 y k=5 — casi no cambia).</w:t>
      </w:r>
    </w:p>
    <w:p>
      <w:pPr>
        <w:pStyle w:val="ListParagraph"/>
        <w:numPr>
          <w:ilvl w:val="0"/>
          <w:numId w:val="1"/>
        </w:numPr>
        <w:spacing w:after="60"/>
      </w:pPr>
      <w:r>
        <w:t xml:space="preserve">Un k más alto complica la interpretación de negocio. El objetivo no es la partición estadísticamente "más pura", sino una que la DGM pueda operar: </w:t>
      </w:r>
      <w:r>
        <w:rPr>
          <w:b/>
          <w:bCs/>
        </w:rPr>
        <w:t xml:space="preserve">4 niveles de prioridad (Muy Alta, Alta, Media, Baja)</w:t>
      </w:r>
      <w:r>
        <w:t xml:space="preserve"> es un esquema simple y accionable.</w:t>
      </w:r>
    </w:p>
    <w:p>
      <w:pPr>
        <w:pStyle w:val="ListParagraph"/>
        <w:numPr>
          <w:ilvl w:val="0"/>
          <w:numId w:val="1"/>
        </w:numPr>
        <w:spacing w:after="60"/>
      </w:pPr>
      <w:r>
        <w:t xml:space="preserve">Es una decisión documentada de </w:t>
      </w:r>
      <w:r>
        <w:rPr>
          <w:b/>
          <w:bCs/>
        </w:rPr>
        <w:t xml:space="preserve">criterio de negocio moderando al criterio puramente estadístico</w:t>
      </w:r>
      <w:r>
        <w:t xml:space="preserve"> — práctica reconocida en clustering aplicado, no una elección arbitraria.</w:t>
      </w:r>
    </w:p>
    <w:p>
      <w:pPr>
        <w:spacing w:after="160"/>
      </w:pPr>
      <w:r>
        <w:rPr>
          <w:b/>
          <w:bCs/>
        </w:rPr>
        <w:t xml:space="preserve">Nota honesta sobre la silueta de 0.342:</w:t>
      </w:r>
      <w:r>
        <w:t xml:space="preserve"> en la escala de referencia de Kaufman &amp; Rousseeuw, 0.26–0.50 se interpreta como "estructura débil/artificial, que podría encontrarse por otros medios" (no "estructura fuerte"). Esto no invalida el resultado — pero es la razón por la que el plan de validación (sección 7) no se apoya solo en la silueta, sino en 7 pruebas independientes en 3 dimensiones distintas.</w:t>
      </w:r>
    </w:p>
    <w:p>
      <w:pPr>
        <w:pBdr>
          <w:bottom w:val="single" w:color="999999" w:sz="6"/>
        </w:pBdr>
        <w:spacing w:after="200"/>
      </w:pPr>
    </w:p>
    <w:p>
      <w:pPr>
        <w:pStyle w:val="Heading2"/>
        <w:spacing w:after="120" w:before="240"/>
      </w:pPr>
      <w:r>
        <w:t xml:space="preserve">5. Ejecutar el k-means final</w:t>
      </w:r>
    </w:p>
    <w:p>
      <w:pPr>
        <w:pBdr>
          <w:top w:val="single" w:color="CCCCCC" w:sz="4"/>
          <w:left w:val="single" w:color="CCCCCC" w:sz="4"/>
          <w:bottom w:val="single" w:color="CCCCCC" w:sz="4"/>
          <w:right w:val="single" w:color="CCCCCC" w:sz="4"/>
        </w:pBdr>
        <w:shd w:fill="F4F4F4" w:val="clear"/>
        <w:spacing w:after="200"/>
      </w:pPr>
      <w:r>
        <w:rPr>
          <w:rFonts w:ascii="Consolas" w:cs="Consolas" w:eastAsia="Consolas" w:hAnsi="Consolas"/>
          <w:sz w:val="18"/>
          <w:szCs w:val="18"/>
        </w:rPr>
        <w:t xml:space="preserve">set.seed(2026)</w:t>
      </w:r>
      <w:r>
        <w:br/>
      </w:r>
      <w:r>
        <w:rPr>
          <w:rFonts w:ascii="Consolas" w:cs="Consolas" w:eastAsia="Consolas" w:hAnsi="Consolas"/>
          <w:sz w:val="18"/>
          <w:szCs w:val="18"/>
        </w:rPr>
        <w:t xml:space="preserve">km_final &lt;- kmeans(X, centers = 4, nstart = 50, iter.max = 100)</w:t>
      </w:r>
      <w:r>
        <w:br/>
      </w:r>
      <w:r>
        <w:rPr>
          <w:rFonts w:ascii="Consolas" w:cs="Consolas" w:eastAsia="Consolas" w:hAnsi="Consolas"/>
          <w:sz w:val="18"/>
          <w:szCs w:val="18"/>
        </w:rPr>
        <w:t xml:space="preserve">datos$cluster &lt;- km_final$cluster</w:t>
      </w:r>
    </w:p>
    <w:p>
      <w:pPr>
        <w:spacing w:after="160"/>
      </w:pPr>
      <w:r>
        <w:rPr>
          <w:b/>
          <w:bCs/>
        </w:rPr>
        <w:t xml:space="preserve">Qué hace el algoritmo, paso a paso (intuición):</w:t>
      </w:r>
    </w:p>
    <w:p>
      <w:pPr>
        <w:pStyle w:val="ListParagraph"/>
        <w:numPr>
          <w:ilvl w:val="0"/>
          <w:numId w:val="2"/>
        </w:numPr>
        <w:spacing w:after="60"/>
      </w:pPr>
      <w:r>
        <w:t xml:space="preserve">Coloca 4 "centros" (centroides) en puntos del espacio de 6 dimensiones.</w:t>
      </w:r>
    </w:p>
    <w:p>
      <w:pPr>
        <w:pStyle w:val="ListParagraph"/>
        <w:numPr>
          <w:ilvl w:val="0"/>
          <w:numId w:val="2"/>
        </w:numPr>
        <w:spacing w:after="60"/>
      </w:pPr>
      <w:r>
        <w:t xml:space="preserve">Asigna cada empresa al centro más cercano (distancia euclídea).</w:t>
      </w:r>
    </w:p>
    <w:p>
      <w:pPr>
        <w:pStyle w:val="ListParagraph"/>
        <w:numPr>
          <w:ilvl w:val="0"/>
          <w:numId w:val="2"/>
        </w:numPr>
        <w:spacing w:after="60"/>
      </w:pPr>
      <w:r>
        <w:t xml:space="preserve">Recalcula cada centro como el promedio de las empresas que le tocaron.</w:t>
      </w:r>
    </w:p>
    <w:p>
      <w:pPr>
        <w:pStyle w:val="ListParagraph"/>
        <w:numPr>
          <w:ilvl w:val="0"/>
          <w:numId w:val="2"/>
        </w:numPr>
        <w:spacing w:after="60"/>
      </w:pPr>
      <w:r>
        <w:t xml:space="preserve">Repite 2–3 hasta que las asignaciones ya no cambian (converge).</w:t>
      </w:r>
    </w:p>
    <w:p>
      <w:pPr>
        <w:spacing w:after="160"/>
      </w:pPr>
      <w:r>
        <w:rPr>
          <w:b/>
          <w:bCs/>
        </w:rPr>
        <w:t xml:space="preserve">`nstart = 50`:</w:t>
      </w:r>
      <w:r>
        <w:t xml:space="preserve"> el resultado de k-means depende del punto de partida de los centros (es un algoritmo con componente aleatoria). Para no quedarse con una mala solución por mala suerte, se repite el proceso completo 50 veces desde puntos de partida distintos y se conserva la mejor (menor WSS total).</w:t>
      </w:r>
    </w:p>
    <w:p>
      <w:pPr>
        <w:spacing w:after="160"/>
      </w:pPr>
      <w:r>
        <w:rPr>
          <w:b/>
          <w:bCs/>
        </w:rPr>
        <w:t xml:space="preserve">`set.seed(2026)`:</w:t>
      </w:r>
      <w:r>
        <w:t xml:space="preserve"> fija la semilla del generador aleatorio para que el resultado sea reproducible — cualquiera que corra el script con los mismos datos obtiene exactamente el mismo agrupamiento.</w:t>
      </w:r>
    </w:p>
    <w:p>
      <w:pPr>
        <w:spacing w:after="160"/>
      </w:pPr>
      <w:r>
        <w:rPr>
          <w:b/>
          <w:bCs/>
        </w:rPr>
        <w:t xml:space="preserve">Resultado real (4 grupos, tamaños actuales de la BD):</w:t>
      </w:r>
    </w:p>
    <w:tbl>
      <w:tblPr>
        <w:tblW w:type="dxa" w:w="9746"/>
        <w:tblBorders>
          <w:top w:val="single" w:color="BBBBBB" w:sz="2"/>
          <w:left w:val="single" w:color="BBBBBB" w:sz="2"/>
          <w:bottom w:val="single" w:color="BBBBBB" w:sz="2"/>
          <w:right w:val="single" w:color="BBBBBB" w:sz="2"/>
          <w:insideH w:val="single" w:color="BBBBBB" w:sz="2"/>
          <w:insideV w:val="single" w:color="BBBBBB" w:sz="2"/>
        </w:tblBorders>
      </w:tblPr>
      <w:tblGrid>
        <w:gridCol w:w="1218"/>
        <w:gridCol w:w="1218"/>
        <w:gridCol w:w="1218"/>
        <w:gridCol w:w="1218"/>
        <w:gridCol w:w="1218"/>
        <w:gridCol w:w="1218"/>
        <w:gridCol w:w="1218"/>
        <w:gridCol w:w="1218"/>
      </w:tblGrid>
      <w:tr>
        <w:trPr>
          <w:tblHeader/>
        </w:trPr>
        <w:tc>
          <w:tcPr>
            <w:tcW w:type="dxa" w:w="1218"/>
            <w:shd w:fill="1F3A3D" w:val="clear"/>
          </w:tcPr>
          <w:p>
            <w:r>
              <w:rPr>
                <w:b/>
                <w:bCs/>
                <w:color w:val="FFFFFF"/>
              </w:rPr>
              <w:t xml:space="preserve">Clúster</w:t>
            </w:r>
          </w:p>
        </w:tc>
        <w:tc>
          <w:tcPr>
            <w:tcW w:type="dxa" w:w="1218"/>
            <w:shd w:fill="1F3A3D" w:val="clear"/>
          </w:tcPr>
          <w:p>
            <w:r>
              <w:rPr>
                <w:b/>
                <w:bCs/>
                <w:color w:val="FFFFFF"/>
              </w:rPr>
              <w:t xml:space="preserve">n</w:t>
            </w:r>
          </w:p>
        </w:tc>
        <w:tc>
          <w:tcPr>
            <w:tcW w:type="dxa" w:w="1218"/>
            <w:shd w:fill="1F3A3D" w:val="clear"/>
          </w:tcPr>
          <w:p>
            <w:r>
              <w:rPr>
                <w:b/>
                <w:bCs/>
                <w:color w:val="FFFFFF"/>
              </w:rPr>
              <w:t xml:space="preserve">Amplitud prom.</w:t>
            </w:r>
          </w:p>
        </w:tc>
        <w:tc>
          <w:tcPr>
            <w:tcW w:type="dxa" w:w="1218"/>
            <w:shd w:fill="1F3A3D" w:val="clear"/>
          </w:tcPr>
          <w:p>
            <w:r>
              <w:rPr>
                <w:b/>
                <w:bCs/>
                <w:color w:val="FFFFFF"/>
              </w:rPr>
              <w:t xml:space="preserve">Renovaciones prom.</w:t>
            </w:r>
          </w:p>
        </w:tc>
        <w:tc>
          <w:tcPr>
            <w:tcW w:type="dxa" w:w="1218"/>
            <w:shd w:fill="1F3A3D" w:val="clear"/>
          </w:tcPr>
          <w:p>
            <w:r>
              <w:rPr>
                <w:b/>
                <w:bCs/>
                <w:color w:val="FFFFFF"/>
              </w:rPr>
              <w:t xml:space="preserve">Antigüedad</w:t>
            </w:r>
          </w:p>
        </w:tc>
        <w:tc>
          <w:tcPr>
            <w:tcW w:type="dxa" w:w="1218"/>
            <w:shd w:fill="1F3A3D" w:val="clear"/>
          </w:tcPr>
          <w:p>
            <w:r>
              <w:rPr>
                <w:b/>
                <w:bCs/>
                <w:color w:val="FFFFFF"/>
              </w:rPr>
              <w:t xml:space="preserve">Recencia</w:t>
            </w:r>
          </w:p>
        </w:tc>
        <w:tc>
          <w:tcPr>
            <w:tcW w:type="dxa" w:w="1218"/>
            <w:shd w:fill="1F3A3D" w:val="clear"/>
          </w:tcPr>
          <w:p>
            <w:r>
              <w:rPr>
                <w:b/>
                <w:bCs/>
                <w:color w:val="FFFFFF"/>
              </w:rPr>
              <w:t xml:space="preserve">% con contacto</w:t>
            </w:r>
          </w:p>
        </w:tc>
        <w:tc>
          <w:tcPr>
            <w:tcW w:type="dxa" w:w="1218"/>
            <w:shd w:fill="1F3A3D" w:val="clear"/>
          </w:tcPr>
          <w:p>
            <w:r>
              <w:rPr>
                <w:b/>
                <w:bCs/>
                <w:color w:val="FFFFFF"/>
              </w:rPr>
              <w:t xml:space="preserve">% Regiones</w:t>
            </w:r>
          </w:p>
        </w:tc>
      </w:tr>
      <w:tr>
        <w:trPr>
          <w:tblHeader w:val="false"/>
        </w:trPr>
        <w:tc>
          <w:tcPr>
            <w:tcW w:type="dxa" w:w="1218"/>
          </w:tcPr>
          <w:p>
            <w:r>
              <w:t xml:space="preserve">1</w:t>
            </w:r>
          </w:p>
        </w:tc>
        <w:tc>
          <w:tcPr>
            <w:tcW w:type="dxa" w:w="1218"/>
          </w:tcPr>
          <w:p>
            <w:r>
              <w:t xml:space="preserve">1,096</w:t>
            </w:r>
          </w:p>
        </w:tc>
        <w:tc>
          <w:tcPr>
            <w:tcW w:type="dxa" w:w="1218"/>
          </w:tcPr>
          <w:p>
            <w:r>
              <w:t xml:space="preserve">2.73</w:t>
            </w:r>
          </w:p>
        </w:tc>
        <w:tc>
          <w:tcPr>
            <w:tcW w:type="dxa" w:w="1218"/>
          </w:tcPr>
          <w:p>
            <w:r>
              <w:t xml:space="preserve">1.0</w:t>
            </w:r>
          </w:p>
        </w:tc>
        <w:tc>
          <w:tcPr>
            <w:tcW w:type="dxa" w:w="1218"/>
          </w:tcPr>
          <w:p>
            <w:r>
              <w:t xml:space="preserve">14.4</w:t>
            </w:r>
          </w:p>
        </w:tc>
        <w:tc>
          <w:tcPr>
            <w:tcW w:type="dxa" w:w="1218"/>
          </w:tcPr>
          <w:p>
            <w:r>
              <w:t xml:space="preserve">14.4</w:t>
            </w:r>
          </w:p>
        </w:tc>
        <w:tc>
          <w:tcPr>
            <w:tcW w:type="dxa" w:w="1218"/>
          </w:tcPr>
          <w:p>
            <w:r>
              <w:t xml:space="preserve">0%</w:t>
            </w:r>
          </w:p>
        </w:tc>
        <w:tc>
          <w:tcPr>
            <w:tcW w:type="dxa" w:w="1218"/>
          </w:tcPr>
          <w:p>
            <w:r>
              <w:t xml:space="preserve">0%</w:t>
            </w:r>
          </w:p>
        </w:tc>
      </w:tr>
      <w:tr>
        <w:trPr>
          <w:tblHeader w:val="false"/>
        </w:trPr>
        <w:tc>
          <w:tcPr>
            <w:tcW w:type="dxa" w:w="1218"/>
          </w:tcPr>
          <w:p>
            <w:r>
              <w:t xml:space="preserve">2</w:t>
            </w:r>
          </w:p>
        </w:tc>
        <w:tc>
          <w:tcPr>
            <w:tcW w:type="dxa" w:w="1218"/>
          </w:tcPr>
          <w:p>
            <w:r>
              <w:t xml:space="preserve">76</w:t>
            </w:r>
          </w:p>
        </w:tc>
        <w:tc>
          <w:tcPr>
            <w:tcW w:type="dxa" w:w="1218"/>
          </w:tcPr>
          <w:p>
            <w:r>
              <w:t xml:space="preserve">3.14</w:t>
            </w:r>
          </w:p>
        </w:tc>
        <w:tc>
          <w:tcPr>
            <w:tcW w:type="dxa" w:w="1218"/>
          </w:tcPr>
          <w:p>
            <w:r>
              <w:t xml:space="preserve">2.28</w:t>
            </w:r>
          </w:p>
        </w:tc>
        <w:tc>
          <w:tcPr>
            <w:tcW w:type="dxa" w:w="1218"/>
          </w:tcPr>
          <w:p>
            <w:r>
              <w:t xml:space="preserve">7.5</w:t>
            </w:r>
          </w:p>
        </w:tc>
        <w:tc>
          <w:tcPr>
            <w:tcW w:type="dxa" w:w="1218"/>
          </w:tcPr>
          <w:p>
            <w:r>
              <w:t xml:space="preserve">4.6</w:t>
            </w:r>
          </w:p>
        </w:tc>
        <w:tc>
          <w:tcPr>
            <w:tcW w:type="dxa" w:w="1218"/>
          </w:tcPr>
          <w:p>
            <w:r>
              <w:t xml:space="preserve">9.2%</w:t>
            </w:r>
          </w:p>
        </w:tc>
        <w:tc>
          <w:tcPr>
            <w:tcW w:type="dxa" w:w="1218"/>
          </w:tcPr>
          <w:p>
            <w:r>
              <w:t xml:space="preserve">—</w:t>
            </w:r>
          </w:p>
        </w:tc>
      </w:tr>
      <w:tr>
        <w:trPr>
          <w:tblHeader w:val="false"/>
        </w:trPr>
        <w:tc>
          <w:tcPr>
            <w:tcW w:type="dxa" w:w="1218"/>
          </w:tcPr>
          <w:p>
            <w:r>
              <w:t xml:space="preserve">3</w:t>
            </w:r>
          </w:p>
        </w:tc>
        <w:tc>
          <w:tcPr>
            <w:tcW w:type="dxa" w:w="1218"/>
          </w:tcPr>
          <w:p>
            <w:r>
              <w:t xml:space="preserve">1,023</w:t>
            </w:r>
          </w:p>
        </w:tc>
        <w:tc>
          <w:tcPr>
            <w:tcW w:type="dxa" w:w="1218"/>
          </w:tcPr>
          <w:p>
            <w:r>
              <w:t xml:space="preserve">3.49</w:t>
            </w:r>
          </w:p>
        </w:tc>
        <w:tc>
          <w:tcPr>
            <w:tcW w:type="dxa" w:w="1218"/>
          </w:tcPr>
          <w:p>
            <w:r>
              <w:t xml:space="preserve">1.0</w:t>
            </w:r>
          </w:p>
        </w:tc>
        <w:tc>
          <w:tcPr>
            <w:tcW w:type="dxa" w:w="1218"/>
          </w:tcPr>
          <w:p>
            <w:r>
              <w:t xml:space="preserve">5.4</w:t>
            </w:r>
          </w:p>
        </w:tc>
        <w:tc>
          <w:tcPr>
            <w:tcW w:type="dxa" w:w="1218"/>
          </w:tcPr>
          <w:p>
            <w:r>
              <w:t xml:space="preserve">5.4</w:t>
            </w:r>
          </w:p>
        </w:tc>
        <w:tc>
          <w:tcPr>
            <w:tcW w:type="dxa" w:w="1218"/>
          </w:tcPr>
          <w:p>
            <w:r>
              <w:t xml:space="preserve">0.1%</w:t>
            </w:r>
          </w:p>
        </w:tc>
        <w:tc>
          <w:tcPr>
            <w:tcW w:type="dxa" w:w="1218"/>
          </w:tcPr>
          <w:p>
            <w:r>
              <w:t xml:space="preserve">—</w:t>
            </w:r>
          </w:p>
        </w:tc>
      </w:tr>
      <w:tr>
        <w:trPr>
          <w:tblHeader w:val="false"/>
        </w:trPr>
        <w:tc>
          <w:tcPr>
            <w:tcW w:type="dxa" w:w="1218"/>
          </w:tcPr>
          <w:p>
            <w:r>
              <w:t xml:space="preserve">4</w:t>
            </w:r>
          </w:p>
        </w:tc>
        <w:tc>
          <w:tcPr>
            <w:tcW w:type="dxa" w:w="1218"/>
          </w:tcPr>
          <w:p>
            <w:r>
              <w:t xml:space="preserve">326</w:t>
            </w:r>
          </w:p>
        </w:tc>
        <w:tc>
          <w:tcPr>
            <w:tcW w:type="dxa" w:w="1218"/>
          </w:tcPr>
          <w:p>
            <w:r>
              <w:t xml:space="preserve">~3.0</w:t>
            </w:r>
          </w:p>
        </w:tc>
        <w:tc>
          <w:tcPr>
            <w:tcW w:type="dxa" w:w="1218"/>
          </w:tcPr>
          <w:p>
            <w:r>
              <w:t xml:space="preserve">1.0</w:t>
            </w:r>
          </w:p>
        </w:tc>
        <w:tc>
          <w:tcPr>
            <w:tcW w:type="dxa" w:w="1218"/>
          </w:tcPr>
          <w:p>
            <w:r>
              <w:t xml:space="preserve">—</w:t>
            </w:r>
          </w:p>
        </w:tc>
        <w:tc>
          <w:tcPr>
            <w:tcW w:type="dxa" w:w="1218"/>
          </w:tcPr>
          <w:p>
            <w:r>
              <w:t xml:space="preserve">—</w:t>
            </w:r>
          </w:p>
        </w:tc>
        <w:tc>
          <w:tcPr>
            <w:tcW w:type="dxa" w:w="1218"/>
          </w:tcPr>
          <w:p>
            <w:r>
              <w:t xml:space="preserve">100%</w:t>
            </w:r>
          </w:p>
        </w:tc>
        <w:tc>
          <w:tcPr>
            <w:tcW w:type="dxa" w:w="1218"/>
          </w:tcPr>
          <w:p>
            <w:r>
              <w:t xml:space="preserve">—</w:t>
            </w:r>
          </w:p>
        </w:tc>
      </w:tr>
    </w:tbl>
    <w:p>
      <w:pPr>
        <w:spacing w:after="200"/>
      </w:pPr>
    </w:p>
    <w:p>
      <w:pPr>
        <w:spacing w:after="160"/>
      </w:pPr>
      <w:r>
        <w:t xml:space="preserve">(Los números de cluster 1–4 aquí son los que asigna </w:t>
      </w:r>
      <w:r>
        <w:rPr>
          <w:rFonts w:ascii="Consolas" w:cs="Consolas" w:eastAsia="Consolas" w:hAnsi="Consolas"/>
          <w:shd w:fill="EFEFEF" w:val="clear"/>
        </w:rPr>
        <w:t xml:space="preserve">kmeans()</w:t>
      </w:r>
      <w:r>
        <w:t xml:space="preserve"> internamente y </w:t>
      </w:r>
      <w:r>
        <w:rPr>
          <w:b/>
          <w:bCs/>
        </w:rPr>
        <w:t xml:space="preserve">no</w:t>
      </w:r>
      <w:r>
        <w:t xml:space="preserve"> corresponden al orden de prioridad final — eso se recalcula en el siguiente paso.)</w:t>
      </w:r>
    </w:p>
    <w:p>
      <w:pPr>
        <w:pBdr>
          <w:bottom w:val="single" w:color="999999" w:sz="6"/>
        </w:pBdr>
        <w:spacing w:after="200"/>
      </w:pPr>
    </w:p>
    <w:p>
      <w:pPr>
        <w:pStyle w:val="Heading2"/>
        <w:spacing w:after="120" w:before="240"/>
      </w:pPr>
      <w:r>
        <w:t xml:space="preserve">6. Traducir los grupos a un índice de riesgo</w:t>
      </w:r>
    </w:p>
    <w:p>
      <w:pPr>
        <w:spacing w:after="160"/>
      </w:pPr>
      <w:r>
        <w:t xml:space="preserve">Un clúster por sí solo no dice "qué tan urgente es fiscalizarlo". Para eso se calcula, por grupo, un </w:t>
      </w:r>
      <w:r>
        <w:rPr>
          <w:b/>
          <w:bCs/>
        </w:rPr>
        <w:t xml:space="preserve">índice de riesgo</w:t>
      </w:r>
      <w:r>
        <w:t xml:space="preserve"> (puntaje de 0 a 1) que pondera 4 de las reglas de negocio:</w:t>
      </w:r>
    </w:p>
    <w:p>
      <w:pPr>
        <w:pBdr>
          <w:top w:val="single" w:color="CCCCCC" w:sz="4"/>
          <w:left w:val="single" w:color="CCCCCC" w:sz="4"/>
          <w:bottom w:val="single" w:color="CCCCCC" w:sz="4"/>
          <w:right w:val="single" w:color="CCCCCC" w:sz="4"/>
        </w:pBdr>
        <w:shd w:fill="F4F4F4" w:val="clear"/>
        <w:spacing w:after="200"/>
      </w:pPr>
      <w:r>
        <w:rPr>
          <w:rFonts w:ascii="Consolas" w:cs="Consolas" w:eastAsia="Consolas" w:hAnsi="Consolas"/>
          <w:sz w:val="18"/>
          <w:szCs w:val="18"/>
        </w:rPr>
        <w:t xml:space="preserve">indice_riesgo =</w:t>
      </w:r>
      <w:r>
        <w:br/>
      </w:r>
      <w:r>
        <w:rPr>
          <w:rFonts w:ascii="Consolas" w:cs="Consolas" w:eastAsia="Consolas" w:hAnsi="Consolas"/>
          <w:sz w:val="18"/>
          <w:szCs w:val="18"/>
        </w:rPr>
        <w:t xml:space="preserve">  (amplitud / 4)                          * 0.40 +   # RN1: exposición operativa</w:t>
      </w:r>
      <w:r>
        <w:br/>
      </w:r>
      <w:r>
        <w:rPr>
          <w:rFonts w:ascii="Consolas" w:cs="Consolas" w:eastAsia="Consolas" w:hAnsi="Consolas"/>
          <w:sz w:val="18"/>
          <w:szCs w:val="18"/>
        </w:rPr>
        <w:t xml:space="preserve">  ((100 - pct_con_contacto) / 100)        * 0.25 +   # RN2: baja contactabilidad</w:t>
      </w:r>
      <w:r>
        <w:br/>
      </w:r>
      <w:r>
        <w:rPr>
          <w:rFonts w:ascii="Consolas" w:cs="Consolas" w:eastAsia="Consolas" w:hAnsi="Consolas"/>
          <w:sz w:val="18"/>
          <w:szCs w:val="18"/>
        </w:rPr>
        <w:t xml:space="preserve">  (pct_regiones / 100)                    * 0.20 +   # RN3: complejidad logística</w:t>
      </w:r>
      <w:r>
        <w:br/>
      </w:r>
      <w:r>
        <w:rPr>
          <w:rFonts w:ascii="Consolas" w:cs="Consolas" w:eastAsia="Consolas" w:hAnsi="Consolas"/>
          <w:sz w:val="18"/>
          <w:szCs w:val="18"/>
        </w:rPr>
        <w:t xml:space="preserve">  pmin(recencia / max(recencia), 1)       * 0.15     # RN5: antigüedad sin renovar</w:t>
      </w:r>
    </w:p>
    <w:p>
      <w:pPr>
        <w:spacing w:after="160"/>
      </w:pPr>
      <w:r>
        <w:rPr>
          <w:b/>
          <w:bCs/>
        </w:rPr>
        <w:t xml:space="preserve">Por qué esos pesos:</w:t>
      </w:r>
      <w:r>
        <w:t xml:space="preserve"> la exposición operativa (RN1) pesa más (40%) porque es el factor directo de "qué tanto puede salir mal" en una empresa con actividad integral. La contactabilidad (25%) y la ubicación (20%) pesan porque determinan qué tan </w:t>
      </w:r>
      <w:r>
        <w:rPr>
          <w:b/>
          <w:bCs/>
        </w:rPr>
        <w:t xml:space="preserve">difícil</w:t>
      </w:r>
      <w:r>
        <w:t xml:space="preserve"> es fiscalizar, no cuánto riesgo intrínseco tiene la empresa — por eso pesan menos que la exposición. La recencia (15%) es la señal más débil de las cuatro (podría ser simplemente una empresa que aún no le toca renovar).</w:t>
      </w:r>
    </w:p>
    <w:p>
      <w:pPr>
        <w:spacing w:after="160"/>
      </w:pPr>
      <w:r>
        <w:t xml:space="preserve">Puntajes reales actuales:</w:t>
      </w:r>
    </w:p>
    <w:tbl>
      <w:tblPr>
        <w:tblW w:type="dxa" w:w="9746"/>
        <w:tblBorders>
          <w:top w:val="single" w:color="BBBBBB" w:sz="2"/>
          <w:left w:val="single" w:color="BBBBBB" w:sz="2"/>
          <w:bottom w:val="single" w:color="BBBBBB" w:sz="2"/>
          <w:right w:val="single" w:color="BBBBBB" w:sz="2"/>
          <w:insideH w:val="single" w:color="BBBBBB" w:sz="2"/>
          <w:insideV w:val="single" w:color="BBBBBB" w:sz="2"/>
        </w:tblBorders>
      </w:tblPr>
      <w:tblGrid>
        <w:gridCol w:w="2436"/>
        <w:gridCol w:w="2436"/>
        <w:gridCol w:w="2436"/>
        <w:gridCol w:w="2436"/>
      </w:tblGrid>
      <w:tr>
        <w:trPr>
          <w:tblHeader/>
        </w:trPr>
        <w:tc>
          <w:tcPr>
            <w:tcW w:type="dxa" w:w="2436"/>
            <w:shd w:fill="1F3A3D" w:val="clear"/>
          </w:tcPr>
          <w:p>
            <w:r>
              <w:rPr>
                <w:b/>
                <w:bCs/>
                <w:color w:val="FFFFFF"/>
              </w:rPr>
              <w:t xml:space="preserve">Prioridad</w:t>
            </w:r>
          </w:p>
        </w:tc>
        <w:tc>
          <w:tcPr>
            <w:tcW w:type="dxa" w:w="2436"/>
            <w:shd w:fill="1F3A3D" w:val="clear"/>
          </w:tcPr>
          <w:p>
            <w:r>
              <w:rPr>
                <w:b/>
                <w:bCs/>
                <w:color w:val="FFFFFF"/>
              </w:rPr>
              <w:t xml:space="preserve">Puntaje</w:t>
            </w:r>
          </w:p>
        </w:tc>
        <w:tc>
          <w:tcPr>
            <w:tcW w:type="dxa" w:w="2436"/>
            <w:shd w:fill="1F3A3D" w:val="clear"/>
          </w:tcPr>
          <w:p>
            <w:r>
              <w:rPr>
                <w:b/>
                <w:bCs/>
                <w:color w:val="FFFFFF"/>
              </w:rPr>
              <w:t xml:space="preserve">Nombre del grupo (data-driven)</w:t>
            </w:r>
          </w:p>
        </w:tc>
        <w:tc>
          <w:tcPr>
            <w:tcW w:type="dxa" w:w="2436"/>
            <w:shd w:fill="1F3A3D" w:val="clear"/>
          </w:tcPr>
          <w:p>
            <w:r>
              <w:rPr>
                <w:b/>
                <w:bCs/>
                <w:color w:val="FFFFFF"/>
              </w:rPr>
              <w:t xml:space="preserve">n</w:t>
            </w:r>
          </w:p>
        </w:tc>
      </w:tr>
      <w:tr>
        <w:trPr>
          <w:tblHeader w:val="false"/>
        </w:trPr>
        <w:tc>
          <w:tcPr>
            <w:tcW w:type="dxa" w:w="2436"/>
          </w:tcPr>
          <w:p>
            <w:r>
              <w:t xml:space="preserve">Muy Alta</w:t>
            </w:r>
          </w:p>
        </w:tc>
        <w:tc>
          <w:tcPr>
            <w:tcW w:type="dxa" w:w="2436"/>
          </w:tcPr>
          <w:p>
            <w:r>
              <w:t xml:space="preserve">0.761</w:t>
            </w:r>
          </w:p>
        </w:tc>
        <w:tc>
          <w:tcPr>
            <w:tcW w:type="dxa" w:w="2436"/>
          </w:tcPr>
          <w:p>
            <w:r>
              <w:t xml:space="preserve">Baja contactabilidad · alta exposición · reciente</w:t>
            </w:r>
          </w:p>
        </w:tc>
        <w:tc>
          <w:tcPr>
            <w:tcW w:type="dxa" w:w="2436"/>
          </w:tcPr>
          <w:p>
            <w:r>
              <w:t xml:space="preserve">1,023</w:t>
            </w:r>
          </w:p>
        </w:tc>
      </w:tr>
      <w:tr>
        <w:trPr>
          <w:tblHeader w:val="false"/>
        </w:trPr>
        <w:tc>
          <w:tcPr>
            <w:tcW w:type="dxa" w:w="2436"/>
          </w:tcPr>
          <w:p>
            <w:r>
              <w:t xml:space="preserve">Alta</w:t>
            </w:r>
          </w:p>
        </w:tc>
        <w:tc>
          <w:tcPr>
            <w:tcW w:type="dxa" w:w="2436"/>
          </w:tcPr>
          <w:p>
            <w:r>
              <w:t xml:space="preserve">0.744</w:t>
            </w:r>
          </w:p>
        </w:tc>
        <w:tc>
          <w:tcPr>
            <w:tcW w:type="dxa" w:w="2436"/>
          </w:tcPr>
          <w:p>
            <w:r>
              <w:t xml:space="preserve">Baja contactabilidad · alcance moderado · sin renovar / antiguo</w:t>
            </w:r>
          </w:p>
        </w:tc>
        <w:tc>
          <w:tcPr>
            <w:tcW w:type="dxa" w:w="2436"/>
          </w:tcPr>
          <w:p>
            <w:r>
              <w:t xml:space="preserve">1,096</w:t>
            </w:r>
          </w:p>
        </w:tc>
      </w:tr>
      <w:tr>
        <w:trPr>
          <w:tblHeader w:val="false"/>
        </w:trPr>
        <w:tc>
          <w:tcPr>
            <w:tcW w:type="dxa" w:w="2436"/>
          </w:tcPr>
          <w:p>
            <w:r>
              <w:t xml:space="preserve">Media</w:t>
            </w:r>
          </w:p>
        </w:tc>
        <w:tc>
          <w:tcPr>
            <w:tcW w:type="dxa" w:w="2436"/>
          </w:tcPr>
          <w:p>
            <w:r>
              <w:t xml:space="preserve">0.673</w:t>
            </w:r>
          </w:p>
        </w:tc>
        <w:tc>
          <w:tcPr>
            <w:tcW w:type="dxa" w:w="2436"/>
          </w:tcPr>
          <w:p>
            <w:r>
              <w:t xml:space="preserve">Dinámico con renovaciones · baja contactabilidad · reciente</w:t>
            </w:r>
          </w:p>
        </w:tc>
        <w:tc>
          <w:tcPr>
            <w:tcW w:type="dxa" w:w="2436"/>
          </w:tcPr>
          <w:p>
            <w:r>
              <w:t xml:space="preserve">76</w:t>
            </w:r>
          </w:p>
        </w:tc>
      </w:tr>
      <w:tr>
        <w:trPr>
          <w:tblHeader w:val="false"/>
        </w:trPr>
        <w:tc>
          <w:tcPr>
            <w:tcW w:type="dxa" w:w="2436"/>
          </w:tcPr>
          <w:p>
            <w:r>
              <w:t xml:space="preserve">Baja</w:t>
            </w:r>
          </w:p>
        </w:tc>
        <w:tc>
          <w:tcPr>
            <w:tcW w:type="dxa" w:w="2436"/>
          </w:tcPr>
          <w:p>
            <w:r>
              <w:t xml:space="preserve">0.487</w:t>
            </w:r>
          </w:p>
        </w:tc>
        <w:tc>
          <w:tcPr>
            <w:tcW w:type="dxa" w:w="2436"/>
          </w:tcPr>
          <w:p>
            <w:r>
              <w:t xml:space="preserve">Contactable</w:t>
            </w:r>
          </w:p>
        </w:tc>
        <w:tc>
          <w:tcPr>
            <w:tcW w:type="dxa" w:w="2436"/>
          </w:tcPr>
          <w:p>
            <w:r>
              <w:t xml:space="preserve">326</w:t>
            </w:r>
          </w:p>
        </w:tc>
      </w:tr>
    </w:tbl>
    <w:p>
      <w:pPr>
        <w:spacing w:after="200"/>
      </w:pPr>
    </w:p>
    <w:p>
      <w:pPr>
        <w:pBdr>
          <w:bottom w:val="single" w:color="999999" w:sz="6"/>
        </w:pBdr>
        <w:spacing w:after="200"/>
      </w:pPr>
    </w:p>
    <w:p>
      <w:pPr>
        <w:pStyle w:val="Heading2"/>
        <w:spacing w:after="120" w:before="240"/>
      </w:pPr>
      <w:r>
        <w:t xml:space="preserve">7. Nombrar los grupos (etiquetado data-driven)</w:t>
      </w:r>
    </w:p>
    <w:p>
      <w:pPr>
        <w:spacing w:after="160"/>
      </w:pPr>
      <w:r>
        <w:t xml:space="preserve">Los nombres de los grupos (p. ej. "Baja contactabilidad · alta exposición · reciente") </w:t>
      </w:r>
      <w:r>
        <w:rPr>
          <w:b/>
          <w:bCs/>
        </w:rPr>
        <w:t xml:space="preserve">no son una plantilla fija</w:t>
      </w:r>
      <w:r>
        <w:t xml:space="preserve"> — se generan a partir de los rasgos propios de cada grupo, comparando sus promedios contra umbrales:</w:t>
      </w:r>
    </w:p>
    <w:p>
      <w:pPr>
        <w:pBdr>
          <w:top w:val="single" w:color="CCCCCC" w:sz="4"/>
          <w:left w:val="single" w:color="CCCCCC" w:sz="4"/>
          <w:bottom w:val="single" w:color="CCCCCC" w:sz="4"/>
          <w:right w:val="single" w:color="CCCCCC" w:sz="4"/>
        </w:pBdr>
        <w:shd w:fill="F4F4F4" w:val="clear"/>
        <w:spacing w:after="200"/>
      </w:pPr>
      <w:r>
        <w:rPr>
          <w:rFonts w:ascii="Consolas" w:cs="Consolas" w:eastAsia="Consolas" w:hAnsi="Consolas"/>
          <w:sz w:val="18"/>
          <w:szCs w:val="18"/>
        </w:rPr>
        <w:t xml:space="preserve">etiquetar &lt;- function(fila) {</w:t>
      </w:r>
      <w:r>
        <w:br/>
      </w:r>
      <w:r>
        <w:rPr>
          <w:rFonts w:ascii="Consolas" w:cs="Consolas" w:eastAsia="Consolas" w:hAnsi="Consolas"/>
          <w:sz w:val="18"/>
          <w:szCs w:val="18"/>
        </w:rPr>
        <w:t xml:space="preserve">  rasgos &lt;- c()</w:t>
      </w:r>
      <w:r>
        <w:br/>
      </w:r>
      <w:r>
        <w:rPr>
          <w:rFonts w:ascii="Consolas" w:cs="Consolas" w:eastAsia="Consolas" w:hAnsi="Consolas"/>
          <w:sz w:val="18"/>
          <w:szCs w:val="18"/>
        </w:rPr>
        <w:t xml:space="preserve">  if (fila$renovaciones &gt;= 1.5) rasgos &lt;- c(rasgos, "dinámico con renovaciones")</w:t>
      </w:r>
      <w:r>
        <w:br/>
      </w:r>
      <w:r>
        <w:rPr>
          <w:rFonts w:ascii="Consolas" w:cs="Consolas" w:eastAsia="Consolas" w:hAnsi="Consolas"/>
          <w:sz w:val="18"/>
          <w:szCs w:val="18"/>
        </w:rPr>
        <w:t xml:space="preserve">  if (fila$pct_con_contacto &gt;= 80) rasgos &lt;- c(rasgos, "contactable")</w:t>
      </w:r>
      <w:r>
        <w:br/>
      </w:r>
      <w:r>
        <w:rPr>
          <w:rFonts w:ascii="Consolas" w:cs="Consolas" w:eastAsia="Consolas" w:hAnsi="Consolas"/>
          <w:sz w:val="18"/>
          <w:szCs w:val="18"/>
        </w:rPr>
        <w:t xml:space="preserve">  else if (fila$pct_con_contacto &lt;= 10) rasgos &lt;- c(rasgos, "baja contactabilidad")</w:t>
      </w:r>
      <w:r>
        <w:br/>
      </w:r>
      <w:r>
        <w:rPr>
          <w:rFonts w:ascii="Consolas" w:cs="Consolas" w:eastAsia="Consolas" w:hAnsi="Consolas"/>
          <w:sz w:val="18"/>
          <w:szCs w:val="18"/>
        </w:rPr>
        <w:t xml:space="preserve">  if (fila$amplitud &gt;= 3.4) rasgos &lt;- c(rasgos, "alta exposición")</w:t>
      </w:r>
      <w:r>
        <w:br/>
      </w:r>
      <w:r>
        <w:rPr>
          <w:rFonts w:ascii="Consolas" w:cs="Consolas" w:eastAsia="Consolas" w:hAnsi="Consolas"/>
          <w:sz w:val="18"/>
          <w:szCs w:val="18"/>
        </w:rPr>
        <w:t xml:space="preserve">  else if (fila$amplitud &lt;= 2.8) rasgos &lt;- c(rasgos, "alcance moderado")</w:t>
      </w:r>
      <w:r>
        <w:br/>
      </w:r>
      <w:r>
        <w:rPr>
          <w:rFonts w:ascii="Consolas" w:cs="Consolas" w:eastAsia="Consolas" w:hAnsi="Consolas"/>
          <w:sz w:val="18"/>
          <w:szCs w:val="18"/>
        </w:rPr>
        <w:t xml:space="preserve">  if (fila$recencia &gt;= media_recencia * 1.2) rasgos &lt;- c(rasgos, "sin renovar / antiguo")</w:t>
      </w:r>
      <w:r>
        <w:br/>
      </w:r>
      <w:r>
        <w:rPr>
          <w:rFonts w:ascii="Consolas" w:cs="Consolas" w:eastAsia="Consolas" w:hAnsi="Consolas"/>
          <w:sz w:val="18"/>
          <w:szCs w:val="18"/>
        </w:rPr>
        <w:t xml:space="preserve">  else if (fila$recencia &lt;= media_recencia * 0.6) rasgos &lt;- c(rasgos, "reciente")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60"/>
      </w:pPr>
      <w:r>
        <w:t xml:space="preserve">El primer rasgo que aplica se vuelve el nombre principal; los demás se listan como calificadores. Esto asegura que el nombre describa </w:t>
      </w:r>
      <w:r>
        <w:rPr>
          <w:b/>
          <w:bCs/>
        </w:rPr>
        <w:t xml:space="preserve">lo que el análisis realmente encontró</w:t>
      </w:r>
      <w:r>
        <w:t xml:space="preserve">, no una categoría inventada de antemano.</w:t>
      </w:r>
    </w:p>
    <w:p>
      <w:pPr>
        <w:pBdr>
          <w:bottom w:val="single" w:color="999999" w:sz="6"/>
        </w:pBdr>
        <w:spacing w:after="200"/>
      </w:pPr>
    </w:p>
    <w:p>
      <w:pPr>
        <w:pStyle w:val="Heading2"/>
        <w:spacing w:after="120" w:before="240"/>
      </w:pPr>
      <w:r>
        <w:t xml:space="preserve">8. Ordenar por prioridad y guardar en MongoDB</w:t>
      </w:r>
    </w:p>
    <w:p>
      <w:pPr>
        <w:spacing w:after="160"/>
      </w:pPr>
      <w:r>
        <w:t xml:space="preserve">Una vez calculado el índice de riesgo, los grupos se ordenan de mayor a menor y se les asigna la etiqueta de prioridad:</w:t>
      </w:r>
    </w:p>
    <w:p>
      <w:pPr>
        <w:pBdr>
          <w:top w:val="single" w:color="CCCCCC" w:sz="4"/>
          <w:left w:val="single" w:color="CCCCCC" w:sz="4"/>
          <w:bottom w:val="single" w:color="CCCCCC" w:sz="4"/>
          <w:right w:val="single" w:color="CCCCCC" w:sz="4"/>
        </w:pBdr>
        <w:shd w:fill="F4F4F4" w:val="clear"/>
        <w:spacing w:after="200"/>
      </w:pPr>
      <w:r>
        <w:rPr>
          <w:rFonts w:ascii="Consolas" w:cs="Consolas" w:eastAsia="Consolas" w:hAnsi="Consolas"/>
          <w:sz w:val="18"/>
          <w:szCs w:val="18"/>
        </w:rPr>
        <w:t xml:space="preserve">perfil &lt;- perfil %&gt;%</w:t>
      </w:r>
      <w:r>
        <w:br/>
      </w:r>
      <w:r>
        <w:rPr>
          <w:rFonts w:ascii="Consolas" w:cs="Consolas" w:eastAsia="Consolas" w:hAnsi="Consolas"/>
          <w:sz w:val="18"/>
          <w:szCs w:val="18"/>
        </w:rPr>
        <w:t xml:space="preserve">  arrange(desc(indice_riesgo)) %&gt;%</w:t>
      </w:r>
      <w:r>
        <w:br/>
      </w:r>
      <w:r>
        <w:rPr>
          <w:rFonts w:ascii="Consolas" w:cs="Consolas" w:eastAsia="Consolas" w:hAnsi="Consolas"/>
          <w:sz w:val="18"/>
          <w:szCs w:val="18"/>
        </w:rPr>
        <w:t xml:space="preserve">  mutate(rank_riesgo = row_number(),</w:t>
      </w:r>
      <w:r>
        <w:br/>
      </w:r>
      <w:r>
        <w:rPr>
          <w:rFonts w:ascii="Consolas" w:cs="Consolas" w:eastAsia="Consolas" w:hAnsi="Consolas"/>
          <w:sz w:val="18"/>
          <w:szCs w:val="18"/>
        </w:rPr>
        <w:t xml:space="preserve">         nivel_prioridad_fiscalizacion = case_when(</w:t>
      </w:r>
      <w:r>
        <w:br/>
      </w:r>
      <w:r>
        <w:rPr>
          <w:rFonts w:ascii="Consolas" w:cs="Consolas" w:eastAsia="Consolas" w:hAnsi="Consolas"/>
          <w:sz w:val="18"/>
          <w:szCs w:val="18"/>
        </w:rPr>
        <w:t xml:space="preserve">           rank_riesgo == 1 ~ "Muy Alta",</w:t>
      </w:r>
      <w:r>
        <w:br/>
      </w:r>
      <w:r>
        <w:rPr>
          <w:rFonts w:ascii="Consolas" w:cs="Consolas" w:eastAsia="Consolas" w:hAnsi="Consolas"/>
          <w:sz w:val="18"/>
          <w:szCs w:val="18"/>
        </w:rPr>
        <w:t xml:space="preserve">           rank_riesgo == 2 ~ "Alta",</w:t>
      </w:r>
      <w:r>
        <w:br/>
      </w:r>
      <w:r>
        <w:rPr>
          <w:rFonts w:ascii="Consolas" w:cs="Consolas" w:eastAsia="Consolas" w:hAnsi="Consolas"/>
          <w:sz w:val="18"/>
          <w:szCs w:val="18"/>
        </w:rPr>
        <w:t xml:space="preserve">           rank_riesgo == 3 ~ "Media",</w:t>
      </w:r>
      <w:r>
        <w:br/>
      </w:r>
      <w:r>
        <w:rPr>
          <w:rFonts w:ascii="Consolas" w:cs="Consolas" w:eastAsia="Consolas" w:hAnsi="Consolas"/>
          <w:sz w:val="18"/>
          <w:szCs w:val="18"/>
        </w:rPr>
        <w:t xml:space="preserve">           TRUE             ~ "Baja"))</w:t>
      </w:r>
    </w:p>
    <w:p>
      <w:pPr>
        <w:spacing w:after="160"/>
      </w:pPr>
      <w:r>
        <w:t xml:space="preserve">Luego se guarda en dos lugares de MongoDB:</w:t>
      </w:r>
    </w:p>
    <w:p>
      <w:pPr>
        <w:pStyle w:val="ListParagraph"/>
        <w:numPr>
          <w:ilvl w:val="0"/>
          <w:numId w:val="2"/>
        </w:numPr>
        <w:spacing w:after="60"/>
      </w:pPr>
      <w:r>
        <w:rPr>
          <w:b/>
          <w:bCs/>
        </w:rPr>
        <w:t xml:space="preserve">Colección `segmentos_riesgo`</w:t>
      </w:r>
      <w:r>
        <w:t xml:space="preserve">: un documento por grupo, con su nombre, descripción, prioridad, índice de riesgo y estadísticas.</w:t>
      </w:r>
    </w:p>
    <w:p>
      <w:pPr>
        <w:pStyle w:val="ListParagraph"/>
        <w:numPr>
          <w:ilvl w:val="0"/>
          <w:numId w:val="2"/>
        </w:numPr>
        <w:spacing w:after="60"/>
      </w:pPr>
      <w:r>
        <w:rPr>
          <w:b/>
          <w:bCs/>
        </w:rPr>
        <w:t xml:space="preserve">Campo `segmento_id` en cada contratista</w:t>
      </w:r>
      <w:r>
        <w:t xml:space="preserve">: se actualiza documento por documento (</w:t>
      </w:r>
      <w:r>
        <w:rPr>
          <w:rFonts w:ascii="Consolas" w:cs="Consolas" w:eastAsia="Consolas" w:hAnsi="Consolas"/>
          <w:shd w:fill="EFEFEF" w:val="clear"/>
        </w:rPr>
        <w:t xml:space="preserve">$set</w:t>
      </w:r>
      <w:r>
        <w:t xml:space="preserve">) para que cada empresa quede vinculada a su grupo.</w:t>
      </w:r>
    </w:p>
    <w:p>
      <w:pPr>
        <w:spacing w:after="160"/>
      </w:pPr>
      <w:r>
        <w:rPr>
          <w:b/>
          <w:bCs/>
        </w:rPr>
        <w:t xml:space="preserve">Nota metodológica sobre un hallazgo ya investigado (correlación antigüedad-recencia):</w:t>
      </w:r>
      <w:r>
        <w:t xml:space="preserve"> se detectó que </w:t>
      </w:r>
      <w:r>
        <w:rPr>
          <w:rFonts w:ascii="Consolas" w:cs="Consolas" w:eastAsia="Consolas" w:hAnsi="Consolas"/>
          <w:shd w:fill="EFEFEF" w:val="clear"/>
        </w:rPr>
        <w:t xml:space="preserve">antiguedad_anios</w:t>
      </w:r>
      <w:r>
        <w:t xml:space="preserve"> y </w:t>
      </w:r>
      <w:r>
        <w:rPr>
          <w:rFonts w:ascii="Consolas" w:cs="Consolas" w:eastAsia="Consolas" w:hAnsi="Consolas"/>
          <w:shd w:fill="EFEFEF" w:val="clear"/>
        </w:rPr>
        <w:t xml:space="preserve">recencia_anios</w:t>
      </w:r>
      <w:r>
        <w:t xml:space="preserve"> tienen una correlación de 0.984 en el conjunto completo (y 1.000 en el 97% de empresas con una sola autorización) — es decir, casi la misma información entra dos veces al cálculo de distancia. Se evaluó un modelo alternativo con solo 3 variables continuas, que mejoraba la silueta (0.451 vs 0.342), pero </w:t>
      </w:r>
      <w:r>
        <w:rPr>
          <w:b/>
          <w:bCs/>
        </w:rPr>
        <w:t xml:space="preserve">hacía desaparecer como grupo diferenciado</w:t>
      </w:r>
      <w:r>
        <w:t xml:space="preserve"> al segmento "100% contactable" (el de prioridad Baja), que resultó dominado en 97.6% por la variable binaria </w:t>
      </w:r>
      <w:r>
        <w:rPr>
          <w:rFonts w:ascii="Consolas" w:cs="Consolas" w:eastAsia="Consolas" w:hAnsi="Consolas"/>
          <w:shd w:fill="EFEFEF" w:val="clear"/>
        </w:rPr>
        <w:t xml:space="preserve">contacto</w:t>
      </w:r>
      <w:r>
        <w:t xml:space="preserve">. Tras este análisis se decidió </w:t>
      </w:r>
      <w:r>
        <w:rPr>
          <w:b/>
          <w:bCs/>
        </w:rPr>
        <w:t xml:space="preserve">mantener las 6 variables originales</w:t>
      </w:r>
      <w:r>
        <w:t xml:space="preserve">, documentando ambas limitaciones (correlación y dominancia binaria) como trade-off consciente y no como defecto oculto.</w:t>
      </w:r>
    </w:p>
    <w:p>
      <w:pPr>
        <w:pBdr>
          <w:bottom w:val="single" w:color="999999" w:sz="6"/>
        </w:pBdr>
        <w:spacing w:after="200"/>
      </w:pPr>
    </w:p>
    <w:p>
      <w:pPr>
        <w:pStyle w:val="Heading2"/>
        <w:spacing w:after="120" w:before="240"/>
      </w:pPr>
      <w:r>
        <w:t xml:space="preserve">9. Validación: ¿el clustering realmente sirve?</w:t>
      </w:r>
    </w:p>
    <w:p>
      <w:pPr>
        <w:spacing w:after="160"/>
      </w:pPr>
      <w:r>
        <w:t xml:space="preserve">Como es no supervisado, no hay una "tasa de acierto" que calcular. En su lugar, </w:t>
      </w:r>
      <w:r>
        <w:rPr>
          <w:rFonts w:ascii="Consolas" w:cs="Consolas" w:eastAsia="Consolas" w:hAnsi="Consolas"/>
          <w:shd w:fill="EFEFEF" w:val="clear"/>
        </w:rPr>
        <w:t xml:space="preserve">05_validacion_patrones.R</w:t>
      </w:r>
      <w:r>
        <w:t xml:space="preserve"> corre </w:t>
      </w:r>
      <w:r>
        <w:rPr>
          <w:b/>
          <w:bCs/>
        </w:rPr>
        <w:t xml:space="preserve">7 pruebas</w:t>
      </w:r>
      <w:r>
        <w:t xml:space="preserve"> en 3 dimensiones, cada una con criterio de CUMPLE/NO CUMPLE:</w:t>
      </w:r>
    </w:p>
    <w:p>
      <w:pPr>
        <w:pStyle w:val="Heading3"/>
        <w:spacing w:after="120" w:before="240"/>
      </w:pPr>
      <w:r>
        <w:t xml:space="preserve">A) Validez interna (¿los grupos son reales?)</w:t>
      </w:r>
    </w:p>
    <w:tbl>
      <w:tblPr>
        <w:tblW w:type="dxa" w:w="9746"/>
        <w:tblBorders>
          <w:top w:val="single" w:color="BBBBBB" w:sz="2"/>
          <w:left w:val="single" w:color="BBBBBB" w:sz="2"/>
          <w:bottom w:val="single" w:color="BBBBBB" w:sz="2"/>
          <w:right w:val="single" w:color="BBBBBB" w:sz="2"/>
          <w:insideH w:val="single" w:color="BBBBBB" w:sz="2"/>
          <w:insideV w:val="single" w:color="BBBBBB" w:sz="2"/>
        </w:tblBorders>
      </w:tblPr>
      <w:tblGrid>
        <w:gridCol w:w="3248"/>
        <w:gridCol w:w="3248"/>
        <w:gridCol w:w="3248"/>
      </w:tblGrid>
      <w:tr>
        <w:trPr>
          <w:tblHeader/>
        </w:trPr>
        <w:tc>
          <w:tcPr>
            <w:tcW w:type="dxa" w:w="3248"/>
            <w:shd w:fill="1F3A3D" w:val="clear"/>
          </w:tcPr>
          <w:p>
            <w:r>
              <w:rPr>
                <w:b/>
                <w:bCs/>
                <w:color w:val="FFFFFF"/>
              </w:rPr>
              <w:t xml:space="preserve">Prueba</w:t>
            </w:r>
          </w:p>
        </w:tc>
        <w:tc>
          <w:tcPr>
            <w:tcW w:type="dxa" w:w="3248"/>
            <w:shd w:fill="1F3A3D" w:val="clear"/>
          </w:tcPr>
          <w:p>
            <w:r>
              <w:rPr>
                <w:b/>
                <w:bCs/>
                <w:color w:val="FFFFFF"/>
              </w:rPr>
              <w:t xml:space="preserve">Qué comprueba</w:t>
            </w:r>
          </w:p>
        </w:tc>
        <w:tc>
          <w:tcPr>
            <w:tcW w:type="dxa" w:w="3248"/>
            <w:shd w:fill="1F3A3D" w:val="clear"/>
          </w:tcPr>
          <w:p>
            <w:r>
              <w:rPr>
                <w:b/>
                <w:bCs/>
                <w:color w:val="FFFFFF"/>
              </w:rPr>
              <w:t xml:space="preserve">Resultado</w:t>
            </w:r>
          </w:p>
        </w:tc>
      </w:tr>
      <w:tr>
        <w:trPr>
          <w:tblHeader w:val="false"/>
        </w:trPr>
        <w:tc>
          <w:tcPr>
            <w:tcW w:type="dxa" w:w="3248"/>
          </w:tcPr>
          <w:p>
            <w:r>
              <w:rPr>
                <w:b/>
                <w:bCs/>
              </w:rPr>
              <w:t xml:space="preserve">V1</w:t>
            </w:r>
            <w:r>
              <w:t xml:space="preserve"> — Cobertura</w:t>
            </w:r>
          </w:p>
        </w:tc>
        <w:tc>
          <w:tcPr>
            <w:tcW w:type="dxa" w:w="3248"/>
          </w:tcPr>
          <w:p>
            <w:r>
              <w:t xml:space="preserve">100% de empresas clasificadas y ningún grupo degenerado (umbral proporcional: ≥1% del padrón)</w:t>
            </w:r>
          </w:p>
        </w:tc>
        <w:tc>
          <w:tcPr>
            <w:tcW w:type="dxa" w:w="3248"/>
          </w:tcPr>
          <w:p>
            <w:r>
              <w:t xml:space="preserve">2,521/2,521 asignados; grupo más chico = 76 (3.0%) → </w:t>
            </w:r>
            <w:r>
              <w:rPr>
                <w:b/>
                <w:bCs/>
              </w:rPr>
              <w:t xml:space="preserve">CUMPLE</w:t>
            </w:r>
          </w:p>
        </w:tc>
      </w:tr>
      <w:tr>
        <w:trPr>
          <w:tblHeader w:val="false"/>
        </w:trPr>
        <w:tc>
          <w:tcPr>
            <w:tcW w:type="dxa" w:w="3248"/>
          </w:tcPr>
          <w:p>
            <w:r>
              <w:rPr>
                <w:b/>
                <w:bCs/>
              </w:rPr>
              <w:t xml:space="preserve">V2</w:t>
            </w:r>
            <w:r>
              <w:t xml:space="preserve"> — Cohesión/separación</w:t>
            </w:r>
          </w:p>
        </w:tc>
        <w:tc>
          <w:tcPr>
            <w:tcW w:type="dxa" w:w="3248"/>
          </w:tcPr>
          <w:p>
            <w:r>
              <w:t xml:space="preserve">Silueta &gt; 0.25 y varianza explicada (between/total) &gt; 0.45</w:t>
            </w:r>
          </w:p>
        </w:tc>
        <w:tc>
          <w:tcPr>
            <w:tcW w:type="dxa" w:w="3248"/>
          </w:tcPr>
          <w:p>
            <w:r>
              <w:t xml:space="preserve">silueta 0.342, varianza 52.0% → </w:t>
            </w:r>
            <w:r>
              <w:rPr>
                <w:b/>
                <w:bCs/>
              </w:rPr>
              <w:t xml:space="preserve">CUMPLE</w:t>
            </w:r>
          </w:p>
        </w:tc>
      </w:tr>
      <w:tr>
        <w:trPr>
          <w:tblHeader w:val="false"/>
        </w:trPr>
        <w:tc>
          <w:tcPr>
            <w:tcW w:type="dxa" w:w="3248"/>
          </w:tcPr>
          <w:p>
            <w:r>
              <w:rPr>
                <w:b/>
                <w:bCs/>
              </w:rPr>
              <w:t xml:space="preserve">V3</w:t>
            </w:r>
            <w:r>
              <w:t xml:space="preserve"> — Separación estadística</w:t>
            </w:r>
          </w:p>
        </w:tc>
        <w:tc>
          <w:tcPr>
            <w:tcW w:type="dxa" w:w="3248"/>
          </w:tcPr>
          <w:p>
            <w:r>
              <w:t xml:space="preserve">ANOVA: las 6 variables difieren entre grupos (p &lt; 0.05)</w:t>
            </w:r>
          </w:p>
        </w:tc>
        <w:tc>
          <w:tcPr>
            <w:tcW w:type="dxa" w:w="3248"/>
          </w:tcPr>
          <w:p>
            <w:r>
              <w:t xml:space="preserve">6/6 significativas (máx. p = 1.5×10⁻²⁰) → </w:t>
            </w:r>
            <w:r>
              <w:rPr>
                <w:b/>
                <w:bCs/>
              </w:rPr>
              <w:t xml:space="preserve">CUMPLE</w:t>
            </w:r>
            <w:r>
              <w:t xml:space="preserve">, con nota: el ANOVA se corre sobre las mismas variables que k-means usó para formar los grupos, así que un resultado significativo es esperable casi por construcción; se interpreta como "la partición no es degenerada", no como validez externa independiente</w:t>
            </w:r>
          </w:p>
        </w:tc>
      </w:tr>
    </w:tbl>
    <w:p>
      <w:pPr>
        <w:spacing w:after="200"/>
      </w:pPr>
    </w:p>
    <w:p>
      <w:pPr>
        <w:pStyle w:val="Heading3"/>
        <w:spacing w:after="120" w:before="240"/>
      </w:pPr>
      <w:r>
        <w:t xml:space="preserve">B) Validez de negocio (¿sirven para decidir?)</w:t>
      </w:r>
    </w:p>
    <w:tbl>
      <w:tblPr>
        <w:tblW w:type="dxa" w:w="9746"/>
        <w:tblBorders>
          <w:top w:val="single" w:color="BBBBBB" w:sz="2"/>
          <w:left w:val="single" w:color="BBBBBB" w:sz="2"/>
          <w:bottom w:val="single" w:color="BBBBBB" w:sz="2"/>
          <w:right w:val="single" w:color="BBBBBB" w:sz="2"/>
          <w:insideH w:val="single" w:color="BBBBBB" w:sz="2"/>
          <w:insideV w:val="single" w:color="BBBBBB" w:sz="2"/>
        </w:tblBorders>
      </w:tblPr>
      <w:tblGrid>
        <w:gridCol w:w="3248"/>
        <w:gridCol w:w="3248"/>
        <w:gridCol w:w="3248"/>
      </w:tblGrid>
      <w:tr>
        <w:trPr>
          <w:tblHeader/>
        </w:trPr>
        <w:tc>
          <w:tcPr>
            <w:tcW w:type="dxa" w:w="3248"/>
            <w:shd w:fill="1F3A3D" w:val="clear"/>
          </w:tcPr>
          <w:p>
            <w:r>
              <w:rPr>
                <w:b/>
                <w:bCs/>
                <w:color w:val="FFFFFF"/>
              </w:rPr>
              <w:t xml:space="preserve">Prueba</w:t>
            </w:r>
          </w:p>
        </w:tc>
        <w:tc>
          <w:tcPr>
            <w:tcW w:type="dxa" w:w="3248"/>
            <w:shd w:fill="1F3A3D" w:val="clear"/>
          </w:tcPr>
          <w:p>
            <w:r>
              <w:rPr>
                <w:b/>
                <w:bCs/>
                <w:color w:val="FFFFFF"/>
              </w:rPr>
              <w:t xml:space="preserve">Qué comprueba</w:t>
            </w:r>
          </w:p>
        </w:tc>
        <w:tc>
          <w:tcPr>
            <w:tcW w:type="dxa" w:w="3248"/>
            <w:shd w:fill="1F3A3D" w:val="clear"/>
          </w:tcPr>
          <w:p>
            <w:r>
              <w:rPr>
                <w:b/>
                <w:bCs/>
                <w:color w:val="FFFFFF"/>
              </w:rPr>
              <w:t xml:space="preserve">Resultado</w:t>
            </w:r>
          </w:p>
        </w:tc>
      </w:tr>
      <w:tr>
        <w:trPr>
          <w:tblHeader w:val="false"/>
        </w:trPr>
        <w:tc>
          <w:tcPr>
            <w:tcW w:type="dxa" w:w="3248"/>
          </w:tcPr>
          <w:p>
            <w:r>
              <w:rPr>
                <w:b/>
                <w:bCs/>
              </w:rPr>
              <w:t xml:space="preserve">V4</w:t>
            </w:r>
            <w:r>
              <w:t xml:space="preserve"> — Discriminación de riesgo</w:t>
            </w:r>
          </w:p>
        </w:tc>
        <w:tc>
          <w:tcPr>
            <w:tcW w:type="dxa" w:w="3248"/>
          </w:tcPr>
          <w:p>
            <w:r>
              <w:t xml:space="preserve">El grupo "Muy Alta" supera al "Baja" en exposición y lo subpasa en contacto</w:t>
            </w:r>
          </w:p>
        </w:tc>
        <w:tc>
          <w:tcPr>
            <w:tcW w:type="dxa" w:w="3248"/>
          </w:tcPr>
          <w:p>
            <w:r>
              <w:t xml:space="preserve">Muy Alta: amplitud 3.5 / contacto 0% vs Baja: amplitud 3.0 / contacto 100% → </w:t>
            </w:r>
            <w:r>
              <w:rPr>
                <w:b/>
                <w:bCs/>
              </w:rPr>
              <w:t xml:space="preserve">CUMPLE</w:t>
            </w:r>
          </w:p>
        </w:tc>
      </w:tr>
      <w:tr>
        <w:trPr>
          <w:tblHeader w:val="false"/>
        </w:trPr>
        <w:tc>
          <w:tcPr>
            <w:tcW w:type="dxa" w:w="3248"/>
          </w:tcPr>
          <w:p>
            <w:r>
              <w:rPr>
                <w:b/>
                <w:bCs/>
              </w:rPr>
              <w:t xml:space="preserve">V5</w:t>
            </w:r>
            <w:r>
              <w:t xml:space="preserve"> — Coherencia con las consultas</w:t>
            </w:r>
          </w:p>
        </w:tc>
        <w:tc>
          <w:tcPr>
            <w:tcW w:type="dxa" w:w="3248"/>
          </w:tcPr>
          <w:p>
            <w:r>
              <w:t xml:space="preserve">≥95% de los 485 contratistas "prioritarios" (consulta C4) caen en grupos de alta prioridad y 0 en el de Baja</w:t>
            </w:r>
          </w:p>
        </w:tc>
        <w:tc>
          <w:tcPr>
            <w:tcW w:type="dxa" w:w="3248"/>
          </w:tcPr>
          <w:p>
            <w:r>
              <w:t xml:space="preserve">468/485 (96.5%) en alta prioridad, 0 en Baja → </w:t>
            </w:r>
            <w:r>
              <w:rPr>
                <w:b/>
                <w:bCs/>
              </w:rPr>
              <w:t xml:space="preserve">CUMPLE</w:t>
            </w:r>
          </w:p>
        </w:tc>
      </w:tr>
    </w:tbl>
    <w:p>
      <w:pPr>
        <w:spacing w:after="200"/>
      </w:pPr>
    </w:p>
    <w:p>
      <w:pPr>
        <w:pStyle w:val="Heading3"/>
        <w:spacing w:after="120" w:before="240"/>
      </w:pPr>
      <w:r>
        <w:t xml:space="preserve">C) Robustez (¿el patrón es estable?)</w:t>
      </w:r>
    </w:p>
    <w:tbl>
      <w:tblPr>
        <w:tblW w:type="dxa" w:w="9746"/>
        <w:tblBorders>
          <w:top w:val="single" w:color="BBBBBB" w:sz="2"/>
          <w:left w:val="single" w:color="BBBBBB" w:sz="2"/>
          <w:bottom w:val="single" w:color="BBBBBB" w:sz="2"/>
          <w:right w:val="single" w:color="BBBBBB" w:sz="2"/>
          <w:insideH w:val="single" w:color="BBBBBB" w:sz="2"/>
          <w:insideV w:val="single" w:color="BBBBBB" w:sz="2"/>
        </w:tblBorders>
      </w:tblPr>
      <w:tblGrid>
        <w:gridCol w:w="3248"/>
        <w:gridCol w:w="3248"/>
        <w:gridCol w:w="3248"/>
      </w:tblGrid>
      <w:tr>
        <w:trPr>
          <w:tblHeader/>
        </w:trPr>
        <w:tc>
          <w:tcPr>
            <w:tcW w:type="dxa" w:w="3248"/>
            <w:shd w:fill="1F3A3D" w:val="clear"/>
          </w:tcPr>
          <w:p>
            <w:r>
              <w:rPr>
                <w:b/>
                <w:bCs/>
                <w:color w:val="FFFFFF"/>
              </w:rPr>
              <w:t xml:space="preserve">Prueba</w:t>
            </w:r>
          </w:p>
        </w:tc>
        <w:tc>
          <w:tcPr>
            <w:tcW w:type="dxa" w:w="3248"/>
            <w:shd w:fill="1F3A3D" w:val="clear"/>
          </w:tcPr>
          <w:p>
            <w:r>
              <w:rPr>
                <w:b/>
                <w:bCs/>
                <w:color w:val="FFFFFF"/>
              </w:rPr>
              <w:t xml:space="preserve">Qué comprueba</w:t>
            </w:r>
          </w:p>
        </w:tc>
        <w:tc>
          <w:tcPr>
            <w:tcW w:type="dxa" w:w="3248"/>
            <w:shd w:fill="1F3A3D" w:val="clear"/>
          </w:tcPr>
          <w:p>
            <w:r>
              <w:rPr>
                <w:b/>
                <w:bCs/>
                <w:color w:val="FFFFFF"/>
              </w:rPr>
              <w:t xml:space="preserve">Resultado</w:t>
            </w:r>
          </w:p>
        </w:tc>
      </w:tr>
      <w:tr>
        <w:trPr>
          <w:tblHeader w:val="false"/>
        </w:trPr>
        <w:tc>
          <w:tcPr>
            <w:tcW w:type="dxa" w:w="3248"/>
          </w:tcPr>
          <w:p>
            <w:r>
              <w:rPr>
                <w:b/>
                <w:bCs/>
              </w:rPr>
              <w:t xml:space="preserve">V6</w:t>
            </w:r>
            <w:r>
              <w:t xml:space="preserve"> — Convergencia entre algoritmos</w:t>
            </w:r>
          </w:p>
        </w:tc>
        <w:tc>
          <w:tcPr>
            <w:tcW w:type="dxa" w:w="3248"/>
          </w:tcPr>
          <w:p>
            <w:r>
              <w:t xml:space="preserve">Un algoritmo </w:t>
            </w:r>
            <w:r>
              <w:rPr>
                <w:b/>
                <w:bCs/>
              </w:rPr>
              <w:t xml:space="preserve">distinto</w:t>
            </w:r>
            <w:r>
              <w:t xml:space="preserve"> de k-means (jerárquico de Ward, cortado a 4 grupos) debe recuperar una partición similar</w:t>
            </w:r>
          </w:p>
        </w:tc>
        <w:tc>
          <w:tcPr>
            <w:tcW w:type="dxa" w:w="3248"/>
          </w:tcPr>
          <w:p>
            <w:r>
              <w:t xml:space="preserve">ARI(k-means, Ward) = 0.804 ≥ 0.60 → </w:t>
            </w:r>
            <w:r>
              <w:rPr>
                <w:b/>
                <w:bCs/>
              </w:rPr>
              <w:t xml:space="preserve">CUMPLE</w:t>
            </w:r>
          </w:p>
        </w:tc>
      </w:tr>
      <w:tr>
        <w:trPr>
          <w:tblHeader w:val="false"/>
        </w:trPr>
        <w:tc>
          <w:tcPr>
            <w:tcW w:type="dxa" w:w="3248"/>
          </w:tcPr>
          <w:p>
            <w:r>
              <w:rPr>
                <w:b/>
                <w:bCs/>
              </w:rPr>
              <w:t xml:space="preserve">V7</w:t>
            </w:r>
            <w:r>
              <w:t xml:space="preserve"> — Reproducibilidad</w:t>
            </w:r>
          </w:p>
        </w:tc>
        <w:tc>
          <w:tcPr>
            <w:tcW w:type="dxa" w:w="3248"/>
          </w:tcPr>
          <w:p>
            <w:r>
              <w:t xml:space="preserve">Re-ejecutar k-means con 5 semillas distintas; medir el Índice de Rand Ajustado (ARI) promedio contra el modelo base</w:t>
            </w:r>
          </w:p>
        </w:tc>
        <w:tc>
          <w:tcPr>
            <w:tcW w:type="dxa" w:w="3248"/>
          </w:tcPr>
          <w:p>
            <w:r>
              <w:t xml:space="preserve">ARI promedio 0.900 (rango 0.511–1.000) ≥ 0.75 → </w:t>
            </w:r>
            <w:r>
              <w:rPr>
                <w:b/>
                <w:bCs/>
              </w:rPr>
              <w:t xml:space="preserve">CUMPLE</w:t>
            </w:r>
          </w:p>
        </w:tc>
      </w:tr>
    </w:tbl>
    <w:p>
      <w:pPr>
        <w:spacing w:after="200"/>
      </w:pPr>
    </w:p>
    <w:p>
      <w:pPr>
        <w:spacing w:after="160"/>
      </w:pPr>
      <w:r>
        <w:rPr>
          <w:b/>
          <w:bCs/>
        </w:rPr>
        <w:t xml:space="preserve">Veredicto global: 7 de 7 pruebas CUMPLEN.</w:t>
      </w:r>
    </w:p>
    <w:p>
      <w:pPr>
        <w:pBdr>
          <w:left w:val="single" w:color="0D6B73" w:sz="18"/>
        </w:pBdr>
        <w:shd w:fill="F2F7F7" w:val="clear"/>
        <w:spacing w:after="200"/>
        <w:ind w:left="431"/>
      </w:pPr>
      <w:r>
        <w:rPr>
          <w:i/>
          <w:iCs/>
        </w:rPr>
      </w:r>
      <w:r>
        <w:rPr>
          <w:i/>
          <w:iCs/>
        </w:rPr>
      </w:r>
      <w:r>
        <w:rPr>
          <w:i/>
          <w:iCs/>
        </w:rPr>
      </w:r>
    </w:p>
    <w:p>
      <w:pPr>
        <w:pBdr>
          <w:bottom w:val="single" w:color="999999" w:sz="6"/>
        </w:pBdr>
        <w:spacing w:after="200"/>
      </w:pPr>
    </w:p>
    <w:p>
      <w:pPr>
        <w:pStyle w:val="Heading2"/>
        <w:spacing w:after="120" w:before="240"/>
      </w:pPr>
      <w:r>
        <w:t xml:space="preserve">10. Reproducibilidad: un detalle técnico importante</w:t>
      </w:r>
    </w:p>
    <w:p>
      <w:pPr>
        <w:spacing w:after="160"/>
      </w:pPr>
      <w:r>
        <w:t xml:space="preserve">k-means es sensible a </w:t>
      </w:r>
      <w:r>
        <w:rPr>
          <w:b/>
          <w:bCs/>
        </w:rPr>
        <w:t xml:space="preserve">dos cosas</w:t>
      </w:r>
      <w:r>
        <w:t xml:space="preserve"> además de la semilla:</w:t>
      </w:r>
    </w:p>
    <w:p>
      <w:pPr>
        <w:pStyle w:val="ListParagraph"/>
        <w:numPr>
          <w:ilvl w:val="0"/>
          <w:numId w:val="2"/>
        </w:numPr>
        <w:spacing w:after="60"/>
      </w:pPr>
      <w:r>
        <w:rPr>
          <w:b/>
          <w:bCs/>
        </w:rPr>
        <w:t xml:space="preserve">El orden de las filas</w:t>
      </w:r>
      <w:r>
        <w:t xml:space="preserve"> de entrada (aunque parezca que no debería importar).</w:t>
      </w:r>
    </w:p>
    <w:p>
      <w:pPr>
        <w:pStyle w:val="ListParagraph"/>
        <w:numPr>
          <w:ilvl w:val="0"/>
          <w:numId w:val="2"/>
        </w:numPr>
        <w:spacing w:after="60"/>
      </w:pPr>
      <w:r>
        <w:rPr>
          <w:b/>
          <w:bCs/>
        </w:rPr>
        <w:t xml:space="preserve">La secuencia de números aleatorios consumidos</w:t>
      </w:r>
      <w:r>
        <w:t xml:space="preserve"> antes de correr el ajuste final.</w:t>
      </w:r>
    </w:p>
    <w:p>
      <w:pPr>
        <w:spacing w:after="160"/>
      </w:pPr>
      <w:r>
        <w:t xml:space="preserve">Al construir el botón "Recalcular grupos" en la app (que reproduce este mismo proceso contra MongoDB, sin pasar por archivos), se detectó que MongoDB no garantiza un orden fijo entre lecturas — dos ejecuciones podían dar 1,027/1,092 en vez de 1,023/1,096 (los mismos 4 perfiles, pero ~4 empresas cambiando de lado en la frontera Muy Alta/Alta). Se corrigió:</w:t>
      </w:r>
    </w:p>
    <w:p>
      <w:pPr>
        <w:pBdr>
          <w:top w:val="single" w:color="CCCCCC" w:sz="4"/>
          <w:left w:val="single" w:color="CCCCCC" w:sz="4"/>
          <w:bottom w:val="single" w:color="CCCCCC" w:sz="4"/>
          <w:right w:val="single" w:color="CCCCCC" w:sz="4"/>
        </w:pBdr>
        <w:shd w:fill="F4F4F4" w:val="clear"/>
        <w:spacing w:after="200"/>
      </w:pPr>
      <w:r>
        <w:rPr>
          <w:rFonts w:ascii="Consolas" w:cs="Consolas" w:eastAsia="Consolas" w:hAnsi="Consolas"/>
          <w:sz w:val="18"/>
          <w:szCs w:val="18"/>
        </w:rPr>
        <w:t xml:space="preserve"># En 04_patrones_clustering.R y en recalcular_grupos() (global.R):</w:t>
      </w:r>
      <w:r>
        <w:br/>
      </w:r>
      <w:r>
        <w:rPr>
          <w:rFonts w:ascii="Consolas" w:cs="Consolas" w:eastAsia="Consolas" w:hAnsi="Consolas"/>
          <w:sz w:val="18"/>
          <w:szCs w:val="18"/>
        </w:rPr>
        <w:t xml:space="preserve">datos &lt;- datos[order(datos$ruc), ]</w:t>
      </w:r>
    </w:p>
    <w:p>
      <w:pPr>
        <w:spacing w:after="160"/>
      </w:pPr>
      <w:r>
        <w:t xml:space="preserve">Y además, </w:t>
      </w:r>
      <w:r>
        <w:rPr>
          <w:rFonts w:ascii="Consolas" w:cs="Consolas" w:eastAsia="Consolas" w:hAnsi="Consolas"/>
          <w:shd w:fill="EFEFEF" w:val="clear"/>
        </w:rPr>
        <w:t xml:space="preserve">recalcular_grupos()</w:t>
      </w:r>
      <w:r>
        <w:t xml:space="preserve"> reproduce el mismo bucle de evaluación de k = 2..8 que corre </w:t>
      </w:r>
      <w:r>
        <w:rPr>
          <w:rFonts w:ascii="Consolas" w:cs="Consolas" w:eastAsia="Consolas" w:hAnsi="Consolas"/>
          <w:shd w:fill="EFEFEF" w:val="clear"/>
        </w:rPr>
        <w:t xml:space="preserve">04</w:t>
      </w:r>
      <w:r>
        <w:t xml:space="preserve"> antes del ajuste final (ese bucle consume el generador aleatorio), para que ambos caminos den </w:t>
      </w:r>
      <w:r>
        <w:rPr>
          <w:b/>
          <w:bCs/>
        </w:rPr>
        <w:t xml:space="preserve">exactamente</w:t>
      </w:r>
      <w:r>
        <w:t xml:space="preserve"> el mismo resultado. Verificado: con estos ajustes, recalcular desde la app reproduce 1,023/1,096/76/326 de forma idéntica al script original.</w:t>
      </w:r>
    </w:p>
    <w:p>
      <w:pPr>
        <w:pBdr>
          <w:bottom w:val="single" w:color="999999" w:sz="6"/>
        </w:pBdr>
        <w:spacing w:after="200"/>
      </w:pPr>
    </w:p>
    <w:p>
      <w:pPr>
        <w:pStyle w:val="Heading2"/>
        <w:spacing w:after="120" w:before="240"/>
      </w:pPr>
      <w:r>
        <w:t xml:space="preserve">11. Cuándo se recalcula (y cuándo no)</w:t>
      </w:r>
    </w:p>
    <w:p>
      <w:pPr>
        <w:pStyle w:val="ListParagraph"/>
        <w:numPr>
          <w:ilvl w:val="0"/>
          <w:numId w:val="1"/>
        </w:numPr>
        <w:spacing w:after="60"/>
      </w:pPr>
      <w:r>
        <w:rPr>
          <w:b/>
          <w:bCs/>
        </w:rPr>
        <w:t xml:space="preserve">No es automático.</w:t>
      </w:r>
      <w:r>
        <w:t xml:space="preserve"> El clustering es una "foto" de los datos en el momento en que se ejecutó. Si se editan datos desde la app (teléfono, reasignación manual, baja lógica), los grupos existentes en </w:t>
      </w:r>
      <w:r>
        <w:rPr>
          <w:rFonts w:ascii="Consolas" w:cs="Consolas" w:eastAsia="Consolas" w:hAnsi="Consolas"/>
          <w:shd w:fill="EFEFEF" w:val="clear"/>
        </w:rPr>
        <w:t xml:space="preserve">segmentos_riesgo</w:t>
      </w:r>
      <w:r>
        <w:t xml:space="preserve"> </w:t>
      </w:r>
      <w:r>
        <w:rPr>
          <w:b/>
          <w:bCs/>
        </w:rPr>
        <w:t xml:space="preserve">no se actualizan solos</w:t>
      </w:r>
      <w:r>
        <w:t xml:space="preserve">.</w:t>
      </w:r>
    </w:p>
    <w:p>
      <w:pPr>
        <w:pStyle w:val="ListParagraph"/>
        <w:numPr>
          <w:ilvl w:val="0"/>
          <w:numId w:val="1"/>
        </w:numPr>
        <w:spacing w:after="60"/>
      </w:pPr>
      <w:r>
        <w:rPr>
          <w:b/>
          <w:bCs/>
        </w:rPr>
        <w:t xml:space="preserve">Para actualizarlo:</w:t>
      </w:r>
      <w:r>
        <w:t xml:space="preserve"> botón "Recalcular grupos de riesgo" en la pestaña de Grupos (llama a </w:t>
      </w:r>
      <w:r>
        <w:rPr>
          <w:rFonts w:ascii="Consolas" w:cs="Consolas" w:eastAsia="Consolas" w:hAnsi="Consolas"/>
          <w:shd w:fill="EFEFEF" w:val="clear"/>
        </w:rPr>
        <w:t xml:space="preserve">recalcular_grupos()</w:t>
      </w:r>
      <w:r>
        <w:t xml:space="preserve">), o re-ejecutar </w:t>
      </w:r>
      <w:r>
        <w:rPr>
          <w:rFonts w:ascii="Consolas" w:cs="Consolas" w:eastAsia="Consolas" w:hAnsi="Consolas"/>
          <w:shd w:fill="EFEFEF" w:val="clear"/>
        </w:rPr>
        <w:t xml:space="preserve">04_patrones_clustering.R</w:t>
      </w:r>
      <w:r>
        <w:t xml:space="preserve"> manualmente.</w:t>
      </w:r>
    </w:p>
    <w:p>
      <w:pPr>
        <w:pStyle w:val="ListParagraph"/>
        <w:numPr>
          <w:ilvl w:val="0"/>
          <w:numId w:val="1"/>
        </w:numPr>
        <w:spacing w:after="60"/>
      </w:pPr>
      <w:r>
        <w:rPr>
          <w:b/>
          <w:bCs/>
        </w:rPr>
        <w:t xml:space="preserve">Los contratistas inactivos (baja lógica) se excluyen</w:t>
      </w:r>
      <w:r>
        <w:t xml:space="preserve"> de la extracción de variables — no participan del agrupamiento ni se cuentan en sus estadísticas.</w:t>
      </w:r>
    </w:p>
    <w:p>
      <w:pPr>
        <w:pBdr>
          <w:bottom w:val="single" w:color="999999" w:sz="6"/>
        </w:pBdr>
        <w:spacing w:after="200"/>
      </w:pPr>
    </w:p>
    <w:p>
      <w:pPr>
        <w:pStyle w:val="Heading2"/>
        <w:spacing w:after="120" w:before="240"/>
      </w:pPr>
      <w:r>
        <w:t xml:space="preserve">12. Resumen del flujo completo</w:t>
      </w:r>
    </w:p>
    <w:p>
      <w:pPr>
        <w:pBdr>
          <w:top w:val="single" w:color="CCCCCC" w:sz="4"/>
          <w:left w:val="single" w:color="CCCCCC" w:sz="4"/>
          <w:bottom w:val="single" w:color="CCCCCC" w:sz="4"/>
          <w:right w:val="single" w:color="CCCCCC" w:sz="4"/>
        </w:pBdr>
        <w:shd w:fill="F4F4F4" w:val="clear"/>
        <w:spacing w:after="200"/>
      </w:pPr>
      <w:r>
        <w:rPr>
          <w:rFonts w:ascii="Consolas" w:cs="Consolas" w:eastAsia="Consolas" w:hAnsi="Consolas"/>
          <w:sz w:val="18"/>
          <w:szCs w:val="18"/>
        </w:rPr>
        <w:t xml:space="preserve">MongoDB (contratistas + ubicaciones)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Extraer 6 variables por empresa (activos únicamente)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Ordenar por RUC (reproducibilidad) + estandarizar (z-score)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Evaluar k = 2..8 (codo + silueta) → decisión de negocio: k = 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k-means final (seed=2026, nstart=50) → 4 clústeres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Perfilar cada clúster → calcular índice de riesgo (RN1+RN2+RN3+RN5)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Etiquetar (data-driven) + ordenar por prioridad (Muy Alta…Baja)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Guardar en `segmentos_riesgo` + actualizar `segmento_id` en cada contratista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Validar: 7 pruebas en 3 dimensiones (interna / negocio / robustez) → 7/7 CUMPLE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Mostrar en la app: tabla, fichas de acción, gráfico, filtro por grupo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0A545B"/>
      <w:sz w:val="32"/>
      <w:szCs w:val="32"/>
    </w:rPr>
  </w:style>
  <w:style w:type="paragraph" w:styleId="Heading2">
    <w:name w:val="Heading 2"/>
    <w:basedOn w:val="Normal"/>
    <w:next w:val="Normal"/>
    <w:qFormat/>
    <w:rPr>
      <w:b/>
      <w:bCs/>
      <w:color w:val="0D6B73"/>
      <w:sz w:val="27"/>
      <w:szCs w:val="27"/>
    </w:rPr>
  </w:style>
  <w:style w:type="paragraph" w:styleId="Heading3">
    <w:name w:val="Heading 3"/>
    <w:basedOn w:val="Normal"/>
    <w:next w:val="Normal"/>
    <w:qFormat/>
    <w:rPr>
      <w:b/>
      <w:bCs/>
      <w:color w:val="17222E"/>
      <w:sz w:val="24"/>
      <w:szCs w:val="24"/>
    </w:rPr>
  </w:style>
  <w:style w:type="paragraph" w:styleId="Heading4">
    <w:name w:val="Heading 4"/>
    <w:basedOn w:val="Normal"/>
    <w:next w:val="Normal"/>
    <w:qFormat/>
    <w:rPr>
      <w:b/>
      <w:bCs/>
      <w:i/>
      <w:iCs/>
      <w:color w:val="1722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2026-07-22T12:27:27.638Z</dcterms:created>
  <dcterms:modified xsi:type="dcterms:W3CDTF">2026-07-22T12:27:27.639Z</dcterms:modified>
</cp:coreProperties>
</file>

<file path=docProps/custom.xml><?xml version="1.0" encoding="utf-8"?>
<Properties xmlns="http://schemas.openxmlformats.org/officeDocument/2006/custom-properties" xmlns:vt="http://schemas.openxmlformats.org/officeDocument/2006/docPropsVTypes"/>
</file>