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271D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61FF070" w14:textId="77777777" w:rsidTr="25FC3610">
        <w:trPr>
          <w:trHeight w:val="2192"/>
        </w:trPr>
        <w:tc>
          <w:tcPr>
            <w:tcW w:w="0" w:type="auto"/>
          </w:tcPr>
          <w:p w14:paraId="159860AD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1C177DC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5257D765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08D066C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EF2E50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E032D6B" w14:textId="77777777" w:rsidR="002C4FB7" w:rsidRDefault="002C4FB7" w:rsidP="3D28A338">
      <w:pPr>
        <w:spacing w:before="120" w:after="0" w:line="240" w:lineRule="auto"/>
        <w:rPr>
          <w:b/>
          <w:bCs/>
          <w:sz w:val="24"/>
          <w:szCs w:val="24"/>
        </w:rPr>
      </w:pPr>
      <w:r>
        <w:rPr>
          <w:b/>
          <w:color w:val="1F3864"/>
          <w:sz w:val="21"/>
        </w:rPr>
        <w:t>Estudiante:</w:t>
      </w:r>
      <w:r>
        <w:rPr>
          <w:color w:val="1F3864"/>
          <w:sz w:val="21"/>
        </w:rPr>
        <w:t xml:space="preserve"> José Manuel Salinas Badilla · </w:t>
      </w:r>
      <w:r>
        <w:rPr>
          <w:b/>
          <w:color w:val="1F3864"/>
          <w:sz w:val="21"/>
        </w:rPr>
        <w:t>Proyecto:</w:t>
      </w:r>
      <w:r>
        <w:rPr>
          <w:color w:val="1F3864"/>
          <w:sz w:val="21"/>
        </w:rPr>
        <w:t xml:space="preserve"> </w:t>
      </w:r>
      <w:proofErr w:type="spellStart"/>
      <w:r>
        <w:rPr>
          <w:color w:val="1F3864"/>
          <w:sz w:val="21"/>
        </w:rPr>
        <w:t>SalonTech</w:t>
      </w:r>
      <w:proofErr w:type="spellEnd"/>
      <w:r>
        <w:rPr>
          <w:color w:val="1F3864"/>
          <w:sz w:val="21"/>
        </w:rPr>
        <w:t xml:space="preserve"> · Sección 010V · </w:t>
      </w:r>
      <w:proofErr w:type="gramStart"/>
      <w:r>
        <w:rPr>
          <w:color w:val="1F3864"/>
          <w:sz w:val="21"/>
        </w:rPr>
        <w:t>Octubre</w:t>
      </w:r>
      <w:proofErr w:type="gramEnd"/>
      <w:r>
        <w:rPr>
          <w:color w:val="1F3864"/>
          <w:sz w:val="21"/>
        </w:rPr>
        <w:t xml:space="preserve"> de 2026</w:t>
      </w:r>
    </w:p>
    <w:p w14:paraId="1AF22EE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5DC117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FDFCE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48FC628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697037C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A6D6C30" w14:textId="77777777" w:rsidR="003D400A" w:rsidRDefault="000010D2">
            <w:pPr>
              <w:spacing w:before="160" w:after="120"/>
              <w:jc w:val="both"/>
            </w:pPr>
            <w:r>
              <w:rPr>
                <w:color w:val="262626"/>
              </w:rPr>
              <w:t xml:space="preserve">En lo que me tocaba construir, sí, e incluso antes de tiempo. El modelamiento de la base de datos, el módulo de acceso y roles y el motor de agenda, que la carta Gantt repartía entre las semanas 5 y 11, quedaron funcionando en septiembre. El motor era el componente de mayor riesgo técnico y no fue necesario activar el punto de control que habíamos definido para él. Lo que no cumplí completo fue la configuración del entorno: el repositorio, las ramas y la integración continua quedaron listos, pero GitHub </w:t>
            </w:r>
            <w:proofErr w:type="spellStart"/>
            <w:r>
              <w:rPr>
                <w:color w:val="262626"/>
              </w:rPr>
              <w:t>Actions</w:t>
            </w:r>
            <w:proofErr w:type="spellEnd"/>
            <w:r>
              <w:rPr>
                <w:color w:val="262626"/>
              </w:rPr>
              <w:t xml:space="preserve"> se bloqueó por un cobro fallido en la cuenta, y los entornos de publicación todavía no se crean. Hoy no hay nada desplegado.</w:t>
            </w:r>
          </w:p>
          <w:p w14:paraId="22DC337F" w14:textId="77777777" w:rsidR="003D400A" w:rsidRDefault="000010D2">
            <w:pPr>
              <w:spacing w:after="120"/>
              <w:jc w:val="both"/>
            </w:pPr>
            <w:r>
              <w:rPr>
                <w:color w:val="262626"/>
              </w:rPr>
              <w:t>Lo que facilitó fue dejar las reglas críticas dentro de la base de datos y no solo en el código. El aislamiento de los datos, la imposibilidad de que dos citas se superpongan y la inmutabilidad del stock no dependen de que alguien se acuerde de validar. También ayudó trabajar con migraciones versionadas desde el primer día: el esquema creció de 25 a 29 tablas sin un solo cambio hecho a mano.</w:t>
            </w:r>
          </w:p>
          <w:p w14:paraId="74B0629B" w14:textId="77777777" w:rsidR="003D400A" w:rsidRDefault="000010D2">
            <w:pPr>
              <w:spacing w:after="120"/>
              <w:jc w:val="both"/>
            </w:pPr>
            <w:r>
              <w:rPr>
                <w:color w:val="262626"/>
              </w:rPr>
              <w:t>Lo que dificultó fue la carga de otras asignaturas y la dependencia de servicios externos: Google Cloud pide una tarjeta para crear el proyecto, el dominio hay que comprarlo, y el bloqueo de GitHub no depende de nosotros.</w:t>
            </w:r>
          </w:p>
          <w:p w14:paraId="2DC3BB7C" w14:textId="77777777" w:rsidR="003D400A" w:rsidRDefault="003D400A">
            <w:pPr>
              <w:jc w:val="both"/>
            </w:pPr>
          </w:p>
        </w:tc>
      </w:tr>
    </w:tbl>
    <w:p w14:paraId="155CD71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F08D59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5B5805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B7BD45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F772E6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FFFC85B" w14:textId="77777777" w:rsidR="003D400A" w:rsidRDefault="003D400A">
            <w:pPr>
              <w:spacing w:line="120" w:lineRule="exact"/>
              <w:jc w:val="both"/>
            </w:pPr>
          </w:p>
          <w:p w14:paraId="52B62CFD" w14:textId="77777777" w:rsidR="003D400A" w:rsidRDefault="000010D2">
            <w:pPr>
              <w:numPr>
                <w:ilvl w:val="0"/>
                <w:numId w:val="41"/>
              </w:numPr>
              <w:spacing w:after="60"/>
              <w:jc w:val="both"/>
            </w:pPr>
            <w:r>
              <w:rPr>
                <w:b/>
                <w:color w:val="262626"/>
              </w:rPr>
              <w:t>Sin integración continua:</w:t>
            </w:r>
            <w:r>
              <w:rPr>
                <w:color w:val="262626"/>
              </w:rPr>
              <w:t xml:space="preserve"> antes de integrar, corro las pruebas a mano contra una base nueva y con el mismo rol que usa la aplicación, que es exactamente lo que haría la CI.</w:t>
            </w:r>
          </w:p>
          <w:p w14:paraId="31E8CF43" w14:textId="77777777" w:rsidR="003D400A" w:rsidRDefault="000010D2">
            <w:pPr>
              <w:numPr>
                <w:ilvl w:val="0"/>
                <w:numId w:val="41"/>
              </w:numPr>
              <w:spacing w:after="60"/>
              <w:jc w:val="both"/>
            </w:pPr>
            <w:r>
              <w:rPr>
                <w:b/>
                <w:color w:val="262626"/>
              </w:rPr>
              <w:t>Puesta en línea:</w:t>
            </w:r>
            <w:r>
              <w:rPr>
                <w:color w:val="262626"/>
              </w:rPr>
              <w:t xml:space="preserve"> está en la semana 4 del plan de cierre. Primero, una versión de prueba en las direcciones gratuitas de Cloud Run y </w:t>
            </w:r>
            <w:proofErr w:type="spellStart"/>
            <w:r>
              <w:rPr>
                <w:color w:val="262626"/>
              </w:rPr>
              <w:t>Vercel</w:t>
            </w:r>
            <w:proofErr w:type="spellEnd"/>
            <w:r>
              <w:rPr>
                <w:color w:val="262626"/>
              </w:rPr>
              <w:t>; el dominio se compra cerca de la presentación, para no pagar meses que no se usan.</w:t>
            </w:r>
          </w:p>
          <w:p w14:paraId="4B63FFA7" w14:textId="77777777" w:rsidR="003D400A" w:rsidRDefault="000010D2">
            <w:pPr>
              <w:numPr>
                <w:ilvl w:val="0"/>
                <w:numId w:val="41"/>
              </w:numPr>
              <w:spacing w:after="60"/>
              <w:jc w:val="both"/>
            </w:pPr>
            <w:r>
              <w:rPr>
                <w:b/>
                <w:color w:val="262626"/>
              </w:rPr>
              <w:lastRenderedPageBreak/>
              <w:t>Seguridad antes de publicar:</w:t>
            </w:r>
            <w:r>
              <w:rPr>
                <w:color w:val="262626"/>
              </w:rPr>
              <w:t xml:space="preserve"> voy a pasar una lista de verificación con el límite de reservas por IP, claves de acceso rotadas, variables sensibles solo en el servidor y el script de aislamiento corriendo contra la base publicada.</w:t>
            </w:r>
          </w:p>
          <w:p w14:paraId="565379FD" w14:textId="77777777" w:rsidR="003D400A" w:rsidRDefault="003D400A">
            <w:pPr>
              <w:jc w:val="both"/>
            </w:pPr>
          </w:p>
        </w:tc>
      </w:tr>
    </w:tbl>
    <w:p w14:paraId="388D3FD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DD6936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E121F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E0FB3E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132C53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984BD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FA228D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064AC6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6F7961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F87ABD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E9043D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51FD387F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D8CA19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1CDFD3E" w14:textId="77777777" w:rsidR="003D400A" w:rsidRDefault="000010D2">
            <w:pPr>
              <w:spacing w:before="160" w:after="120"/>
              <w:jc w:val="both"/>
            </w:pPr>
            <w:r>
              <w:rPr>
                <w:color w:val="262626"/>
              </w:rPr>
              <w:t>Destaco la seguridad en la base de datos. Cada tabla tiene políticas por salón, la aplicación se conecta con un rol sin privilegios especiales y la prueba de aislamiento sigue pasando, ahora también con los pagos en línea. Para mí es lo más importante del proyecto, porque el sistema guarda datos personales de las clientas y la protección no puede depender de que una consulta se acuerde de filtrar.</w:t>
            </w:r>
          </w:p>
          <w:p w14:paraId="16791D66" w14:textId="77777777" w:rsidR="003D400A" w:rsidRDefault="000010D2">
            <w:pPr>
              <w:spacing w:after="120"/>
              <w:jc w:val="both"/>
            </w:pPr>
            <w:r>
              <w:rPr>
                <w:color w:val="262626"/>
              </w:rPr>
              <w:t>Lo que debo mejorar es el plan de riesgos, algo que ya había identificado en la fase 1. La puesta en línea era un riesgo previsible y no le puse una fecha de control; quedó para después y hoy es la principal brecha de la versión 1.0. La lección es que un riesgo sin fecha no es un riesgo gestionado.</w:t>
            </w:r>
          </w:p>
          <w:p w14:paraId="3F699EC8" w14:textId="77777777" w:rsidR="003D400A" w:rsidRDefault="003D400A">
            <w:pPr>
              <w:jc w:val="both"/>
            </w:pPr>
          </w:p>
        </w:tc>
      </w:tr>
    </w:tbl>
    <w:p w14:paraId="7A6D31C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1CAB97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92D674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8EF8E2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4EBE6C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DEF07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CBC0CD9" w14:textId="77777777" w:rsidR="003D400A" w:rsidRDefault="000010D2">
            <w:pPr>
              <w:keepNext/>
              <w:spacing w:before="160" w:after="40"/>
              <w:jc w:val="both"/>
            </w:pPr>
            <w:r>
              <w:rPr>
                <w:b/>
                <w:color w:val="262626"/>
              </w:rPr>
              <w:t>Al docente:</w:t>
            </w:r>
          </w:p>
          <w:p w14:paraId="5545D831" w14:textId="77777777" w:rsidR="003D400A" w:rsidRDefault="000010D2">
            <w:pPr>
              <w:numPr>
                <w:ilvl w:val="0"/>
                <w:numId w:val="41"/>
              </w:numPr>
              <w:spacing w:after="60"/>
              <w:jc w:val="both"/>
            </w:pPr>
            <w:r>
              <w:rPr>
                <w:color w:val="262626"/>
              </w:rPr>
              <w:t>¿Qué disponibilidad espera de la versión publicada: que esté funcionando solo para la presentación o durante todas las semanas de validación?</w:t>
            </w:r>
          </w:p>
          <w:p w14:paraId="7383B746" w14:textId="77777777" w:rsidR="003D400A" w:rsidRDefault="000010D2">
            <w:pPr>
              <w:numPr>
                <w:ilvl w:val="0"/>
                <w:numId w:val="41"/>
              </w:numPr>
              <w:spacing w:after="60"/>
              <w:jc w:val="both"/>
            </w:pPr>
            <w:r>
              <w:rPr>
                <w:color w:val="262626"/>
              </w:rPr>
              <w:t>¿Basta la prueba automatizada de aislamiento como evidencia de seguridad, o espera algo más, como una revisión de vulnerabilidades?</w:t>
            </w:r>
          </w:p>
          <w:p w14:paraId="1F1AF2B7" w14:textId="77777777" w:rsidR="003D400A" w:rsidRDefault="000010D2">
            <w:pPr>
              <w:keepNext/>
              <w:spacing w:after="40"/>
              <w:jc w:val="both"/>
            </w:pPr>
            <w:r>
              <w:rPr>
                <w:b/>
                <w:color w:val="262626"/>
              </w:rPr>
              <w:lastRenderedPageBreak/>
              <w:t>A mis compañeros:</w:t>
            </w:r>
          </w:p>
          <w:p w14:paraId="67DE1ABD" w14:textId="77777777" w:rsidR="003D400A" w:rsidRDefault="000010D2">
            <w:pPr>
              <w:numPr>
                <w:ilvl w:val="0"/>
                <w:numId w:val="41"/>
              </w:numPr>
              <w:spacing w:after="60"/>
              <w:jc w:val="both"/>
            </w:pPr>
            <w:r>
              <w:rPr>
                <w:color w:val="262626"/>
              </w:rPr>
              <w:t>¿Estamos de acuerdo en congelar la lista el 18 de octubre sin excepciones? Lo que no esté terminado ese día se declara trabajo futuro, con su justificación.</w:t>
            </w:r>
          </w:p>
          <w:p w14:paraId="4EB4B0B5" w14:textId="77777777" w:rsidR="003D400A" w:rsidRDefault="003D400A">
            <w:pPr>
              <w:jc w:val="both"/>
            </w:pPr>
          </w:p>
        </w:tc>
      </w:tr>
    </w:tbl>
    <w:p w14:paraId="690002C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78755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30A33C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83BA3D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38ED0B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970E84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B8BD239" w14:textId="77777777" w:rsidR="003D400A" w:rsidRDefault="000010D2">
            <w:pPr>
              <w:spacing w:before="160" w:after="120"/>
              <w:jc w:val="both"/>
            </w:pPr>
            <w:r>
              <w:rPr>
                <w:color w:val="262626"/>
              </w:rPr>
              <w:t xml:space="preserve">Sí. Propongo hacerme cargo de la puesta en línea completa: </w:t>
            </w:r>
            <w:proofErr w:type="spellStart"/>
            <w:r>
              <w:rPr>
                <w:color w:val="262626"/>
              </w:rPr>
              <w:t>backend</w:t>
            </w:r>
            <w:proofErr w:type="spellEnd"/>
            <w:r>
              <w:rPr>
                <w:color w:val="262626"/>
              </w:rPr>
              <w:t xml:space="preserve">,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>, variables de entorno, las tareas programadas de los recordatorios y de los pagos en duda, y el dominio con los correos reales. Sigo con Alexander en la caja y el comprobante en PDF, porque el modelo de datos de la caja es parte de lo que tengo a cargo y conviene que quien lo conoce revise la lógica del dinero. Hanns debería tomar las pruebas de interfaz y la validación con la clienta, que es lo que su rol pide. Como actividad nueva, sumo la lista de verificación de seguridad antes de publ</w:t>
            </w:r>
            <w:r>
              <w:rPr>
                <w:color w:val="262626"/>
              </w:rPr>
              <w:t>icar.</w:t>
            </w:r>
          </w:p>
          <w:p w14:paraId="0E0C93CD" w14:textId="77777777" w:rsidR="003D400A" w:rsidRDefault="003D400A">
            <w:pPr>
              <w:jc w:val="both"/>
            </w:pPr>
          </w:p>
        </w:tc>
      </w:tr>
    </w:tbl>
    <w:p w14:paraId="68E949D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8C22BF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7D50F0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C1CCC44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453F0D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ADDCC6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FFB8D57" w14:textId="77777777" w:rsidR="003D400A" w:rsidRDefault="000010D2">
            <w:pPr>
              <w:spacing w:before="160" w:after="120"/>
              <w:jc w:val="both"/>
            </w:pPr>
            <w:r>
              <w:rPr>
                <w:color w:val="262626"/>
              </w:rPr>
              <w:t>Desde lo que aprendí con la certificación de Scrum, lo que más valoro es que las decisiones se toman entre los tres y que entregamos incrementos funcionando seguido: cada sprint terminó con algo que se podía mostrar. También valoro que documentamos las decisiones. Cuando descartamos Mercado Pago, quedó escrito por qué y qué alternativas se evaluaron.</w:t>
            </w:r>
          </w:p>
          <w:p w14:paraId="206A34B9" w14:textId="77777777" w:rsidR="003D400A" w:rsidRDefault="000010D2">
            <w:pPr>
              <w:spacing w:after="120"/>
              <w:jc w:val="both"/>
            </w:pPr>
            <w:r>
              <w:rPr>
                <w:color w:val="262626"/>
              </w:rPr>
              <w:t xml:space="preserve">Para mejorar: dejar registro de las ceremonias, porque la planificación y la retrospectiva se hacen, pero casi no quedan por escrito; mantener el tablero real y no solo el documento de pendientes; y que todo cambio lo revise otro integrante, como dice nuestra </w:t>
            </w:r>
            <w:proofErr w:type="spellStart"/>
            <w:r>
              <w:rPr>
                <w:color w:val="262626"/>
              </w:rPr>
              <w:t>Definition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of</w:t>
            </w:r>
            <w:proofErr w:type="spellEnd"/>
            <w:r>
              <w:rPr>
                <w:color w:val="262626"/>
              </w:rPr>
              <w:t xml:space="preserve"> Done, sin </w:t>
            </w:r>
            <w:proofErr w:type="gramStart"/>
            <w:r>
              <w:rPr>
                <w:color w:val="262626"/>
              </w:rPr>
              <w:t>excepciones</w:t>
            </w:r>
            <w:proofErr w:type="gramEnd"/>
            <w:r>
              <w:rPr>
                <w:color w:val="262626"/>
              </w:rPr>
              <w:t xml:space="preserve"> aunque haya apuro.</w:t>
            </w:r>
          </w:p>
          <w:p w14:paraId="25756943" w14:textId="77777777" w:rsidR="003D400A" w:rsidRDefault="003D400A">
            <w:pPr>
              <w:jc w:val="both"/>
            </w:pPr>
          </w:p>
        </w:tc>
      </w:tr>
    </w:tbl>
    <w:p w14:paraId="434AC56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684498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D14F2" w14:textId="77777777" w:rsidR="000010D2" w:rsidRDefault="000010D2" w:rsidP="00DF38AE">
      <w:pPr>
        <w:spacing w:after="0" w:line="240" w:lineRule="auto"/>
      </w:pPr>
      <w:r>
        <w:separator/>
      </w:r>
    </w:p>
  </w:endnote>
  <w:endnote w:type="continuationSeparator" w:id="0">
    <w:p w14:paraId="6728B77A" w14:textId="77777777" w:rsidR="000010D2" w:rsidRDefault="000010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14812282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68DDCA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D8AF" w14:textId="77777777" w:rsidR="000010D2" w:rsidRDefault="000010D2" w:rsidP="00DF38AE">
      <w:pPr>
        <w:spacing w:after="0" w:line="240" w:lineRule="auto"/>
      </w:pPr>
      <w:r>
        <w:separator/>
      </w:r>
    </w:p>
  </w:footnote>
  <w:footnote w:type="continuationSeparator" w:id="0">
    <w:p w14:paraId="5C2D6A2F" w14:textId="77777777" w:rsidR="000010D2" w:rsidRDefault="000010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649D1EC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1886470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881C7C5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55D9BB6A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CF7B790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90736EE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46FB6C86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0AAE6D1E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09CCD2C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A77F071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650089F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2767B96B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514108CC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7F3888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82E1C"/>
    <w:multiLevelType w:val="singleLevel"/>
    <w:tmpl w:val="521C8990"/>
    <w:lvl w:ilvl="0">
      <w:start w:val="1"/>
      <w:numFmt w:val="decimal"/>
      <w:lvlText w:val="%1."/>
      <w:lvlJc w:val="left"/>
      <w:pPr>
        <w:ind w:left="340" w:hanging="284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9664F"/>
    <w:multiLevelType w:val="singleLevel"/>
    <w:tmpl w:val="475AA8A4"/>
    <w:lvl w:ilvl="0">
      <w:start w:val="1"/>
      <w:numFmt w:val="bullet"/>
      <w:lvlText w:val="•"/>
      <w:lvlJc w:val="left"/>
      <w:pPr>
        <w:ind w:left="340" w:hanging="227"/>
      </w:pPr>
      <w:rPr>
        <w:rFonts w:ascii="Arial" w:hAnsi="Arial" w:cs="Arial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105555">
    <w:abstractNumId w:val="3"/>
  </w:num>
  <w:num w:numId="2" w16cid:durableId="1816875738">
    <w:abstractNumId w:val="8"/>
  </w:num>
  <w:num w:numId="3" w16cid:durableId="871916144">
    <w:abstractNumId w:val="13"/>
  </w:num>
  <w:num w:numId="4" w16cid:durableId="1110277505">
    <w:abstractNumId w:val="30"/>
  </w:num>
  <w:num w:numId="5" w16cid:durableId="1245800690">
    <w:abstractNumId w:val="32"/>
  </w:num>
  <w:num w:numId="6" w16cid:durableId="388920658">
    <w:abstractNumId w:val="4"/>
  </w:num>
  <w:num w:numId="7" w16cid:durableId="2077049232">
    <w:abstractNumId w:val="12"/>
  </w:num>
  <w:num w:numId="8" w16cid:durableId="1719931806">
    <w:abstractNumId w:val="20"/>
  </w:num>
  <w:num w:numId="9" w16cid:durableId="1815951683">
    <w:abstractNumId w:val="16"/>
  </w:num>
  <w:num w:numId="10" w16cid:durableId="175776260">
    <w:abstractNumId w:val="10"/>
  </w:num>
  <w:num w:numId="11" w16cid:durableId="266737700">
    <w:abstractNumId w:val="26"/>
  </w:num>
  <w:num w:numId="12" w16cid:durableId="804811510">
    <w:abstractNumId w:val="37"/>
  </w:num>
  <w:num w:numId="13" w16cid:durableId="672223576">
    <w:abstractNumId w:val="31"/>
  </w:num>
  <w:num w:numId="14" w16cid:durableId="1974671125">
    <w:abstractNumId w:val="1"/>
  </w:num>
  <w:num w:numId="15" w16cid:durableId="803087274">
    <w:abstractNumId w:val="38"/>
  </w:num>
  <w:num w:numId="16" w16cid:durableId="1735539953">
    <w:abstractNumId w:val="22"/>
  </w:num>
  <w:num w:numId="17" w16cid:durableId="518356929">
    <w:abstractNumId w:val="18"/>
  </w:num>
  <w:num w:numId="18" w16cid:durableId="743069329">
    <w:abstractNumId w:val="33"/>
  </w:num>
  <w:num w:numId="19" w16cid:durableId="222372707">
    <w:abstractNumId w:val="11"/>
  </w:num>
  <w:num w:numId="20" w16cid:durableId="425083064">
    <w:abstractNumId w:val="41"/>
  </w:num>
  <w:num w:numId="21" w16cid:durableId="685180887">
    <w:abstractNumId w:val="36"/>
  </w:num>
  <w:num w:numId="22" w16cid:durableId="352998471">
    <w:abstractNumId w:val="14"/>
  </w:num>
  <w:num w:numId="23" w16cid:durableId="613293158">
    <w:abstractNumId w:val="15"/>
  </w:num>
  <w:num w:numId="24" w16cid:durableId="1085568501">
    <w:abstractNumId w:val="5"/>
  </w:num>
  <w:num w:numId="25" w16cid:durableId="1506438274">
    <w:abstractNumId w:val="17"/>
  </w:num>
  <w:num w:numId="26" w16cid:durableId="1032875174">
    <w:abstractNumId w:val="21"/>
  </w:num>
  <w:num w:numId="27" w16cid:durableId="1349331339">
    <w:abstractNumId w:val="25"/>
  </w:num>
  <w:num w:numId="28" w16cid:durableId="1026366658">
    <w:abstractNumId w:val="0"/>
  </w:num>
  <w:num w:numId="29" w16cid:durableId="1665814304">
    <w:abstractNumId w:val="19"/>
  </w:num>
  <w:num w:numId="30" w16cid:durableId="1106731833">
    <w:abstractNumId w:val="24"/>
  </w:num>
  <w:num w:numId="31" w16cid:durableId="802430928">
    <w:abstractNumId w:val="2"/>
  </w:num>
  <w:num w:numId="32" w16cid:durableId="2052266013">
    <w:abstractNumId w:val="7"/>
  </w:num>
  <w:num w:numId="33" w16cid:durableId="418908167">
    <w:abstractNumId w:val="34"/>
  </w:num>
  <w:num w:numId="34" w16cid:durableId="2141873779">
    <w:abstractNumId w:val="40"/>
  </w:num>
  <w:num w:numId="35" w16cid:durableId="1537622256">
    <w:abstractNumId w:val="6"/>
  </w:num>
  <w:num w:numId="36" w16cid:durableId="303780054">
    <w:abstractNumId w:val="27"/>
  </w:num>
  <w:num w:numId="37" w16cid:durableId="173807671">
    <w:abstractNumId w:val="39"/>
  </w:num>
  <w:num w:numId="38" w16cid:durableId="1882135997">
    <w:abstractNumId w:val="29"/>
  </w:num>
  <w:num w:numId="39" w16cid:durableId="1661929928">
    <w:abstractNumId w:val="28"/>
  </w:num>
  <w:num w:numId="40" w16cid:durableId="1194996723">
    <w:abstractNumId w:val="35"/>
  </w:num>
  <w:num w:numId="41" w16cid:durableId="2048948730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0D2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00A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17ED5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E41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C1B41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908</Words>
  <Characters>5000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José Salinas</cp:lastModifiedBy>
  <cp:revision>2</cp:revision>
  <cp:lastPrinted>2019-12-16T20:10:00Z</cp:lastPrinted>
  <dcterms:created xsi:type="dcterms:W3CDTF">2026-10-14T17:47:00Z</dcterms:created>
  <dcterms:modified xsi:type="dcterms:W3CDTF">2026-10-14T17:47:00Z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