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spacing w:before="0" w:after="120" w:line="240" w:lineRule="auto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b/>
          <w:color w:val="1F3864"/>
          <w:sz w:val="20"/>
        </w:rPr>
        <w:t>Proyecto:</w:t>
      </w:r>
      <w:r>
        <w:rPr>
          <w:color w:val="1F3864"/>
          <w:sz w:val="20"/>
        </w:rPr>
        <w:t xml:space="preserve"> SalonTech · Grupo 001 · Sección 010V · </w:t>
      </w:r>
      <w:r>
        <w:rPr>
          <w:b/>
          <w:color w:val="1F3864"/>
          <w:sz w:val="20"/>
        </w:rPr>
        <w:t>Integrantes:</w:t>
      </w:r>
      <w:r>
        <w:rPr>
          <w:color w:val="1F3864"/>
          <w:sz w:val="20"/>
        </w:rPr>
        <w:t xml:space="preserve"> Alexander Arce, José Salinas y Hanns Stack · Octubre de 2026</w:t>
      </w: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>
            <w:pPr>
              <w:spacing w:before="0" w:after="80" w:line="240" w:lineRule="auto"/>
              <w:jc w:val="both"/>
            </w:pPr>
            <w:r>
              <w:rPr>
                <w:color w:val="262626"/>
                <w:sz w:val="20"/>
              </w:rPr>
              <w:t>SalonTech es un sistema web de gestión para un salón de extensiones y color de Padre Hurtado, que hasta ahora administraba su operación con cuadernos, mensajería y planillas. Al cierre de la iteración 04 (7 de octubre), el avance reconocido de la versión 1.0 es de un 80 %, calculado en la ficha de avance 04 con evidencia verificable por funcionalidad. Antes de hacer la trazabilidad, el equipo estimaba un 85 %.</w:t>
            </w:r>
          </w:p>
          <w:p>
            <w:pPr>
              <w:spacing w:before="0" w:after="80" w:line="240" w:lineRule="auto"/>
              <w:jc w:val="both"/>
            </w:pPr>
            <w:r>
              <w:rPr>
                <w:color w:val="262626"/>
                <w:sz w:val="20"/>
              </w:rPr>
              <w:t>Actividades realizadas: definición del proyecto, levantamiento con la usuaria, especificación de 123 requisitos (86 del núcleo y 37 extensiones) con criterio de aceptación, arquitectura con el modelo 4+1, modelo de datos de 29 tablas y la construcción de acceso y roles, catálogos y clientes, motor de agenda, reserva en línea, atenciones y ventas, inventario, reportes y correos a las clientas. Además, entraron tres extensiones que no estaban comprometidas: comisiones, reportes por período y abono en línea con Webpay Plus.</w:t>
            </w:r>
          </w:p>
          <w:tbl>
            <w:tblPr>
              <w:tblW w:w="6895" w:type="dxa"/>
              <w:tblBorders>
                <w:top w:val="single" w:sz="4" w:space="0" w:color="A5B8DA"/>
                <w:left w:val="single" w:sz="4" w:space="0" w:color="A5B8DA"/>
                <w:bottom w:val="single" w:sz="4" w:space="0" w:color="A5B8DA"/>
                <w:right w:val="single" w:sz="4" w:space="0" w:color="A5B8DA"/>
                <w:insideH w:val="single" w:sz="4" w:space="0" w:color="A5B8DA"/>
                <w:insideV w:val="single" w:sz="4" w:space="0" w:color="A5B8DA"/>
              </w:tblBorders>
              <w:tblLayout w:type="fixed"/>
              <w:tblCellMar>
                <w:top w:w="45" w:type="dxa"/>
                <w:left w:w="85" w:type="dxa"/>
                <w:bottom w:w="4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450"/>
              <w:gridCol w:w="1000"/>
              <w:gridCol w:w="3445"/>
            </w:tblGrid>
            <w:tr>
              <w:trPr>
                <w:cantSplit/>
                <w:tblHeader/>
              </w:trPr>
              <w:tc>
                <w:tcPr>
                  <w:tcW w:w="2450" w:type="dxa"/>
                  <w:shd w:val="clear" w:color="auto" w:fill="D9E2F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color w:val="1F3864"/>
                      <w:sz w:val="17"/>
                    </w:rPr>
                    <w:t>Objetivo específico</w:t>
                  </w:r>
                </w:p>
              </w:tc>
              <w:tc>
                <w:tcPr>
                  <w:tcW w:w="1000" w:type="dxa"/>
                  <w:shd w:val="clear" w:color="auto" w:fill="D9E2F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color w:val="1F3864"/>
                      <w:sz w:val="17"/>
                    </w:rPr>
                    <w:t>Estado</w:t>
                  </w:r>
                </w:p>
              </w:tc>
              <w:tc>
                <w:tcPr>
                  <w:tcW w:w="3445" w:type="dxa"/>
                  <w:shd w:val="clear" w:color="auto" w:fill="D9E2F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color w:val="1F3864"/>
                      <w:sz w:val="17"/>
                    </w:rPr>
                    <w:t>De qué manera</w:t>
                  </w:r>
                </w:p>
              </w:tc>
            </w:tr>
            <w:tr>
              <w:trPr>
                <w:cantSplit/>
              </w:trPr>
              <w:tc>
                <w:tcPr>
                  <w:tcW w:w="24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1. Levantar y documentar los requerimientos con criterios de aceptación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Cumplido</w:t>
                  </w:r>
                </w:p>
              </w:tc>
              <w:tc>
                <w:tcPr>
                  <w:tcW w:w="34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123 requisitos, cada uno con su criterio de aceptación verificable, y reglas de negocio numeradas.</w:t>
                  </w:r>
                </w:p>
              </w:tc>
            </w:tr>
            <w:tr>
              <w:trPr>
                <w:cantSplit/>
              </w:trPr>
              <w:tc>
                <w:tcPr>
                  <w:tcW w:w="24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2. Diseñar la arquitectura y el modelo de datos (4+1 y entidad-relación)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Cumplido</w:t>
                  </w:r>
                </w:p>
              </w:tc>
              <w:tc>
                <w:tcPr>
                  <w:tcW w:w="34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Documento maestro con las vistas 4+1, modelo de 29 tablas en 22 migraciones y registro de decisiones.</w:t>
                  </w:r>
                </w:p>
              </w:tc>
            </w:tr>
            <w:tr>
              <w:trPr>
                <w:cantSplit/>
              </w:trPr>
              <w:tc>
                <w:tcPr>
                  <w:tcW w:w="24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3. Implementar el control de acceso por roles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Cumplido</w:t>
                  </w:r>
                </w:p>
              </w:tc>
              <w:tc>
                <w:tcPr>
                  <w:tcW w:w="34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Administradora, profesional y clienta ven solo lo suyo; políticas por fila en la base y prueba de aislamiento aprobada.</w:t>
                  </w:r>
                </w:p>
              </w:tc>
            </w:tr>
            <w:tr>
              <w:trPr>
                <w:cantSplit/>
              </w:trPr>
              <w:tc>
                <w:tcPr>
                  <w:tcW w:w="24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4. Construir el motor de agenda que impida la superposición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Cumplido</w:t>
                  </w:r>
                </w:p>
              </w:tc>
              <w:tc>
                <w:tcPr>
                  <w:tcW w:w="34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Cruza ocho fuentes de información, y una restricción de exclusión en la base rechaza las citas superpuestas.</w:t>
                  </w:r>
                </w:p>
              </w:tc>
            </w:tr>
            <w:tr>
              <w:trPr>
                <w:cantSplit/>
              </w:trPr>
              <w:tc>
                <w:tcPr>
                  <w:tcW w:w="24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5. Desarrollar el registro de atenciones y ventas, separando servicio y producto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Cumplido</w:t>
                  </w:r>
                </w:p>
              </w:tc>
              <w:tc>
                <w:tcPr>
                  <w:tcW w:w="34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Cobro de la atención con productos del stock; la comisión se calcula solo sobre el servicio.</w:t>
                  </w:r>
                </w:p>
              </w:tc>
            </w:tr>
            <w:tr>
              <w:trPr>
                <w:cantSplit/>
              </w:trPr>
              <w:tc>
                <w:tcPr>
                  <w:tcW w:w="24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6. Implementar el inventario por variante con trazabilidad y alertas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Cumplido</w:t>
                  </w:r>
                </w:p>
              </w:tc>
              <w:tc>
                <w:tcPr>
                  <w:tcW w:w="34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Stock calculado desde movimientos que no se pueden modificar, con alertas de reposición en el Inicio.</w:t>
                  </w:r>
                </w:p>
              </w:tc>
            </w:tr>
            <w:tr>
              <w:trPr>
                <w:cantSplit/>
              </w:trPr>
              <w:tc>
                <w:tcPr>
                  <w:tcW w:w="24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7. Generar el reporte diario por método de pago, profesional y tipo de ingreso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Cumplido</w:t>
                  </w:r>
                </w:p>
              </w:tc>
              <w:tc>
                <w:tcPr>
                  <w:tcW w:w="34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Reporte del día con gastos, ampliado a cualquier período.</w:t>
                  </w:r>
                </w:p>
              </w:tc>
            </w:tr>
            <w:tr>
              <w:trPr>
                <w:cantSplit/>
              </w:trPr>
              <w:tc>
                <w:tcPr>
                  <w:tcW w:w="24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8. Validar el sistema con la usuaria final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Pendiente</w:t>
                  </w:r>
                </w:p>
              </w:tc>
              <w:tc>
                <w:tcPr>
                  <w:tcW w:w="34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Se hará sobre la versión publicada, entre las semanas 6 y 8 del plan de cierre, con acta firmada.</w:t>
                  </w:r>
                </w:p>
              </w:tc>
            </w:tr>
          </w:tbl>
          <w:p>
            <w:pPr>
              <w:spacing w:before="0" w:after="80" w:line="240" w:lineRule="auto"/>
              <w:jc w:val="both"/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 w:line="240" w:lineRule="auto"/>
              <w:jc w:val="both"/>
            </w:pPr>
            <w:r>
              <w:rPr>
                <w:color w:val="262626"/>
                <w:sz w:val="20"/>
              </w:rPr>
              <w:t>El objetivo general y los ocho objetivos específicos se mantienen. El único ajuste es de forma en el objetivo 8: la validación se hará sobre el sistema publicado y no en nuestros computadores, porque solo así la administradora puede usarlo desde su salón.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 w:line="240" w:lineRule="auto"/>
              <w:jc w:val="both"/>
            </w:pPr>
            <w:r>
              <w:rPr>
                <w:color w:val="262626"/>
                <w:sz w:val="20"/>
              </w:rPr>
              <w:t>Se mantiene Scrum adaptado a un equipo de tres integrantes con dedicación parcial (Schwaber y Sutherland, 2020), con sprints de una semana, planificación los lunes, mensaje diario escrito, demostración los viernes y retrospectiva. Los ajustes fueron cinco:</w:t>
            </w:r>
          </w:p>
          <w:p>
            <w:pPr>
              <w:numPr>
                <w:ilvl w:val="0"/>
                <w:numId w:val="3"/>
              </w:numPr>
              <w:spacing w:before="0" w:after="60" w:line="240" w:lineRule="auto"/>
              <w:jc w:val="both"/>
            </w:pPr>
            <w:r>
              <w:rPr>
                <w:b/>
                <w:color w:val="262626"/>
                <w:sz w:val="20"/>
              </w:rPr>
              <w:t>Tablero en GitHub Projects en lugar de Jira.</w:t>
            </w:r>
            <w:r>
              <w:rPr>
                <w:color w:val="262626"/>
                <w:sz w:val="20"/>
              </w:rPr>
              <w:t xml:space="preserve"> Se evaluaron ambas herramientas y se eligió GitHub Projects porque enlaza automáticamente el requisito con su PR y sus pruebas, que es la trazabilidad que pide la ficha 04.</w:t>
            </w:r>
          </w:p>
          <w:p>
            <w:pPr>
              <w:numPr>
                <w:ilvl w:val="0"/>
                <w:numId w:val="3"/>
              </w:numPr>
              <w:spacing w:before="0" w:after="60" w:line="240" w:lineRule="auto"/>
              <w:jc w:val="both"/>
            </w:pPr>
            <w:r>
              <w:rPr>
                <w:b/>
                <w:color w:val="262626"/>
                <w:sz w:val="20"/>
              </w:rPr>
              <w:t>Desarrollo asistido por IA, con control.</w:t>
            </w:r>
            <w:r>
              <w:rPr>
                <w:color w:val="262626"/>
                <w:sz w:val="20"/>
              </w:rPr>
              <w:t xml:space="preserve"> Usamos herramientas de inteligencia artificial para programar, con dos condiciones: todo cambio llega con pruebas automatizadas y pasa por un PR revisado por otro integrante.</w:t>
            </w:r>
          </w:p>
          <w:p>
            <w:pPr>
              <w:numPr>
                <w:ilvl w:val="0"/>
                <w:numId w:val="3"/>
              </w:numPr>
              <w:spacing w:before="0" w:after="60" w:line="240" w:lineRule="auto"/>
              <w:jc w:val="both"/>
            </w:pPr>
            <w:r>
              <w:rPr>
                <w:b/>
                <w:color w:val="262626"/>
                <w:sz w:val="20"/>
              </w:rPr>
              <w:t>Pruebas a mano mientras la integración continua esté bloqueada.</w:t>
            </w:r>
            <w:r>
              <w:rPr>
                <w:color w:val="262626"/>
                <w:sz w:val="20"/>
              </w:rPr>
              <w:t xml:space="preserve"> GitHub Actions quedó bloqueado por un cobro fallido en la cuenta, así que antes de cada PR las pruebas se corren contra una base nueva, simulando la CI.</w:t>
            </w:r>
          </w:p>
          <w:p>
            <w:pPr>
              <w:numPr>
                <w:ilvl w:val="0"/>
                <w:numId w:val="3"/>
              </w:numPr>
              <w:spacing w:before="0" w:after="60" w:line="240" w:lineRule="auto"/>
              <w:jc w:val="both"/>
            </w:pPr>
            <w:r>
              <w:rPr>
                <w:b/>
                <w:color w:val="262626"/>
                <w:sz w:val="20"/>
              </w:rPr>
              <w:t>Cierre de cada sprint con un guion de prueba manual y un registro de decisiones fechado.</w:t>
            </w:r>
          </w:p>
          <w:p>
            <w:pPr>
              <w:numPr>
                <w:ilvl w:val="0"/>
                <w:numId w:val="3"/>
              </w:numPr>
              <w:spacing w:before="0" w:after="60" w:line="240" w:lineRule="auto"/>
              <w:jc w:val="both"/>
            </w:pPr>
            <w:r>
              <w:rPr>
                <w:b/>
                <w:color w:val="262626"/>
                <w:sz w:val="20"/>
              </w:rPr>
              <w:t>Congelamiento del alcance el 18 de octubre.</w:t>
            </w:r>
            <w:r>
              <w:rPr>
                <w:color w:val="262626"/>
                <w:sz w:val="20"/>
              </w:rPr>
              <w:t xml:space="preserve"> Desde esa fecha, solo corrección, pruebas e informe.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sz w:val="4"/>
              </w:rPr>
            </w:r>
          </w:p>
          <w:tbl>
            <w:tblPr>
              <w:tblW w:w="6895" w:type="dxa"/>
              <w:tblBorders>
                <w:top w:val="single" w:sz="4" w:space="0" w:color="A5B8DA"/>
                <w:left w:val="single" w:sz="4" w:space="0" w:color="A5B8DA"/>
                <w:bottom w:val="single" w:sz="4" w:space="0" w:color="A5B8DA"/>
                <w:right w:val="single" w:sz="4" w:space="0" w:color="A5B8DA"/>
                <w:insideH w:val="single" w:sz="4" w:space="0" w:color="A5B8DA"/>
                <w:insideV w:val="single" w:sz="4" w:space="0" w:color="A5B8DA"/>
              </w:tblBorders>
              <w:tblLayout w:type="fixed"/>
              <w:tblCellMar>
                <w:top w:w="45" w:type="dxa"/>
                <w:left w:w="85" w:type="dxa"/>
                <w:bottom w:w="4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2550"/>
              <w:gridCol w:w="2845"/>
            </w:tblGrid>
            <w:tr>
              <w:trPr>
                <w:cantSplit/>
                <w:tblHeader/>
              </w:trPr>
              <w:tc>
                <w:tcPr>
                  <w:tcW w:w="1500" w:type="dxa"/>
                  <w:shd w:val="clear" w:color="auto" w:fill="D9E2F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color w:val="1F3864"/>
                      <w:sz w:val="17"/>
                    </w:rPr>
                    <w:t>Evidencia</w:t>
                  </w:r>
                </w:p>
              </w:tc>
              <w:tc>
                <w:tcPr>
                  <w:tcW w:w="2550" w:type="dxa"/>
                  <w:shd w:val="clear" w:color="auto" w:fill="D9E2F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color w:val="1F3864"/>
                      <w:sz w:val="17"/>
                    </w:rPr>
                    <w:t>Qué es</w:t>
                  </w:r>
                </w:p>
              </w:tc>
              <w:tc>
                <w:tcPr>
                  <w:tcW w:w="2845" w:type="dxa"/>
                  <w:shd w:val="clear" w:color="auto" w:fill="D9E2F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color w:val="1F3864"/>
                      <w:sz w:val="17"/>
                    </w:rPr>
                    <w:t>Cómo da cuenta del avance</w:t>
                  </w:r>
                </w:p>
              </w:tc>
            </w:tr>
            <w:tr>
              <w:trPr>
                <w:cantSplit/>
              </w:trPr>
              <w:tc>
                <w:tcPr>
                  <w:tcW w:w="15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Repositorio en GitHub</w:t>
                  </w:r>
                </w:p>
              </w:tc>
              <w:tc>
                <w:tcPr>
                  <w:tcW w:w="25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Historial de versiones con un PR por sprint, por ejemplo el #23 (Sprint 6) y el #24 (Sprint 7).</w:t>
                  </w:r>
                </w:p>
              </w:tc>
              <w:tc>
                <w:tcPr>
                  <w:tcW w:w="28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Muestra el trabajo realizado y la revisión entre pares antes de integrar.</w:t>
                  </w:r>
                </w:p>
              </w:tc>
            </w:tr>
            <w:tr>
              <w:trPr>
                <w:cantSplit/>
              </w:trPr>
              <w:tc>
                <w:tcPr>
                  <w:tcW w:w="15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Pruebas automatizadas</w:t>
                  </w:r>
                </w:p>
              </w:tc>
              <w:tc>
                <w:tcPr>
                  <w:tcW w:w="25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437 pruebas del backend que corren contra una base nueva; 61 son del abono en línea.</w:t>
                  </w:r>
                </w:p>
              </w:tc>
              <w:tc>
                <w:tcPr>
                  <w:tcW w:w="28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Comprueban que las reglas de negocio se cumplen y se pueden repetir en cualquier momento.</w:t>
                  </w:r>
                </w:p>
              </w:tc>
            </w:tr>
            <w:tr>
              <w:trPr>
                <w:cantSplit/>
              </w:trPr>
              <w:tc>
                <w:tcPr>
                  <w:tcW w:w="15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Script de aislamiento</w:t>
                  </w:r>
                </w:p>
              </w:tc>
              <w:tc>
                <w:tcPr>
                  <w:tcW w:w="25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Verificación de que un salón no puede ver datos de otro, con la misma conexión de la aplicación.</w:t>
                  </w:r>
                </w:p>
              </w:tc>
              <w:tc>
                <w:tcPr>
                  <w:tcW w:w="28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Evidencia el control de acceso y la protección de datos personales.</w:t>
                  </w:r>
                </w:p>
              </w:tc>
            </w:tr>
            <w:tr>
              <w:trPr>
                <w:cantSplit/>
              </w:trPr>
              <w:tc>
                <w:tcPr>
                  <w:tcW w:w="15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Documento de requisitos</w:t>
                  </w:r>
                </w:p>
              </w:tc>
              <w:tc>
                <w:tcPr>
                  <w:tcW w:w="25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123 requisitos con criterio de aceptación y prioridad.</w:t>
                  </w:r>
                </w:p>
              </w:tc>
              <w:tc>
                <w:tcPr>
                  <w:tcW w:w="28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Muestra cómo se tradujo lo que necesita la clienta en requisitos comprobables.</w:t>
                  </w:r>
                </w:p>
              </w:tc>
            </w:tr>
            <w:tr>
              <w:trPr>
                <w:cantSplit/>
              </w:trPr>
              <w:tc>
                <w:tcPr>
                  <w:tcW w:w="15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Documento maestro de arquitectura y registro de decisiones</w:t>
                  </w:r>
                </w:p>
              </w:tc>
              <w:tc>
                <w:tcPr>
                  <w:tcW w:w="25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Vistas 4+1, modelo de datos y decisiones con fecha, motivo y alternativas descartadas.</w:t>
                  </w:r>
                </w:p>
              </w:tc>
              <w:tc>
                <w:tcPr>
                  <w:tcW w:w="28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Muestra que las decisiones técnicas se fundamentaron y no se improvisaron.</w:t>
                  </w:r>
                </w:p>
              </w:tc>
            </w:tr>
            <w:tr>
              <w:trPr>
                <w:cantSplit/>
              </w:trPr>
              <w:tc>
                <w:tcPr>
                  <w:tcW w:w="15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Guiones de prueba manual</w:t>
                  </w:r>
                </w:p>
              </w:tc>
              <w:tc>
                <w:tcPr>
                  <w:tcW w:w="25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Un guion por sprint, con el paso a paso en pantalla y los requisitos que cubre.</w:t>
                  </w:r>
                </w:p>
              </w:tc>
              <w:tc>
                <w:tcPr>
                  <w:tcW w:w="28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Evidencia la revisión de cada incremento funcionando.</w:t>
                  </w:r>
                </w:p>
              </w:tc>
            </w:tr>
            <w:tr>
              <w:trPr>
                <w:cantSplit/>
              </w:trPr>
              <w:tc>
                <w:tcPr>
                  <w:tcW w:w="15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Diagramas de casos de uso</w:t>
                  </w:r>
                </w:p>
              </w:tc>
              <w:tc>
                <w:tcPr>
                  <w:tcW w:w="25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Cinco diagramas: usuario, cliente, trabajador, administradora y sistema.</w:t>
                  </w:r>
                </w:p>
              </w:tc>
              <w:tc>
                <w:tcPr>
                  <w:tcW w:w="28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Muestran qué puede hacer cada actor, igual que en el sistema.</w:t>
                  </w:r>
                </w:p>
              </w:tc>
            </w:tr>
            <w:tr>
              <w:trPr>
                <w:cantSplit/>
              </w:trPr>
              <w:tc>
                <w:tcPr>
                  <w:tcW w:w="15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Ficha de avance 04</w:t>
                  </w:r>
                </w:p>
              </w:tc>
              <w:tc>
                <w:tcPr>
                  <w:tcW w:w="25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Trazabilidad de cada funcionalidad con su peso, estado y evidencia.</w:t>
                  </w:r>
                </w:p>
              </w:tc>
              <w:tc>
                <w:tcPr>
                  <w:tcW w:w="28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Respalda el 80 % reconocido.</w:t>
                  </w:r>
                </w:p>
              </w:tc>
            </w:tr>
            <w:tr>
              <w:trPr>
                <w:cantSplit/>
              </w:trPr>
              <w:tc>
                <w:tcPr>
                  <w:tcW w:w="15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Demostración en vivo</w:t>
                  </w:r>
                </w:p>
              </w:tc>
              <w:tc>
                <w:tcPr>
                  <w:tcW w:w="255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Reservar en la página pública, pagar el abono en el ambiente de pruebas de Transbank, atender y cobrar con un producto, y ver el stock y el reporte del día.</w:t>
                  </w:r>
                </w:p>
              </w:tc>
              <w:tc>
                <w:tcPr>
                  <w:tcW w:w="2845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Muestra el flujo completo funcionando de punta a punta.</w:t>
                  </w:r>
                </w:p>
              </w:tc>
            </w:tr>
          </w:tbl>
          <w:p>
            <w:pPr>
              <w:spacing w:before="0" w:after="80" w:line="240" w:lineRule="auto"/>
              <w:jc w:val="both"/>
            </w:pPr>
            <w:r>
              <w:rPr>
                <w:b/>
                <w:color w:val="262626"/>
                <w:sz w:val="20"/>
              </w:rPr>
              <w:t>Cómo resguardamos la calidad.</w:t>
            </w:r>
            <w:r>
              <w:rPr>
                <w:color w:val="262626"/>
                <w:sz w:val="20"/>
              </w:rPr>
              <w:t xml:space="preserve"> Las reglas críticas se aplican en la base de datos y no solo en el código: aislamiento por salón con políticas por fila, restricción de exclusión para las citas, stock calculado desde movimientos inmutables y dinero en pesos enteros. El esquema solo cambia mediante migraciones. Nuestra Definition of Done exige una revisión específica cuando un cambio toca la base, el dinero, las fechas o el stock. En el módulo de pagos, además, un agente revisor independiente hizo dos pasadas y encontró diez problemas en el manejo del dinero, como pagos en duda, devoluciones sin respuesta y un bloqueo mutuo en la base; todos se corrigieron y quedaron con su prueba. Para no depender de Transbank en las pruebas, construimos un Webpay simulado que responde como su API y simula cortes de red.</w:t>
            </w:r>
          </w:p>
          <w:p>
            <w:pPr>
              <w:spacing w:before="0" w:after="80" w:line="240" w:lineRule="auto"/>
              <w:jc w:val="both"/>
            </w:pPr>
            <w:r>
              <w:rPr>
                <w:i/>
                <w:color w:val="262626"/>
                <w:sz w:val="20"/>
              </w:rPr>
              <w:t>(Adjuntar aquí las evidencias seleccionadas: enlaces a los PR, captura de las pruebas pasando, diagramas de casos de uso y la ficha 04.)</w:t>
            </w:r>
          </w:p>
        </w:tc>
      </w:tr>
    </w:tbl>
    <w:p>
      <w:pPr>
        <w:sectPr w:rsidR="0003309E" w:rsidRPr="0003309E">
          <w:head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W w:w="1457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570"/>
      </w:tblGrid>
      <w:tr w:rsidR="00586C9C" w14:paraId="31DD54DD" w14:textId="77777777" w:rsidTr="000A1331">
        <w:trPr>
          <w:trHeight w:val="440"/>
        </w:trPr>
        <w:tc>
          <w:tcPr>
            <w:tcW w:w="1457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1457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457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900"/>
        <w:gridCol w:w="1500"/>
        <w:gridCol w:w="1000"/>
        <w:gridCol w:w="1300"/>
        <w:gridCol w:w="2600"/>
        <w:gridCol w:w="1250"/>
        <w:gridCol w:w="3460"/>
      </w:tblGrid>
      <w:tr w:rsidR="00FD5149" w:rsidRPr="006E3B0D" w14:paraId="66FA4353" w14:textId="77777777" w:rsidTr="00EA0C09">
        <w:trPr>
          <w:trHeight w:val="415"/>
        </w:trPr>
        <w:tc>
          <w:tcPr>
            <w:tcW w:w="14570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560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900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50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00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300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260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250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346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Gestión de proyectos informáticos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Definición del proyecto y conformación del equipo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Documentación de la asignatura, herramienta de gestión de tareas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S1–S2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Alexander Arce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Facilitador: clienta piloto identificada desde el inicio.</w:t>
            </w:r>
          </w:p>
        </w:tc>
        <w:tc>
          <w:tcPr>
            <w:tcW w:w="1250" w:type="dxa"/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Completado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Alcance acotado a un salón por indicación del docente; la versión multiempresa queda como trabajo futuro.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Comunicación efectiva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Levantamiento de requerimientos con la usuaria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Pauta de entrevista, planilla de registro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S2–S4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Alexander Arce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Dificultad: quedan preguntas sin respuesta (dirección, descripción de servicios, productos reales y regla de cancelación tardía).</w:t>
            </w:r>
          </w:p>
        </w:tc>
        <w:tc>
          <w:tcPr>
            <w:tcW w:w="1250" w:type="dxa"/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Completado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 trabaja con datos de ejemplo mientras responde; una reunión para cerrar las preguntas antes de la validación.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Desarrollo de soluciones de software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Especificación de requerimientos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Documento de requerimientos, tablero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S3–S5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Hanns Stack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123 requisitos: 86 del núcleo y 37 extensiones.</w:t>
            </w:r>
          </w:p>
        </w:tc>
        <w:tc>
          <w:tcPr>
            <w:tcW w:w="1250" w:type="dxa"/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Completado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El tablero pasó de Jira a GitHub Projects.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Diseño de arquitecturas de software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Diseño de la arquitectura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Herramienta de diagramación, documentación técnica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S5–S6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José Salinas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Documento maestro con las vistas 4+1.</w:t>
            </w:r>
          </w:p>
        </w:tc>
        <w:tc>
          <w:tcPr>
            <w:tcW w:w="1250" w:type="dxa"/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Completado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 agregaron el registro de decisiones y los diagramas de casos de uso.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Diseño e implementación de bases de datos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Modelamiento de la base de datos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PostgreSQL en Supabase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S5–S6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José Salinas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Componente crítico: todo el sistema se construye sobre este modelo.</w:t>
            </w:r>
          </w:p>
        </w:tc>
        <w:tc>
          <w:tcPr>
            <w:tcW w:w="1250" w:type="dxa"/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Completado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Pasó de 25 a 29 tablas por las extensiones, siempre con migraciones.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Desarrollo de soluciones de software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Configuración del entorno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GitHub, servicios en la nube en plan gratuito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S6–S7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José Salinas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Dificultad: GitHub Actions bloqueado por un cobro fallido; problemas de instalación en cada computador.</w:t>
            </w:r>
          </w:p>
        </w:tc>
        <w:tc>
          <w:tcPr>
            <w:tcW w:w="1250" w:type="dxa"/>
            <w:shd w:val="clear" w:color="auto" w:fill="DDEB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Ajustada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Repositorio, ramas y CI listos; la publicación pasó a «Puesta en línea»; guías de instalación con los problemas frecuentes.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Comunicación efectiva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Prototipado y validación de interfaces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Herramienta de prototipado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S7–S8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Hanns Stack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Facilitador: los incrementos estuvieron listos antes de lo previsto.</w:t>
            </w:r>
          </w:p>
        </w:tc>
        <w:tc>
          <w:tcPr>
            <w:tcW w:w="1250" w:type="dxa"/>
            <w:shd w:val="clear" w:color="auto" w:fill="DDEB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Ajustada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 reemplazó por la revisión de cada incremento funcionando, con un guion de prueba manual.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Desarrollo de soluciones de software · Seguridad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Módulo de acceso y roles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Entorno de desarrollo, servicio de autenticación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S8–S9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José Salinas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Dificultad: se dio por terminado con seis requisitos pendientes, tres críticos; se cerraron el 15 de septiembre.</w:t>
            </w:r>
          </w:p>
        </w:tc>
        <w:tc>
          <w:tcPr>
            <w:tcW w:w="1250" w:type="dxa"/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Completado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 sumaron registro, recuperación de contraseña, pantalla de usuarios y bitácora; vistas por rol adelantadas para la revisión del 16 de septiembre.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Desarrollo de soluciones de software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Catálogos y gestión de clientes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Entorno de desarrollo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S9–S10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Los tres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Sirvió para fijar el estándar de código.</w:t>
            </w:r>
          </w:p>
        </w:tc>
        <w:tc>
          <w:tcPr>
            <w:tcW w:w="1250" w:type="dxa"/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Completado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Cobro por unidad (por par de extensiones) y catálogo real de 11 servicios.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Desarrollo de soluciones de software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Motor de agenda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Entorno de desarrollo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S10–S11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José Salinas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Componente de mayor riesgo técnico.</w:t>
            </w:r>
          </w:p>
        </w:tc>
        <w:tc>
          <w:tcPr>
            <w:tcW w:w="1250" w:type="dxa"/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Completado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Terminó antes de lo previsto; no fue necesario activar el punto de control.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Desarrollo de soluciones de software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Reserva en línea, atenciones y ventas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Entorno de desarrollo, ambiente de pruebas de Transbank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S11–S13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Alexander Arce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Dificultad: Mercado Pago pedía validación facial en cada ingreso.</w:t>
            </w:r>
          </w:p>
        </w:tc>
        <w:tc>
          <w:tcPr>
            <w:tcW w:w="1250" w:type="dxa"/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Completado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Página pública adelantada a pedido del docente; abono con Webpay Plus. Cobrar abonos reales se posterga hasta que la clienta se afilie a Transbank.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Diseño e implementación de bases de datos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Inventario y reporte diario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Entorno de desarrollo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S12–S14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Hanns Stack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Facilitador: stock calculado desde movimientos inmutables.</w:t>
            </w:r>
          </w:p>
        </w:tc>
        <w:tc>
          <w:tcPr>
            <w:tcW w:w="1250" w:type="dxa"/>
            <w:shd w:val="clear" w:color="auto" w:fill="D9EAD3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Completado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 agregaron los reportes por período y el precio y costo guardados en cada venta.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Gestión de proyectos informáticos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Pruebas y validación con la usuaria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Plan de pruebas, sistema desplegado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S12–S17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Hanns Stack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437 pruebas del backend; faltan las de interfaz y la validación, que dependen de publicar.</w:t>
            </w:r>
          </w:p>
        </w:tc>
        <w:tc>
          <w:tcPr>
            <w:tcW w:w="1250" w:type="dxa"/>
            <w:shd w:val="clear" w:color="auto" w:fill="FFF2CC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En curso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Pruebas de interfaz en las semanas 5 y 6 del plan de cierre; validación con acta entre las semanas 6 y 8.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Comunicación efectiva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Informe y presentación final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Procesador de texto, herramienta de presentación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S8–S18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Los tres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 redacta en paralelo al desarrollo.</w:t>
            </w:r>
          </w:p>
        </w:tc>
        <w:tc>
          <w:tcPr>
            <w:tcW w:w="1250" w:type="dxa"/>
            <w:shd w:val="clear" w:color="auto" w:fill="FFF2CC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En curso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Informe de avance y diagramas de casos de uso listos; manual de usuario en la semana 7 del plan de cierre.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Desarrollo de soluciones de software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 xml:space="preserve">Caja del día y comprobante en PDF </w:t>
            </w:r>
            <w:r>
              <w:rPr>
                <w:b/>
                <w:i/>
                <w:color w:val="262626"/>
                <w:sz w:val="17"/>
              </w:rPr>
              <w:t>(nueva)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Entorno de desarrollo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Semana 1 del plan de cierre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José Salinas y Alexander Arce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Las tablas ya existen en la base; falta la lógica y la pantalla.</w:t>
            </w:r>
          </w:p>
        </w:tc>
        <w:tc>
          <w:tcPr>
            <w:tcW w:w="1250" w:type="dxa"/>
            <w:shd w:val="clear" w:color="auto" w:fill="FFF2CC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En curso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Compromiso al 16 de octubre.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Diseño e implementación de bases de datos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 xml:space="preserve">Ficha técnica de la clienta </w:t>
            </w:r>
            <w:r>
              <w:rPr>
                <w:b/>
                <w:i/>
                <w:color w:val="262626"/>
                <w:sz w:val="17"/>
              </w:rPr>
              <w:t>(nueva)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Entorno de desarrollo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Semana 2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Hanns Stack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Depende de que la administradora defina qué anota de cada clienta.</w:t>
            </w:r>
          </w:p>
        </w:tc>
        <w:tc>
          <w:tcPr>
            <w:tcW w:w="1250" w:type="dxa"/>
            <w:shd w:val="clear" w:color="auto" w:fill="FFF2CC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En curso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Las tablas ya existen; la pantalla se hace en la semana 2.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Desarrollo de soluciones de software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 xml:space="preserve">Pendientes menores </w:t>
            </w:r>
            <w:r>
              <w:rPr>
                <w:b/>
                <w:i/>
                <w:color w:val="262626"/>
                <w:sz w:val="17"/>
              </w:rPr>
              <w:t>(nueva)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Entorno de desarrollo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Semana 3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Alexander Arce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Paginación de clientes, fotos de servicios y datos reales del salón.</w:t>
            </w:r>
          </w:p>
        </w:tc>
        <w:tc>
          <w:tcPr>
            <w:tcW w:w="1250" w:type="dxa"/>
            <w:shd w:val="clear" w:color="auto" w:fill="EDEDED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No iniciado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Cada uno visible en su pantalla y con sus pruebas.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Desarrollo de soluciones de software · Seguridad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 xml:space="preserve">Puesta en línea: servidor, frontend, dominio y correos reales </w:t>
            </w:r>
            <w:r>
              <w:rPr>
                <w:b/>
                <w:i/>
                <w:color w:val="262626"/>
                <w:sz w:val="17"/>
              </w:rPr>
              <w:t>(nueva)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Google Cloud Run, Vercel, dominio, servicio de correo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Semanas 4 y 5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José Salinas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Dificultad: Google Cloud pide tarjeta y el dominio tiene costo.</w:t>
            </w:r>
          </w:p>
        </w:tc>
        <w:tc>
          <w:tcPr>
            <w:tcW w:w="1250" w:type="dxa"/>
            <w:shd w:val="clear" w:color="auto" w:fill="EDEDED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No iniciado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 publica semanas antes de la presentación por costos; incluye el límite de reservas por IP y una lista de verificación de seguridad.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Gestión de proyectos informáticos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 xml:space="preserve">Tablero con los 123 requisitos </w:t>
            </w:r>
            <w:r>
              <w:rPr>
                <w:b/>
                <w:i/>
                <w:color w:val="262626"/>
                <w:sz w:val="17"/>
              </w:rPr>
              <w:t>(nueva)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GitHub Projects, script de carga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Semana 1 (al 18 de octubre)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Alexander Arce y Hanns Stack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Su ausencia dejó tres requisitos críticos invisibles durante dos sprints.</w:t>
            </w:r>
          </w:p>
        </w:tc>
        <w:tc>
          <w:tcPr>
            <w:tcW w:w="1250" w:type="dxa"/>
            <w:shd w:val="clear" w:color="auto" w:fill="FBE4D5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262626"/>
                <w:sz w:val="17"/>
              </w:rPr>
              <w:t>Con retraso</w:t>
            </w:r>
          </w:p>
        </w:tc>
        <w:tc>
          <w:tcPr>
            <w:tcW w:w="3460" w:type="dxa"/>
          </w:tcPr>
          <w:p>
            <w:pPr>
              <w:spacing w:before="0" w:after="0" w:line="240" w:lineRule="auto"/>
              <w:jc w:val="left"/>
            </w:pPr>
            <w:r>
              <w:rPr>
                <w:color w:val="262626"/>
                <w:sz w:val="17"/>
              </w:rPr>
              <w:t>Reemplaza a Jira; desde la carga se revisa en cada planificación.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  <w:sectPr w:rsidR="0003309E" w:rsidRPr="0003309E">
          <w:headerReference w:type="default" r:id="rId10"/>
          <w:pgSz w:w="16838" w:h="11906" w:orient="landscape"/>
          <w:pgMar w:top="1134" w:right="1134" w:bottom="1134" w:left="1134" w:header="708" w:footer="708" w:gutter="0"/>
          <w:cols w:space="708"/>
          <w:docGrid w:linePitch="360"/>
        </w:sect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>
            <w:pPr>
              <w:keepNext/>
              <w:spacing w:before="120" w:after="40" w:line="240" w:lineRule="auto"/>
              <w:jc w:val="both"/>
            </w:pPr>
            <w:r>
              <w:rPr>
                <w:b/>
                <w:color w:val="262626"/>
                <w:sz w:val="20"/>
              </w:rPr>
              <w:t>Facilitadores:</w:t>
            </w: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color w:val="262626"/>
                <w:sz w:val="20"/>
              </w:rPr>
              <w:t>Cada requisito tenía criterio de aceptación desde la fase 1, así que cada criterio se transformó en un caso de prueba.</w:t>
            </w: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color w:val="262626"/>
                <w:sz w:val="20"/>
              </w:rPr>
              <w:t>Las reglas críticas viven en la base de datos, por lo que el sistema pudo crecer sin romper el aislamiento ni permitir citas superpuestas.</w:t>
            </w: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color w:val="262626"/>
                <w:sz w:val="20"/>
              </w:rPr>
              <w:t>El trabajo por módulos completos y los sprints de una semana dejaron un incremento demostrable cada semana; el núcleo quedó prácticamente terminado antes de su fecha prevista, el 11 de octubre.</w:t>
            </w: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color w:val="262626"/>
                <w:sz w:val="20"/>
              </w:rPr>
              <w:t>El desarrollo asistido por IA aceleró la construcción, siempre con pruebas obligatorias y revisión de cada PR.</w:t>
            </w: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color w:val="262626"/>
                <w:sz w:val="20"/>
              </w:rPr>
              <w:t>Contar con una clienta real dio requisitos concretos, como el cobro por par de extensiones o las variantes por tono y largo.</w:t>
            </w: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color w:val="262626"/>
                <w:sz w:val="20"/>
              </w:rPr>
              <w:t>Los servicios en plan gratuito permitieron avanzar con un costo de $0 hasta ahora.</w:t>
            </w:r>
          </w:p>
          <w:p>
            <w:pPr>
              <w:keepNext/>
              <w:spacing w:before="40" w:after="40" w:line="240" w:lineRule="auto"/>
              <w:jc w:val="both"/>
            </w:pPr>
            <w:r>
              <w:rPr>
                <w:b/>
                <w:color w:val="262626"/>
                <w:sz w:val="20"/>
              </w:rPr>
              <w:t>Dificultades y acciones:</w:t>
            </w:r>
          </w:p>
          <w:tbl>
            <w:tblPr>
              <w:tblW w:w="9280" w:type="dxa"/>
              <w:tblBorders>
                <w:top w:val="single" w:sz="4" w:space="0" w:color="A5B8DA"/>
                <w:left w:val="single" w:sz="4" w:space="0" w:color="A5B8DA"/>
                <w:bottom w:val="single" w:sz="4" w:space="0" w:color="A5B8DA"/>
                <w:right w:val="single" w:sz="4" w:space="0" w:color="A5B8DA"/>
                <w:insideH w:val="single" w:sz="4" w:space="0" w:color="A5B8DA"/>
                <w:insideV w:val="single" w:sz="4" w:space="0" w:color="A5B8DA"/>
              </w:tblBorders>
              <w:tblLayout w:type="fixed"/>
              <w:tblCellMar>
                <w:top w:w="45" w:type="dxa"/>
                <w:left w:w="85" w:type="dxa"/>
                <w:bottom w:w="4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3700"/>
              <w:gridCol w:w="5580"/>
            </w:tblGrid>
            <w:tr>
              <w:trPr>
                <w:cantSplit/>
                <w:tblHeader/>
              </w:trPr>
              <w:tc>
                <w:tcPr>
                  <w:tcW w:w="3700" w:type="dxa"/>
                  <w:shd w:val="clear" w:color="auto" w:fill="D9E2F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color w:val="1F3864"/>
                      <w:sz w:val="17"/>
                    </w:rPr>
                    <w:t>Dificultad</w:t>
                  </w:r>
                </w:p>
              </w:tc>
              <w:tc>
                <w:tcPr>
                  <w:tcW w:w="5580" w:type="dxa"/>
                  <w:shd w:val="clear" w:color="auto" w:fill="D9E2F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color w:val="1F3864"/>
                      <w:sz w:val="17"/>
                    </w:rPr>
                    <w:t>Acción tomada o por tomar</w:t>
                  </w:r>
                </w:p>
              </w:tc>
            </w:tr>
            <w:tr>
              <w:trPr>
                <w:cantSplit/>
              </w:trPr>
              <w:tc>
                <w:tcPr>
                  <w:tcW w:w="37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Mercado Pago pedía validación facial en cada ingreso y no se podía probar.</w:t>
                  </w:r>
                </w:p>
              </w:tc>
              <w:tc>
                <w:tcPr>
                  <w:tcW w:w="55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Se cambió a Webpay Plus, con un Webpay simulado para las pruebas y el ambiente de integración de Transbank. La decisión quedó documentada.</w:t>
                  </w:r>
                </w:p>
              </w:tc>
            </w:tr>
            <w:tr>
              <w:trPr>
                <w:cantSplit/>
              </w:trPr>
              <w:tc>
                <w:tcPr>
                  <w:tcW w:w="37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GitHub Actions bloqueado por un cobro fallido en la cuenta.</w:t>
                  </w:r>
                </w:p>
              </w:tc>
              <w:tc>
                <w:tcPr>
                  <w:tcW w:w="55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Pruebas a mano contra una base nueva antes de cada PR, mientras se resuelve el cobro con GitHub.</w:t>
                  </w:r>
                </w:p>
              </w:tc>
            </w:tr>
            <w:tr>
              <w:trPr>
                <w:cantSplit/>
              </w:trPr>
              <w:tc>
                <w:tcPr>
                  <w:tcW w:w="37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Problemas para instalar el entorno en cada computador (conexión a la base, Python fuera del PATH, dependencias de npm).</w:t>
                  </w:r>
                </w:p>
              </w:tc>
              <w:tc>
                <w:tcPr>
                  <w:tcW w:w="55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Guías de instalación del primer y segundo día, con los problemas frecuentes y su solución.</w:t>
                  </w:r>
                </w:p>
              </w:tc>
            </w:tr>
            <w:tr>
              <w:trPr>
                <w:cantSplit/>
              </w:trPr>
              <w:tc>
                <w:tcPr>
                  <w:tcW w:w="37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Preguntas sin respuesta de la clienta.</w:t>
                  </w:r>
                </w:p>
              </w:tc>
              <w:tc>
                <w:tcPr>
                  <w:tcW w:w="55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Datos de ejemplo mientras tanto y una reunión para cerrarlas antes de la validación.</w:t>
                  </w:r>
                </w:p>
              </w:tc>
            </w:tr>
            <w:tr>
              <w:trPr>
                <w:cantSplit/>
              </w:trPr>
              <w:tc>
                <w:tcPr>
                  <w:tcW w:w="37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El tablero no se cargó y tres requisitos críticos estuvieron invisibles durante dos sprints.</w:t>
                  </w:r>
                </w:p>
              </w:tc>
              <w:tc>
                <w:tcPr>
                  <w:tcW w:w="55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Se cerraron el 15 de septiembre, y los 123 requisitos quedan como issues al 18 de octubre.</w:t>
                  </w:r>
                </w:p>
              </w:tc>
            </w:tr>
            <w:tr>
              <w:trPr>
                <w:cantSplit/>
              </w:trPr>
              <w:tc>
                <w:tcPr>
                  <w:tcW w:w="37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No hay nada publicado.</w:t>
                  </w:r>
                </w:p>
              </w:tc>
              <w:tc>
                <w:tcPr>
                  <w:tcW w:w="55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Puesta en línea en las semanas 4 y 5 del plan de cierre.</w:t>
                  </w:r>
                </w:p>
              </w:tc>
            </w:tr>
            <w:tr>
              <w:trPr>
                <w:cantSplit/>
              </w:trPr>
              <w:tc>
                <w:tcPr>
                  <w:tcW w:w="37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Carga académica de otras asignaturas.</w:t>
                  </w:r>
                </w:p>
              </w:tc>
              <w:tc>
                <w:tcPr>
                  <w:tcW w:w="55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Sprints cortos y el núcleo terminado con holgura antes del congelamiento.</w:t>
                  </w:r>
                </w:p>
              </w:tc>
            </w:tr>
          </w:tbl>
          <w:p>
            <w:pPr>
              <w:spacing w:before="0" w:after="0" w:line="240" w:lineRule="auto"/>
              <w:jc w:val="both"/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t xml:space="preserve"> </w:t>
            </w:r>
          </w:p>
          <w:p>
            <w:pPr>
              <w:spacing w:before="0" w:after="0" w:line="240" w:lineRule="auto"/>
              <w:jc w:val="both"/>
            </w:pP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b/>
                <w:color w:val="262626"/>
                <w:sz w:val="20"/>
              </w:rPr>
              <w:t>Tablero:</w:t>
            </w:r>
            <w:r>
              <w:rPr>
                <w:color w:val="262626"/>
                <w:sz w:val="20"/>
              </w:rPr>
              <w:t xml:space="preserve"> de Jira a GitHub Projects, por la trazabilidad automática entre requisito, PR y pruebas.</w:t>
            </w: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b/>
                <w:color w:val="262626"/>
                <w:sz w:val="20"/>
              </w:rPr>
              <w:t>Prototipado:</w:t>
            </w:r>
            <w:r>
              <w:rPr>
                <w:color w:val="262626"/>
                <w:sz w:val="20"/>
              </w:rPr>
              <w:t xml:space="preserve"> se reemplazó por la revisión de incrementos funcionando, porque los incrementos estuvieron listos antes y revisar pantallas reales sirvió más que un prototipo.</w:t>
            </w: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b/>
                <w:color w:val="262626"/>
                <w:sz w:val="20"/>
              </w:rPr>
              <w:t>Configuración del entorno:</w:t>
            </w:r>
            <w:r>
              <w:rPr>
                <w:color w:val="262626"/>
                <w:sz w:val="20"/>
              </w:rPr>
              <w:t xml:space="preserve"> se dividió; la publicación pasó a la actividad nueva «Puesta en línea».</w:t>
            </w: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b/>
                <w:color w:val="262626"/>
                <w:sz w:val="20"/>
              </w:rPr>
              <w:t>Pasarela de pago:</w:t>
            </w:r>
            <w:r>
              <w:rPr>
                <w:color w:val="262626"/>
                <w:sz w:val="20"/>
              </w:rPr>
              <w:t xml:space="preserve"> se eliminó la integración con Mercado Pago y se reemplazó por Webpay Plus.</w:t>
            </w: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b/>
                <w:color w:val="262626"/>
                <w:sz w:val="20"/>
              </w:rPr>
              <w:t>Extensiones agregadas:</w:t>
            </w:r>
            <w:r>
              <w:rPr>
                <w:color w:val="262626"/>
                <w:sz w:val="20"/>
              </w:rPr>
              <w:t xml:space="preserve"> comisiones, reportes por período y abono en línea. La caja con comprobante en PDF y la ficha técnica quedan comprometidas hasta el congelamiento del 18 de octubre.</w:t>
            </w:r>
          </w:p>
          <w:p>
            <w:pPr>
              <w:numPr>
                <w:ilvl w:val="0"/>
                <w:numId w:val="2"/>
              </w:numPr>
              <w:spacing w:before="0" w:after="60" w:line="240" w:lineRule="auto"/>
              <w:jc w:val="both"/>
            </w:pPr>
            <w:r>
              <w:rPr>
                <w:b/>
                <w:color w:val="262626"/>
                <w:sz w:val="20"/>
              </w:rPr>
              <w:t>Postergado fuera de la versión 1.0:</w:t>
            </w:r>
            <w:r>
              <w:rPr>
                <w:color w:val="262626"/>
                <w:sz w:val="20"/>
              </w:rPr>
              <w:t xml:space="preserve"> cobrar abonos reales, porque depende de que la clienta se afilie a Transbank. El flujo queda listo y probado en el ambiente de integración.</w:t>
            </w:r>
          </w:p>
          <w:p>
            <w:pPr>
              <w:spacing w:before="0" w:after="0" w:line="240" w:lineRule="auto"/>
              <w:jc w:val="both"/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>
            <w:pPr>
              <w:spacing w:before="0" w:after="0" w:line="240" w:lineRule="auto"/>
              <w:jc w:val="both"/>
            </w:pPr>
          </w:p>
          <w:tbl>
            <w:tblPr>
              <w:tblW w:w="9280" w:type="dxa"/>
              <w:tblBorders>
                <w:top w:val="single" w:sz="4" w:space="0" w:color="A5B8DA"/>
                <w:left w:val="single" w:sz="4" w:space="0" w:color="A5B8DA"/>
                <w:bottom w:val="single" w:sz="4" w:space="0" w:color="A5B8DA"/>
                <w:right w:val="single" w:sz="4" w:space="0" w:color="A5B8DA"/>
                <w:insideH w:val="single" w:sz="4" w:space="0" w:color="A5B8DA"/>
                <w:insideV w:val="single" w:sz="4" w:space="0" w:color="A5B8DA"/>
              </w:tblBorders>
              <w:tblLayout w:type="fixed"/>
              <w:tblCellMar>
                <w:top w:w="45" w:type="dxa"/>
                <w:left w:w="85" w:type="dxa"/>
                <w:bottom w:w="4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2900"/>
              <w:gridCol w:w="3780"/>
            </w:tblGrid>
            <w:tr>
              <w:trPr>
                <w:cantSplit/>
                <w:tblHeader/>
              </w:trPr>
              <w:tc>
                <w:tcPr>
                  <w:tcW w:w="2600" w:type="dxa"/>
                  <w:shd w:val="clear" w:color="auto" w:fill="D9E2F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color w:val="1F3864"/>
                      <w:sz w:val="17"/>
                    </w:rPr>
                    <w:t>Actividad</w:t>
                  </w:r>
                </w:p>
              </w:tc>
              <w:tc>
                <w:tcPr>
                  <w:tcW w:w="2900" w:type="dxa"/>
                  <w:shd w:val="clear" w:color="auto" w:fill="D9E2F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color w:val="1F3864"/>
                      <w:sz w:val="17"/>
                    </w:rPr>
                    <w:t>Motivo</w:t>
                  </w:r>
                </w:p>
              </w:tc>
              <w:tc>
                <w:tcPr>
                  <w:tcW w:w="3780" w:type="dxa"/>
                  <w:shd w:val="clear" w:color="auto" w:fill="D9E2F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b/>
                      <w:color w:val="1F3864"/>
                      <w:sz w:val="17"/>
                    </w:rPr>
                    <w:t>Estrategia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Tablero con los 123 requisitos (con retraso)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Se priorizó construir y la carga quedó pendiente.</w:t>
                  </w:r>
                </w:p>
              </w:tc>
              <w:tc>
                <w:tcPr>
                  <w:tcW w:w="37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Carga con script antes del 18 de octubre; desde ahí se revisa en cada planificación.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Puesta en línea (no iniciada)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Costos y dependencia de servicios externos.</w:t>
                  </w:r>
                </w:p>
              </w:tc>
              <w:tc>
                <w:tcPr>
                  <w:tcW w:w="37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Semana 4: backend en Cloud Run, frontend en Vercel y límite de reservas por IP. El dominio y los correos reales, cerca de la presentación.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Pruebas de interfaz (no iniciadas)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El frontend todavía no tiene pruebas automatizadas.</w:t>
                  </w:r>
                </w:p>
              </w:tc>
              <w:tc>
                <w:tcPr>
                  <w:tcW w:w="37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Semanas 5 y 6: automatizar los flujos críticos (reservar, pagar el abono, atender y cobrar, cerrar la caja).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Validación con la usuaria (no iniciada)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Requiere el sistema publicado.</w:t>
                  </w:r>
                </w:p>
              </w:tc>
              <w:tc>
                <w:tcPr>
                  <w:tcW w:w="37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Semanas 6 a 8: guía de tareas para la administradora y acta firmada.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Manual de usuario (no iniciado)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Se escribe sobre la versión final.</w:t>
                  </w:r>
                </w:p>
              </w:tc>
              <w:tc>
                <w:tcPr>
                  <w:tcW w:w="3780" w:type="dxa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color w:val="262626"/>
                      <w:sz w:val="17"/>
                    </w:rPr>
                    <w:t>Semana 7 del plan de cierre.</w:t>
                  </w:r>
                </w:p>
              </w:tc>
            </w:tr>
          </w:tbl>
          <w:p>
            <w:pPr>
              <w:spacing w:before="0" w:after="0" w:line="240" w:lineRule="auto"/>
              <w:jc w:val="both"/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340" w:hanging="227"/>
      </w:pPr>
      <w:rPr>
        <w:rFonts w:ascii="Arial" w:hAnsi="Arial" w:cs="Arial" w:hint="default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40" w:hanging="284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