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240" w:lineRule="auto" w:before="120"/>
        <w:jc w:val="left"/>
        <w:rPr>
          <w:b/>
          <w:bCs/>
          <w:sz w:val="24"/>
          <w:szCs w:val="24"/>
        </w:rPr>
      </w:pPr>
      <w:r>
        <w:rPr>
          <w:b/>
          <w:color w:val="1F3864"/>
          <w:sz w:val="21"/>
        </w:rPr>
        <w:t>Estudiante:</w:t>
      </w:r>
      <w:r>
        <w:rPr>
          <w:color w:val="1F3864"/>
          <w:sz w:val="21"/>
        </w:rPr>
        <w:t xml:space="preserve"> Hanns Christian Stack Escobedo · </w:t>
      </w:r>
      <w:r>
        <w:rPr>
          <w:b/>
          <w:color w:val="1F3864"/>
          <w:sz w:val="21"/>
        </w:rPr>
        <w:t>Proyecto:</w:t>
      </w:r>
      <w:r>
        <w:rPr>
          <w:color w:val="1F3864"/>
          <w:sz w:val="21"/>
        </w:rPr>
        <w:t xml:space="preserve"> SalonTech · Sección 010V · Octubre de 2026</w:t>
      </w: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60" w:after="120" w:line="240" w:lineRule="auto"/>
              <w:jc w:val="both"/>
            </w:pPr>
            <w:r>
              <w:rPr>
                <w:color w:val="262626"/>
                <w:sz w:val="22"/>
              </w:rPr>
              <w:t>No todas, y la diferencia es clara: en desarrollo vamos adelantados y en calidad vamos atrasados. El inventario y el reporte diario, que la carta Gantt ubicaba entre las semanas 12 y 14, quedaron funcionando a fines de septiembre y, como sobró tiempo, se ampliaron con reportes de cualquier período. Lo que no avanzó al mismo ritmo es justamente lo que depende de mi rol: el tablero con los requisitos no se mantuvo al día, la interfaz todavía no tiene pruebas automatizadas y la validación con la clienta no se puede hacer mientras el sistema no esté publicado.</w:t>
            </w:r>
          </w:p>
          <w:p>
            <w:pPr>
              <w:spacing w:before="0" w:after="120" w:line="240" w:lineRule="auto"/>
              <w:jc w:val="both"/>
            </w:pPr>
            <w:r>
              <w:rPr>
                <w:color w:val="262626"/>
                <w:sz w:val="22"/>
              </w:rPr>
              <w:t>Lo que más facilitó el trabajo fue una decisión de diseño: el stock no es un número que alguien edita, sino el resultado de movimientos que no se pueden modificar ni borrar. Gracias a eso, el reporte cuadró con los pagos desde la primera versión. También ayudó que cada requisito tuviera criterio de aceptación desde la fase 1, porque cada criterio se convirtió casi directamente en un caso de prueba.</w:t>
            </w:r>
          </w:p>
          <w:p>
            <w:pPr>
              <w:spacing w:before="0" w:after="120" w:line="240" w:lineRule="auto"/>
              <w:jc w:val="both"/>
            </w:pPr>
            <w:r>
              <w:rPr>
                <w:color w:val="262626"/>
                <w:sz w:val="22"/>
              </w:rPr>
              <w:t>Lo que dificultó: no hay nada publicado y todo corre en nuestros computadores; la integración continua de GitHub quedó bloqueada por un cobro fallido en la cuenta, así que las pruebas se corren a mano antes de cada PR, y la carga de las otras asignaturas se nota en las semanas de evaluaciones.</w:t>
            </w:r>
          </w:p>
          <w:p>
            <w:pPr>
              <w:spacing w:before="0" w:after="0" w:line="240" w:lineRule="auto"/>
              <w:jc w:val="both"/>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0" w:after="0" w:line="120" w:lineRule="exact"/>
              <w:jc w:val="both"/>
            </w:pPr>
          </w:p>
          <w:p>
            <w:pPr>
              <w:numPr>
                <w:ilvl w:val="0"/>
                <w:numId w:val="41"/>
              </w:numPr>
              <w:spacing w:before="0" w:after="60" w:line="240" w:lineRule="auto"/>
              <w:jc w:val="both"/>
            </w:pPr>
            <w:r>
              <w:rPr>
                <w:b/>
                <w:color w:val="262626"/>
                <w:sz w:val="22"/>
              </w:rPr>
              <w:t>Tablero:</w:t>
            </w:r>
            <w:r>
              <w:rPr>
                <w:color w:val="262626"/>
                <w:sz w:val="22"/>
              </w:rPr>
              <w:t xml:space="preserve"> con Alexander nos comprometimos a cargar los 123 requisitos como issues en GitHub Projects antes del 18 de octubre, para que cada funcionalidad se pueda seguir desde el requisito hasta su PR y sus pruebas. Ese mismo día se congela el alcance, y me corresponde cuidar que después no entre nada nuevo.</w:t>
            </w:r>
          </w:p>
          <w:p>
            <w:pPr>
              <w:numPr>
                <w:ilvl w:val="0"/>
                <w:numId w:val="41"/>
              </w:numPr>
              <w:spacing w:before="0" w:after="60" w:line="240" w:lineRule="auto"/>
              <w:jc w:val="both"/>
            </w:pPr>
            <w:r>
              <w:rPr>
                <w:b/>
                <w:color w:val="262626"/>
                <w:sz w:val="22"/>
              </w:rPr>
              <w:t>Pruebas sin integración continua:</w:t>
            </w:r>
            <w:r>
              <w:rPr>
                <w:color w:val="262626"/>
                <w:sz w:val="22"/>
              </w:rPr>
              <w:t xml:space="preserve"> mientras siga bloqueada, ningún PR se integra sin correr la suite completa contra una base nueva y sin su guion de prueba manual.</w:t>
            </w:r>
          </w:p>
          <w:p>
            <w:pPr>
              <w:numPr>
                <w:ilvl w:val="0"/>
                <w:numId w:val="41"/>
              </w:numPr>
              <w:spacing w:before="0" w:after="60" w:line="240" w:lineRule="auto"/>
              <w:jc w:val="both"/>
            </w:pPr>
            <w:r>
              <w:rPr>
                <w:b/>
                <w:color w:val="262626"/>
                <w:sz w:val="22"/>
              </w:rPr>
              <w:t>Pruebas de interfaz:</w:t>
            </w:r>
            <w:r>
              <w:rPr>
                <w:color w:val="262626"/>
                <w:sz w:val="22"/>
              </w:rPr>
              <w:t xml:space="preserve"> en las semanas 5 y 6 del plan de cierre voy a automatizar los flujos críticos: reservar, pagar el abono, atender y cobrar, y cerrar la caja.</w:t>
            </w:r>
          </w:p>
          <w:p>
            <w:pPr>
              <w:numPr>
                <w:ilvl w:val="0"/>
                <w:numId w:val="41"/>
              </w:numPr>
              <w:spacing w:before="0" w:after="60" w:line="240" w:lineRule="auto"/>
              <w:jc w:val="both"/>
            </w:pPr>
            <w:r>
              <w:rPr>
                <w:b/>
                <w:color w:val="262626"/>
                <w:sz w:val="22"/>
              </w:rPr>
              <w:t>Validación:</w:t>
            </w:r>
            <w:r>
              <w:rPr>
                <w:color w:val="262626"/>
                <w:sz w:val="22"/>
              </w:rPr>
              <w:t xml:space="preserve"> voy a preparar una guía con tareas concretas para que la administradora las haga en la versión publicada, y dejar un acta firmada con los resultados y lo que haya que corregir.</w:t>
            </w:r>
          </w:p>
          <w:p>
            <w:pPr>
              <w:spacing w:before="0" w:after="0" w:line="240" w:lineRule="auto"/>
              <w:jc w:val="both"/>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60" w:after="120" w:line="240" w:lineRule="auto"/>
              <w:jc w:val="both"/>
            </w:pPr>
            <w:r>
              <w:rPr>
                <w:color w:val="262626"/>
                <w:sz w:val="22"/>
              </w:rPr>
              <w:t>En lo técnico, lo evalúo bien. Destaco que el reporte diario cuadra con los pagos registrados y separa servicios de productos, que era justamente lo que la administradora no podía saber con sus cuadernos. Además, cada venta guarda el precio y el costo del momento, así que el reporte de un mes pasado no cambia si después sube un precio.</w:t>
            </w:r>
          </w:p>
          <w:p>
            <w:pPr>
              <w:spacing w:before="0" w:after="120" w:line="240" w:lineRule="auto"/>
              <w:jc w:val="both"/>
            </w:pPr>
            <w:r>
              <w:rPr>
                <w:color w:val="262626"/>
                <w:sz w:val="22"/>
              </w:rPr>
              <w:t>En coordinación, lo evalúo como regular. El tablero no se mantuvo al día y los impedimentos quedaron en el chat del grupo en vez de registrarse. La consecuencia fue concreta: el módulo de acceso se dio por terminado en el Sprint 3 con seis requisitos pendientes, tres de ellos críticos, que estuvieron invisibles durante dos sprints hasta que los cerramos el 15 de septiembre. Para mejorar, voy a llevar el tablero semana a semana, registrar cada impedimento con fecha y responsable, y probar el reporte con la administradora apenas esté publicado. En la fase 1 me propuse mejorar cómo presento los resultados, y eso todavía no lo he podido comprobar con quien los va a leer.</w:t>
            </w:r>
          </w:p>
          <w:p>
            <w:pPr>
              <w:spacing w:before="0" w:after="0" w:line="240" w:lineRule="auto"/>
              <w:jc w:val="both"/>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keepNext/>
              <w:spacing w:before="160" w:after="40" w:line="240" w:lineRule="auto"/>
              <w:jc w:val="both"/>
            </w:pPr>
            <w:r>
              <w:rPr>
                <w:b/>
                <w:color w:val="262626"/>
                <w:sz w:val="22"/>
              </w:rPr>
              <w:t>Al docente:</w:t>
            </w:r>
          </w:p>
          <w:p>
            <w:pPr>
              <w:numPr>
                <w:ilvl w:val="0"/>
                <w:numId w:val="41"/>
              </w:numPr>
              <w:spacing w:before="0" w:after="60" w:line="240" w:lineRule="auto"/>
              <w:jc w:val="both"/>
            </w:pPr>
            <w:r>
              <w:rPr>
                <w:color w:val="262626"/>
                <w:sz w:val="22"/>
              </w:rPr>
              <w:t>¿Cómo espera que presentemos el plan de pruebas en el informe final: como documento aparte o como anexo con los resultados?</w:t>
            </w:r>
          </w:p>
          <w:p>
            <w:pPr>
              <w:numPr>
                <w:ilvl w:val="0"/>
                <w:numId w:val="41"/>
              </w:numPr>
              <w:spacing w:before="0" w:after="60" w:line="240" w:lineRule="auto"/>
              <w:jc w:val="both"/>
            </w:pPr>
            <w:r>
              <w:rPr>
                <w:color w:val="262626"/>
                <w:sz w:val="22"/>
              </w:rPr>
              <w:t>Para la validación con la usuaria, ¿basta con un acta firmada o espera indicadores medibles, como el tiempo que tarda en registrar una atención o la cantidad de errores por tarea?</w:t>
            </w:r>
          </w:p>
          <w:p>
            <w:pPr>
              <w:keepNext/>
              <w:spacing w:before="0" w:after="40" w:line="240" w:lineRule="auto"/>
              <w:jc w:val="both"/>
            </w:pPr>
            <w:r>
              <w:rPr>
                <w:b/>
                <w:color w:val="262626"/>
                <w:sz w:val="22"/>
              </w:rPr>
              <w:t>A mis compañeros:</w:t>
            </w:r>
          </w:p>
          <w:p>
            <w:pPr>
              <w:numPr>
                <w:ilvl w:val="0"/>
                <w:numId w:val="41"/>
              </w:numPr>
              <w:spacing w:before="0" w:after="60" w:line="240" w:lineRule="auto"/>
              <w:jc w:val="both"/>
            </w:pPr>
            <w:r>
              <w:rPr>
                <w:color w:val="262626"/>
                <w:sz w:val="22"/>
              </w:rPr>
              <w:t>¿Qué casos de uso consideran más riesgosos? Yo pondría primero el pago del abono y el cierre de caja, porque ahí hay dinero de por medio, y con esa respuesta ordenaría las pruebas de interfaz.</w:t>
            </w:r>
          </w:p>
          <w:p>
            <w:pPr>
              <w:spacing w:before="0" w:after="0" w:line="240" w:lineRule="auto"/>
              <w:jc w:val="both"/>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60" w:after="120" w:line="240" w:lineRule="auto"/>
              <w:jc w:val="both"/>
            </w:pPr>
            <w:r>
              <w:rPr>
                <w:color w:val="262626"/>
                <w:sz w:val="22"/>
              </w:rPr>
              <w:t>Sí, con ajustes. Como mi módulo terminó antes, puedo concentrarme en lo que es propio de mi rol y quedó atrás: las pruebas de interfaz y la validación con la clienta. Además, tengo la ficha técnica en la semana 2 del plan de cierre. Propongo una actividad nueva a mi cargo: un informe de pruebas que reúna los resultados automatizados, los guiones manuales de cada sprint y lo que salga de la validación, para presentarlo como evidencia final. Lo demás se mantiene como quedó en la ficha 04: José, con la puesta en línea, y Alexander, con los pendientes menores.</w:t>
            </w:r>
          </w:p>
          <w:p>
            <w:pPr>
              <w:spacing w:before="0" w:after="0" w:line="240" w:lineRule="auto"/>
              <w:jc w:val="both"/>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60" w:after="120" w:line="240" w:lineRule="auto"/>
              <w:jc w:val="both"/>
            </w:pPr>
            <w:r>
              <w:rPr>
                <w:color w:val="262626"/>
                <w:sz w:val="22"/>
              </w:rPr>
              <w:t>Lo positivo es que los perfiles se complementan: José aporta la base de datos y la seguridad, Alexander la relación con la clienta y con el docente, y yo los datos y la calidad. Cuando hubo que tomar decisiones grandes, como cambiar Mercado Pago por Webpay, se tomaron rápido y quedaron documentadas con sus razones.</w:t>
            </w:r>
          </w:p>
          <w:p>
            <w:pPr>
              <w:spacing w:before="0" w:after="120" w:line="240" w:lineRule="auto"/>
              <w:jc w:val="both"/>
            </w:pPr>
            <w:r>
              <w:rPr>
                <w:color w:val="262626"/>
                <w:sz w:val="22"/>
              </w:rPr>
              <w:t>Lo que podemos mejorar es registrar los impedimentos en el tablero y no solo en el chat, y repartir mejor la integración, que hoy pasa casi toda por un mismo computador. Si ese equipo falla o esa persona no está disponible, el proyecto se detiene, y es un riesgo que tenemos que bajar antes de la entrega final.</w:t>
            </w:r>
          </w:p>
          <w:p>
            <w:pPr>
              <w:spacing w:before="0" w:after="0" w:line="240" w:lineRule="auto"/>
              <w:jc w:val="both"/>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abstractNum w:abstractNumId="40">
    <w:multiLevelType w:val="singleLevel"/>
    <w:lvl w:ilvl="0">
      <w:start w:val="1"/>
      <w:numFmt w:val="bullet"/>
      <w:lvlText w:val="•"/>
      <w:lvlJc w:val="left"/>
      <w:pPr>
        <w:ind w:left="340" w:hanging="227"/>
      </w:pPr>
      <w:rPr>
        <w:rFonts w:ascii="Arial" w:hAnsi="Arial" w:cs="Arial" w:hint="default"/>
      </w:rPr>
    </w:lvl>
  </w:abstractNum>
  <w:abstractNum w:abstractNumId="41">
    <w:multiLevelType w:val="singleLevel"/>
    <w:lvl w:ilvl="0">
      <w:start w:val="1"/>
      <w:numFmt w:val="decimal"/>
      <w:lvlText w:val="%1."/>
      <w:lvlJc w:val="left"/>
      <w:pPr>
        <w:ind w:left="340" w:hanging="284"/>
      </w:p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 w:numId="41">
    <w:abstractNumId w:val="4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