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Aufschubvermerk Vorstand - Projekt NeuroValve</w:t>
      </w:r>
    </w:p>
    <w:p>
      <w:r>
        <w:t>Der Vorstand nimmt an, dass berechtigte Interessen an einem Aufschub bestehen, solange Finanzierung und SPA nicht final sind. Kritisch ist seit dem Newsletter die Frage, ob die Vertraulichkeit noch gewährleistet ist.</w:t>
      </w:r>
    </w:p>
    <w:p>
      <w:r>
        <w:t>Legal empfiehlt ein Update um 10:30 Uhr mit IR, CFO, Deal Counsel und Bank. Die Insiderliste ist vor dem Call zu aktualisieren.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