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"п.20 Организовать информационные уголки по теме здорового питания в образовательных организациях дошкольного и общего образования"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20.08.2017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18.08.2017 13:50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start="-360" w:firstLine="927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 ответ на контрольное поручение сообщаем следующее.</w:t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Для информационных уголков по теме здорового питания в образовательных организаций дошкольного и общего образования изданы буклеты, памятки по темам: «Уголок питания школьника», «Здоровое питание — основа процветания», «Умная тарелка», «Фаст-фуд. Вред или польза?», «Пищевая пирамида», «Правильное питание детей с избыточным весом», «Витамины», «Правильное питание ребенка», «Принципы здорового питания», «Питание детей первого года», «Энергетические напитки».</w:t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Данные материалы направлены Министерством здравоохранения, семьи и социального благополучия Ульяновской области в муниципальные образования для размещения на информационных уголках по теме здорового питания в муниципальных образовательных организаций дошкольного и общего образования.</w:t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Прошу снять с контроля.</w:t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Приложение: на 24 л. в 1 экз.</w:t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keepNext w:val="true"/>
        <w:autoSpaceDE w:val="false"/>
        <w:spacing w:lineRule="atLeast" w:line="240"/>
        <w:ind w:start="-360" w:firstLine="92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star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Заместитель Министра здравоохранения, </w:t>
      </w:r>
    </w:p>
    <w:p>
      <w:pPr>
        <w:pStyle w:val="Normal"/>
        <w:autoSpaceDE w:val="false"/>
        <w:ind w:star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семьи и социального благополучия </w:t>
      </w:r>
    </w:p>
    <w:p>
      <w:pPr>
        <w:pStyle w:val="Normal"/>
        <w:autoSpaceDE w:val="false"/>
        <w:ind w:start="-284" w:hanging="0"/>
        <w:rPr/>
      </w:pPr>
      <w:r>
        <w:rPr>
          <w:sz w:val="28"/>
          <w:szCs w:val="28"/>
          <w:lang w:val="en-US" w:eastAsia="en-US"/>
        </w:rPr>
        <w:t xml:space="preserve">Ульяновской области                                                       </w:t>
        <w:tab/>
        <w:t xml:space="preserve">                   А.А. Баранов</w:t>
      </w:r>
    </w:p>
    <w:p>
      <w:pPr>
        <w:pStyle w:val="Normal"/>
        <w:autoSpaceDE w:val="false"/>
        <w:ind w:start="-284" w:firstLine="1004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>Гурьева Наталья Сергеевна,</w:t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>Ворончихина Ольга Геннадьевна, 58-80-55</w:t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>Валиева Ирина Викторовна, (84254) 61-9-11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2017-08-21T08:25:00Z</dcterms:created>
  <dc:creator>Moris</dc:creator>
  <dc:description/>
  <cp:keywords/>
  <dc:language>en-US</dc:language>
  <cp:lastModifiedBy>ОГКУСО</cp:lastModifiedBy>
  <cp:lastPrinted>2017-08-21T09:31:00Z</cp:lastPrinted>
  <dcterms:modified xsi:type="dcterms:W3CDTF">2017-08-21T08:32:00Z</dcterms:modified>
  <cp:revision>4</cp:revision>
  <dc:subject/>
  <dc:title>Перечень док-тов, находящихся на исполнении</dc:title>
</cp:coreProperties>
</file>