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>
      <w:pPr>
        <w:pStyle w:val="Normal"/>
        <w:autoSpaceDE w:val="false"/>
        <w:spacing w:lineRule="atLeast" w:line="240"/>
        <w:ind w:start="1339" w:hanging="0"/>
        <w:rPr/>
      </w:pPr>
      <w:r>
        <w:rPr/>
        <w:t> </w:t>
      </w:r>
    </w:p>
    <w:tbl>
      <w:tblPr>
        <w:tblW w:w="5150" w:type="pct"/>
        <w:jc w:val="start"/>
        <w:tblInd w:w="-36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9635"/>
      </w:tblGrid>
      <w:tr>
        <w:trPr/>
        <w:tc>
          <w:tcPr>
            <w:tcW w:w="9635" w:type="dxa"/>
            <w:tcBorders/>
            <w:shd w:fill="C0C0C0" w:val="clear"/>
          </w:tcPr>
          <w:p>
            <w:pPr>
              <w:pStyle w:val="Normal"/>
              <w:autoSpaceDE w:val="false"/>
              <w:ind w:start="-40" w:firstLine="40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autoSpaceDE w:val="false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tbl>
      <w:tblPr>
        <w:tblW w:w="5150" w:type="pct"/>
        <w:jc w:val="start"/>
        <w:tblInd w:w="-348" w:type="dxa"/>
        <w:tblBorders>
          <w:top w:val="single" w:sz="8" w:space="0" w:color="C0C0C0"/>
          <w:bottom w:val="single" w:sz="8" w:space="0" w:color="C0C0C0"/>
          <w:insideH w:val="single" w:sz="8" w:space="0" w:color="C0C0C0"/>
        </w:tblBorders>
        <w:tblCellMar>
          <w:top w:w="28" w:type="dxa"/>
          <w:start w:w="28" w:type="dxa"/>
          <w:bottom w:w="28" w:type="dxa"/>
          <w:end w:w="28" w:type="dxa"/>
        </w:tblCellMar>
      </w:tblPr>
      <w:tblGrid>
        <w:gridCol w:w="1233"/>
        <w:gridCol w:w="357"/>
        <w:gridCol w:w="503"/>
        <w:gridCol w:w="7542"/>
      </w:tblGrid>
      <w:tr>
        <w:trPr/>
        <w:tc>
          <w:tcPr>
            <w:tcW w:w="1590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045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>
              <w:rPr>
                <w:sz w:val="22"/>
                <w:szCs w:val="22"/>
              </w:rPr>
              <w:t>09.03.2017  № 15-П/П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 Статус:</w:t>
            </w:r>
            <w:r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Увеличение ожидаемой продолжительности жизни в Ульяновской области</w:t>
            </w:r>
          </w:p>
        </w:tc>
      </w:tr>
      <w:tr>
        <w:trPr/>
        <w:tc>
          <w:tcPr>
            <w:tcW w:w="1233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02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"п.36 Организовать выездную деятельность в муниципальные образования Майнский район, Барышский район, Николаевский район, Карсунский район, Засвияжский район г. Ульяновска, Цильнинский район в рамках проведения областного агитпоезда «За здоровый образ жизни и здоровую, счастливую семью»: </w:t>
              <w:br/>
              <w:t xml:space="preserve">- работу «Школы ухода и психологической поддержки инкурабельных пациентов», </w:t>
              <w:br/>
              <w:t xml:space="preserve">- выездную поликлинику ГУЗ «УОКГВВ», </w:t>
              <w:br/>
              <w:t>- профилактическую работу с населением старше трудоспособного возраста по вопросам гериатрической и паллиативной медицинской помощи, здорового питания, активного долголетия." /Морозов С.И./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>
              <w:rPr>
                <w:sz w:val="22"/>
                <w:szCs w:val="22"/>
              </w:rPr>
              <w:t>Баранов А.А., Заместитель министра здравоохранения‚семьи и социального благополучия Ульяновской области, Министр здравоохранения‚семьи и социального благополучия Ульяновской области Абдуллов Р.А.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31.12.2017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>
              <w:rPr/>
              <w:t xml:space="preserve">09.11.2017 17:44 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получения:                                        </w:t>
            </w:r>
            <w:r>
              <w:rPr/>
              <w:t xml:space="preserve">    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635" w:type="dxa"/>
            <w:gridSpan w:val="4"/>
            <w:tcBorders/>
            <w:shd w:fill="C0C0C0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>
      <w:pPr>
        <w:pStyle w:val="Normal"/>
        <w:keepNext w:val="true"/>
        <w:autoSpaceDE w:val="false"/>
        <w:spacing w:lineRule="atLeast" w:line="240"/>
        <w:ind w:start="-36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start="-284" w:firstLine="709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Во исполнении поручения сообщаем.</w:t>
      </w:r>
    </w:p>
    <w:p>
      <w:pPr>
        <w:pStyle w:val="Normal"/>
        <w:ind w:start="-284" w:firstLine="709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Организована выездная деятельность в муниципальные образования Ульяновской области в рамках проведения областного агитпоезда «За здоровый образ жизни и здоровую, счастливую семью» ( Майнский район, Барышский район, Николаевский район, Карсунский  район, Засвияжский р-н г.Ульяновска, Цильнинский район):</w:t>
      </w:r>
    </w:p>
    <w:p>
      <w:pPr>
        <w:pStyle w:val="Normal"/>
        <w:ind w:start="-284" w:firstLine="709"/>
        <w:jc w:val="both"/>
        <w:rPr/>
      </w:pPr>
      <w:r>
        <w:rPr>
          <w:rFonts w:cs="Calibri"/>
          <w:sz w:val="28"/>
          <w:szCs w:val="28"/>
        </w:rPr>
        <w:t>-</w:t>
      </w:r>
      <w:r>
        <w:rPr>
          <w:rFonts w:cs="Calibri"/>
          <w:b/>
          <w:sz w:val="28"/>
          <w:szCs w:val="28"/>
        </w:rPr>
        <w:t xml:space="preserve"> работа «Школы обезболивания»</w:t>
      </w:r>
      <w:r>
        <w:rPr>
          <w:rFonts w:cs="Calibri"/>
          <w:sz w:val="28"/>
          <w:szCs w:val="28"/>
        </w:rPr>
        <w:t xml:space="preserve"> ГУЗ «Ульяновский областной хоспис» в муниципальных образованиях о принципах оказания паллиативной помощи с медицинскими и социальными работниками.</w:t>
      </w:r>
    </w:p>
    <w:p>
      <w:pPr>
        <w:pStyle w:val="Normal"/>
        <w:ind w:start="-284" w:firstLine="709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Проведено 5 занятий «Школы обезболивания», охват- 171 человек:</w:t>
      </w:r>
    </w:p>
    <w:p>
      <w:pPr>
        <w:pStyle w:val="Normal"/>
        <w:ind w:start="-284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>- Майнский район- 21 слушатель;</w:t>
      </w:r>
    </w:p>
    <w:p>
      <w:pPr>
        <w:pStyle w:val="Normal"/>
        <w:ind w:start="-284" w:firstLine="709"/>
        <w:jc w:val="both"/>
        <w:rPr/>
      </w:pPr>
      <w:r>
        <w:rPr>
          <w:rFonts w:cs="Times New Roman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>- Карсунский район- 48 слушателей;</w:t>
      </w:r>
    </w:p>
    <w:p>
      <w:pPr>
        <w:pStyle w:val="Normal"/>
        <w:ind w:start="-284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>- Барышский район- 27 слушателей;</w:t>
      </w:r>
    </w:p>
    <w:p>
      <w:pPr>
        <w:pStyle w:val="Normal"/>
        <w:ind w:start="-284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 xml:space="preserve">- Цильнинский район- 43 слушателя; </w:t>
      </w:r>
    </w:p>
    <w:p>
      <w:pPr>
        <w:pStyle w:val="Normal"/>
        <w:ind w:start="-284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>- Вешкаймский район- 32 слушателя.</w:t>
      </w:r>
    </w:p>
    <w:p>
      <w:pPr>
        <w:pStyle w:val="Normal"/>
        <w:ind w:start="-284" w:firstLine="709"/>
        <w:jc w:val="both"/>
        <w:rPr/>
      </w:pPr>
      <w:r>
        <w:rPr>
          <w:rFonts w:cs="Calibri"/>
          <w:sz w:val="28"/>
          <w:szCs w:val="28"/>
        </w:rPr>
        <w:t xml:space="preserve">- </w:t>
      </w:r>
      <w:r>
        <w:rPr>
          <w:rFonts w:cs="Calibri"/>
          <w:b/>
          <w:sz w:val="28"/>
          <w:szCs w:val="28"/>
        </w:rPr>
        <w:t>работа выездной поликлиники</w:t>
      </w:r>
      <w:r>
        <w:rPr>
          <w:rFonts w:cs="Calibri"/>
          <w:sz w:val="28"/>
          <w:szCs w:val="28"/>
        </w:rPr>
        <w:t xml:space="preserve"> ГУЗ «Ульяновский областной клинический госпиталь ветеранов войн»</w:t>
      </w:r>
    </w:p>
    <w:p>
      <w:pPr>
        <w:pStyle w:val="Normal"/>
        <w:ind w:start="-284" w:firstLine="709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Выполнено 5 выездов бригады врачей ГУЗ «УОКГВВ» в медицинские организации муниципальных образований, осмотрено 184  человека:</w:t>
      </w:r>
    </w:p>
    <w:p>
      <w:pPr>
        <w:pStyle w:val="Normal"/>
        <w:ind w:start="-284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>- городская больница р.п.Игнатовка ГУЗ «Майнская РБ», принято 64 пациента;</w:t>
      </w:r>
    </w:p>
    <w:p>
      <w:pPr>
        <w:pStyle w:val="Normal"/>
        <w:ind w:start="-284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>- Барановская участковая больница ГУЗ «Николаевская РБ», принято 32 пациента;</w:t>
      </w:r>
    </w:p>
    <w:p>
      <w:pPr>
        <w:pStyle w:val="Normal"/>
        <w:ind w:start="-284" w:firstLine="709"/>
        <w:jc w:val="both"/>
        <w:rPr/>
      </w:pPr>
      <w:r>
        <w:rPr>
          <w:rFonts w:cs="Times New Roman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>- фельдшерско-акушерский пункт с. Языково ГУЗ «Карсунская  РБ»- принято 15 пациентов;</w:t>
      </w:r>
    </w:p>
    <w:p>
      <w:pPr>
        <w:pStyle w:val="Normal"/>
        <w:ind w:start="-284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>- офис врача общей практики с.Ермоловка ГУЗ «Вешкаймская РБ»- принят 41 пациент;</w:t>
      </w:r>
    </w:p>
    <w:p>
      <w:pPr>
        <w:pStyle w:val="Normal"/>
        <w:ind w:start="-284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>- Цильнинская участковая больница  ГУЗ «Большенагаткинская РБ»- принято 32 пациента.</w:t>
      </w:r>
    </w:p>
    <w:p>
      <w:pPr>
        <w:pStyle w:val="Normal"/>
        <w:ind w:start="-284" w:firstLine="709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Всего принято пациентов специалистами – 184 человека, из них:</w:t>
      </w:r>
    </w:p>
    <w:p>
      <w:pPr>
        <w:pStyle w:val="Normal"/>
        <w:ind w:start="-284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>- неврологом- 96 человек;</w:t>
      </w:r>
    </w:p>
    <w:p>
      <w:pPr>
        <w:pStyle w:val="Normal"/>
        <w:ind w:start="-284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>- урологом- 18 человек;</w:t>
      </w:r>
    </w:p>
    <w:p>
      <w:pPr>
        <w:pStyle w:val="Normal"/>
        <w:ind w:start="-284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>- хирургом- 21 человек;</w:t>
      </w:r>
    </w:p>
    <w:p>
      <w:pPr>
        <w:pStyle w:val="Normal"/>
        <w:ind w:start="-284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>- эндокринологом- 49 человек.</w:t>
      </w:r>
    </w:p>
    <w:p>
      <w:pPr>
        <w:pStyle w:val="Normal"/>
        <w:ind w:start="-284" w:firstLine="709"/>
        <w:jc w:val="both"/>
        <w:rPr/>
      </w:pPr>
      <w:r>
        <w:rPr>
          <w:rFonts w:cs="Calibri"/>
          <w:sz w:val="28"/>
          <w:szCs w:val="28"/>
        </w:rPr>
        <w:t xml:space="preserve">- </w:t>
      </w:r>
      <w:r>
        <w:rPr>
          <w:rFonts w:cs="Calibri"/>
          <w:b/>
          <w:sz w:val="28"/>
          <w:szCs w:val="28"/>
        </w:rPr>
        <w:t>профилактическая работа с населением старше трудоспособного возраста</w:t>
      </w:r>
      <w:r>
        <w:rPr>
          <w:rFonts w:cs="Calibri"/>
          <w:sz w:val="28"/>
          <w:szCs w:val="28"/>
        </w:rPr>
        <w:t xml:space="preserve"> по вопросам гериатрической и паллиативной медицинской помощи. здорового питания, активного долголетия.</w:t>
      </w:r>
    </w:p>
    <w:p>
      <w:pPr>
        <w:pStyle w:val="Normal"/>
        <w:ind w:start="-284" w:firstLine="709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Врачом-гериатром ГУЗ «УОКГВВ» проведены 7 лекций в муниципальных образованиях для граждан пожилого возраста и социальных работников по вопросам активного долголетия, охват- 249  человек:</w:t>
      </w:r>
    </w:p>
    <w:p>
      <w:pPr>
        <w:pStyle w:val="Normal"/>
        <w:ind w:start="-284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>- МО Майнский район- 25 слушателей;</w:t>
      </w:r>
    </w:p>
    <w:p>
      <w:pPr>
        <w:pStyle w:val="Normal"/>
        <w:ind w:start="-284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>- МО Николаевский район- 45 слушателей;</w:t>
      </w:r>
    </w:p>
    <w:p>
      <w:pPr>
        <w:pStyle w:val="Normal"/>
        <w:ind w:start="-284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>- МО Карсунский район (2 лекции)- 72 слушателя;</w:t>
      </w:r>
    </w:p>
    <w:p>
      <w:pPr>
        <w:pStyle w:val="Normal"/>
        <w:ind w:start="-284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>- МО Вешкаймский район- 65 слушателей;</w:t>
      </w:r>
    </w:p>
    <w:p>
      <w:pPr>
        <w:pStyle w:val="Normal"/>
        <w:ind w:start="-284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>- МО Цильнинский район (2 лекции)- 42 слушателя.</w:t>
      </w:r>
    </w:p>
    <w:p>
      <w:pPr>
        <w:pStyle w:val="Normal"/>
        <w:ind w:start="-284" w:firstLine="709"/>
        <w:jc w:val="both"/>
        <w:rPr/>
      </w:pPr>
      <w:r>
        <w:rPr>
          <w:rFonts w:cs="Calibri"/>
          <w:sz w:val="28"/>
          <w:szCs w:val="28"/>
        </w:rPr>
        <w:t xml:space="preserve">01.10.2017г. в рамках </w:t>
      </w:r>
      <w:r>
        <w:rPr>
          <w:rFonts w:cs="Calibri"/>
          <w:sz w:val="28"/>
          <w:szCs w:val="28"/>
          <w:lang w:val="en-US"/>
        </w:rPr>
        <w:t>II</w:t>
      </w:r>
      <w:r>
        <w:rPr>
          <w:rFonts w:cs="Calibri"/>
          <w:sz w:val="28"/>
          <w:szCs w:val="28"/>
        </w:rPr>
        <w:t xml:space="preserve"> форума для граждан старшего поколения «Съезд аксакалов» проведена дискуссионная площадка «Развитие гериатрической службы Ульяновской области, первые итоги и перспективы», заслушаны 4 выступления, присутствовало 80 человек.</w:t>
      </w:r>
    </w:p>
    <w:p>
      <w:pPr>
        <w:pStyle w:val="Normal"/>
        <w:ind w:start="-284" w:firstLine="709"/>
        <w:jc w:val="both"/>
        <w:rPr/>
      </w:pPr>
      <w:r>
        <w:rPr>
          <w:rFonts w:cs="Calibri"/>
          <w:sz w:val="28"/>
          <w:szCs w:val="28"/>
        </w:rPr>
        <w:t xml:space="preserve">24-26.10.2017г. в рамках </w:t>
      </w:r>
      <w:r>
        <w:rPr>
          <w:rFonts w:cs="Calibri"/>
          <w:sz w:val="28"/>
          <w:szCs w:val="28"/>
          <w:lang w:val="en-US"/>
        </w:rPr>
        <w:t>IV</w:t>
      </w:r>
      <w:r>
        <w:rPr>
          <w:rFonts w:cs="Calibri"/>
          <w:sz w:val="28"/>
          <w:szCs w:val="28"/>
        </w:rPr>
        <w:t xml:space="preserve"> Международного социально-трудового форума «Социальная сплоченность. Открытое общество. Равные возможности» организована дискуссионная площадка «Проектное управление в социальной сфере. Патриот 2030- как механизм реализации региональной социальной политики». В работе дискуссионной площадки приняли участие руководители функциональных направлений проекта «Патриот 2030».</w:t>
      </w:r>
    </w:p>
    <w:p>
      <w:pPr>
        <w:pStyle w:val="Normal"/>
        <w:ind w:start="-284" w:firstLine="709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Врач-гериатр госпиталя приняла участие в стратегической сессии «Образ будущего социальной сферы России. Социальная поддержка» на площадке «Думая о пожилых- мы думаем о будущем».</w:t>
      </w:r>
    </w:p>
    <w:p>
      <w:pPr>
        <w:pStyle w:val="Normal"/>
        <w:keepNext w:val="true"/>
        <w:autoSpaceDE w:val="false"/>
        <w:ind w:start="-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Прошу снять с контроля.</w:t>
      </w:r>
    </w:p>
    <w:p>
      <w:pPr>
        <w:pStyle w:val="Normal"/>
        <w:keepNext w:val="true"/>
        <w:autoSpaceDE w:val="false"/>
        <w:ind w:start="-360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keepNext w:val="true"/>
        <w:autoSpaceDE w:val="false"/>
        <w:ind w:start="-360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keepNext w:val="true"/>
        <w:autoSpaceDE w:val="false"/>
        <w:ind w:start="-360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keepNext w:val="true"/>
        <w:autoSpaceDE w:val="false"/>
        <w:ind w:start="-284" w:hanging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 xml:space="preserve">Исполняющий обязанности </w:t>
      </w:r>
    </w:p>
    <w:p>
      <w:pPr>
        <w:pStyle w:val="Normal"/>
        <w:keepNext w:val="true"/>
        <w:autoSpaceDE w:val="false"/>
        <w:ind w:start="-284" w:hanging="0"/>
        <w:jc w:val="both"/>
        <w:rPr>
          <w:color w:val="000000"/>
          <w:sz w:val="26"/>
          <w:szCs w:val="26"/>
        </w:rPr>
      </w:pPr>
      <w:r>
        <w:rPr>
          <w:sz w:val="26"/>
          <w:szCs w:val="26"/>
          <w:lang w:val="en-US" w:eastAsia="en-US"/>
        </w:rPr>
        <w:t xml:space="preserve">Заместителя Министра здравоохранения, </w:t>
      </w:r>
    </w:p>
    <w:p>
      <w:pPr>
        <w:pStyle w:val="Normal"/>
        <w:autoSpaceDE w:val="false"/>
        <w:ind w:start="-284" w:hanging="0"/>
        <w:rPr/>
      </w:pPr>
      <w:r>
        <w:rPr>
          <w:sz w:val="26"/>
          <w:szCs w:val="26"/>
          <w:lang w:val="en-US" w:eastAsia="en-US"/>
        </w:rPr>
        <w:t xml:space="preserve">семьи и социального благополучия </w:t>
      </w:r>
    </w:p>
    <w:p>
      <w:pPr>
        <w:pStyle w:val="Normal"/>
        <w:autoSpaceDE w:val="false"/>
        <w:ind w:start="-284" w:hanging="0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 xml:space="preserve">Ульяновской области                                                       </w:t>
        <w:tab/>
        <w:t xml:space="preserve">                       М.В.Логинов</w:t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  <w:t>Э.А.Каримова.,</w:t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  <w:t>Е.А.Филина, 418633</w:t>
      </w:r>
    </w:p>
    <w:sectPr>
      <w:type w:val="nextPage"/>
      <w:pgSz w:w="11906" w:h="16838"/>
      <w:pgMar w:left="1701" w:right="850" w:header="0" w:top="539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mpact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LibreOffice/6.0.1.1$Linux_X86_64 LibreOffice_project/60bfb1526849283ce2491346ed2aa51c465abfe6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2017-11-09T16:45:00Z</dcterms:created>
  <dc:creator>Moris</dc:creator>
  <dc:description/>
  <cp:keywords/>
  <dc:language>en-US</dc:language>
  <cp:lastModifiedBy>Анастасия Евгеньевна Волкова</cp:lastModifiedBy>
  <cp:lastPrinted>2017-12-25T16:11:00Z</cp:lastPrinted>
  <dcterms:modified xsi:type="dcterms:W3CDTF">2017-12-25T15:11:00Z</dcterms:modified>
  <cp:revision>3</cp:revision>
  <dc:subject/>
  <dc:title>Перечень док-тов, находящихся на исполнении</dc:title>
</cp:coreProperties>
</file>