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A961" w14:textId="77777777" w:rsidR="00862353" w:rsidRPr="00862353" w:rsidRDefault="00862353" w:rsidP="00862353">
      <w:pPr>
        <w:rPr>
          <w:b/>
          <w:bCs/>
        </w:rPr>
      </w:pPr>
      <w:r w:rsidRPr="00862353">
        <w:rPr>
          <w:b/>
          <w:bCs/>
        </w:rPr>
        <w:t>RESOLUÇÃO SEDUC – 39, de 5-9-2023.</w:t>
      </w:r>
    </w:p>
    <w:p w14:paraId="5ADDBE2F" w14:textId="77777777" w:rsidR="00862353" w:rsidRPr="00862353" w:rsidRDefault="00862353" w:rsidP="00862353">
      <w:r w:rsidRPr="00862353">
        <w:rPr>
          <w:b/>
          <w:bCs/>
        </w:rPr>
        <w:t>Resolução SEDUC – 39, de 5-9-2023.</w:t>
      </w:r>
    </w:p>
    <w:p w14:paraId="07D60A03" w14:textId="77777777" w:rsidR="00862353" w:rsidRPr="00862353" w:rsidRDefault="00862353" w:rsidP="00862353">
      <w:r w:rsidRPr="00862353">
        <w:t>Estabelece procedimento de prevenção à evasão e “Busca Ativa” de alunos da rede estadual de ensino do Estado de São Paulo, e dá providências correlatas.</w:t>
      </w:r>
    </w:p>
    <w:p w14:paraId="394ACF03" w14:textId="77777777" w:rsidR="00862353" w:rsidRPr="00862353" w:rsidRDefault="00862353" w:rsidP="00862353">
      <w:r w:rsidRPr="00862353">
        <w:t>O Secretário da Educação do Estado de São Paulo, no uso de suas atribuições legais e considerando:</w:t>
      </w:r>
    </w:p>
    <w:p w14:paraId="05F4693B" w14:textId="77777777" w:rsidR="00862353" w:rsidRPr="00862353" w:rsidRDefault="00862353" w:rsidP="00862353">
      <w:r w:rsidRPr="00862353">
        <w:t>– a Constituição Federal, especificamente no que dispõe em seu Artigo 208º e seguintes;</w:t>
      </w:r>
      <w:r w:rsidRPr="00862353">
        <w:br/>
        <w:t>– as políticas em conformidade com a Lei de Diretrizes e Bases da Educação Nacional – LDB, o Estatuto da Criança e do Adolescente – ECA e a rede protetiva estadual;</w:t>
      </w:r>
      <w:r w:rsidRPr="00862353">
        <w:br/>
        <w:t>– a Lei 13.068, de 10-06-2008, que dispõe sobre a obrigatoriedade de as escolas da rede pública estadual comunicarem o excesso de faltas de alunos;</w:t>
      </w:r>
      <w:r w:rsidRPr="00862353">
        <w:br/>
        <w:t>– as normativas que dispõe sobre a elaboração do calendário escolar da rede estadual de ensino;</w:t>
      </w:r>
      <w:r w:rsidRPr="00862353">
        <w:br/>
        <w:t>– a Resolução SE 36 de 25-05-2016, que institui a plataforma Secretaria Escolar Digital – SED, como ferramenta de gestão informatizada;</w:t>
      </w:r>
      <w:r w:rsidRPr="00862353">
        <w:br/>
        <w:t>– a Resolução SE 16, de 31-01-2020, alterada pela Resolução SEDUC nº 118, de 8-11-2021, que versa sobre os registros do Diário de Classe no âmbito da rede estadual de ensino;</w:t>
      </w:r>
      <w:r w:rsidRPr="00862353">
        <w:br/>
        <w:t>– a Resolução SEDUC 25, de 5-7-2023, que estabelece critérios e procedimentos para o lançamento de registro de Não Comparecimento – NCOM;</w:t>
      </w:r>
      <w:r w:rsidRPr="00862353">
        <w:br/>
      </w:r>
      <w:r w:rsidRPr="00862353">
        <w:rPr>
          <w:highlight w:val="yellow"/>
        </w:rPr>
        <w:t>– a Resolução 48, de 1-10-2019, que institui o Programa de Melhoria da Convivência e Proteção Escolar – CONVIVA;</w:t>
      </w:r>
      <w:r w:rsidRPr="00862353">
        <w:br/>
        <w:t xml:space="preserve">– </w:t>
      </w:r>
      <w:r w:rsidRPr="00862353">
        <w:rPr>
          <w:highlight w:val="yellow"/>
        </w:rPr>
        <w:t>as políticas públicas educacionais, com foco na melhoria da qualidade da educação básica paulista, implementadas nas escolas da rede estadual de ensino;</w:t>
      </w:r>
      <w:r w:rsidRPr="00862353">
        <w:br/>
        <w:t>– o direito público subjetivo à educação de qualidade a que fazem jus os alunos do ensino fundamental e médio das escolas públicas estaduais;</w:t>
      </w:r>
      <w:r w:rsidRPr="00862353">
        <w:br/>
        <w:t>– o compromisso da Secretaria da Educação de assegurar a todas as crianças e adolescentes acesso à escola, bem como condições de permanência e assiduidade;</w:t>
      </w:r>
      <w:r w:rsidRPr="00862353">
        <w:br/>
        <w:t>– a importância da motivação proporcionada pelos docentes, nos diferentes ambientes de aprendizagem, visando à assiduidade dos alunos e, consequentemente, à redução da evasão escolar;</w:t>
      </w:r>
      <w:r w:rsidRPr="00862353">
        <w:br/>
      </w:r>
      <w:r w:rsidRPr="00862353">
        <w:rPr>
          <w:highlight w:val="yellow"/>
        </w:rPr>
        <w:t>– as medidas educativas preventivas destinadas à redução dos índices de ausência, retenção e abandono;</w:t>
      </w:r>
      <w:r w:rsidRPr="00862353">
        <w:rPr>
          <w:highlight w:val="yellow"/>
        </w:rPr>
        <w:br/>
        <w:t>– as normas regimentais e a proposta pedagógica da escola que preveem mecanismos de apoio aos alunos, visando à melhoria do seu desempenho escolar;</w:t>
      </w:r>
      <w:r w:rsidRPr="00862353">
        <w:br/>
        <w:t>Resolve:</w:t>
      </w:r>
      <w:r w:rsidRPr="00862353">
        <w:br/>
        <w:t>Artigo 1° – As ações que visam a prevenção da evasão escolar, compreendem:</w:t>
      </w:r>
      <w:r w:rsidRPr="00862353">
        <w:br/>
        <w:t>I – Campanhas de conscientização dos responsáveis e alunos;</w:t>
      </w:r>
      <w:r w:rsidRPr="00862353">
        <w:br/>
        <w:t xml:space="preserve">II </w:t>
      </w:r>
      <w:r w:rsidRPr="00862353">
        <w:rPr>
          <w:highlight w:val="yellow"/>
        </w:rPr>
        <w:t>– Acompanhamento dos índices de frequência escolar. Artigo 2° – No âmbito das campanhas de conscientização, as unidades escolares, com apoio da Diretoria de Ensino, deverão realizar palestras e/ou reuniões, visando o fortalecimento dos laços entre a comunidade escolar e a unidade escolar.</w:t>
      </w:r>
      <w:r w:rsidRPr="00862353">
        <w:br/>
        <w:t xml:space="preserve">Artigo 3° – Para fins de viabilizar as ações de “Busca Ativa” e a maior </w:t>
      </w:r>
      <w:r w:rsidRPr="00862353">
        <w:rPr>
          <w:highlight w:val="yellow"/>
        </w:rPr>
        <w:t>fidedignidade dos dados</w:t>
      </w:r>
      <w:r w:rsidRPr="00862353">
        <w:t xml:space="preserve"> constantes na plataforma Secretaria Escolar Digital – SED, a unidade escolar deverá realizar atualização cadastral dos alunos, bimestralmente, com atenção aos telefones cadastrados e endereço residencial.</w:t>
      </w:r>
      <w:r w:rsidRPr="00862353">
        <w:br/>
      </w:r>
      <w:r w:rsidRPr="00862353">
        <w:lastRenderedPageBreak/>
        <w:t>Parágrafo único. A atualização cadastral poderá ser realizada sempre que necessário ou, ainda, durante as reuniões de pais e mestres conforme constam no Calendário Escolar.</w:t>
      </w:r>
      <w:r w:rsidRPr="00862353">
        <w:br/>
        <w:t>Artigo 4° – O acompanhamento do índice de frequência será realizado, pela unidade escolar e Diretoria de Ensino por meio do Diário de Classe, Painel Aluno Presente e outras ferramentas disponibilizadas pelo Órgão Central.</w:t>
      </w:r>
      <w:r w:rsidRPr="00862353">
        <w:br/>
        <w:t xml:space="preserve">Parágrafo único. Os Docentes, com apoio da Gestão Escolar e Supervisão de Ensino </w:t>
      </w:r>
      <w:r w:rsidRPr="00862353">
        <w:rPr>
          <w:highlight w:val="yellow"/>
        </w:rPr>
        <w:t>devem manter os registros de frequência atualizados, diariamente, no Diário de Classe disponível na plataforma Secretaria Escolar Digital – SED, conforme estabelece a</w:t>
      </w:r>
      <w:r w:rsidRPr="00862353">
        <w:t xml:space="preserve"> Resolução SE 36 de 25-05-2016, Resolução SE 16, de 31-01- 2020, alterada pela Resolução SEDUC nº 118, de 8-11-2021 a fim de viabilizar o acompanhamento dos índices de ausência.</w:t>
      </w:r>
      <w:r w:rsidRPr="00862353">
        <w:br/>
        <w:t xml:space="preserve">Artigo 5º – </w:t>
      </w:r>
      <w:r w:rsidRPr="00862353">
        <w:rPr>
          <w:highlight w:val="yellow"/>
        </w:rPr>
        <w:t>Configuram alunos em risco de evasão aqueles que apresentem a partir de 03 (três) faltas não justificadas, em dias letivos consecutivos, devendo nestes casos, iniciarem os procedimentos de “Busca Ativa”.</w:t>
      </w:r>
      <w:r w:rsidRPr="00862353">
        <w:br/>
        <w:t>Artigo 6º – Verificado o risco de evasão conforme artigo 5°, deverão ser adotados os seguintes procedimentos:</w:t>
      </w:r>
      <w:r w:rsidRPr="00862353">
        <w:br/>
        <w:t>I – Acompanhamento Individualizado;</w:t>
      </w:r>
      <w:r w:rsidRPr="00862353">
        <w:br/>
        <w:t>II – Comunicação aos Órgãos Colegiados da unidade escolar;</w:t>
      </w:r>
      <w:r w:rsidRPr="00862353">
        <w:br/>
        <w:t>III – Comunicação à Rede de Proteção à Criança e ao Adolescente.</w:t>
      </w:r>
      <w:r w:rsidRPr="00862353">
        <w:br/>
        <w:t>Artigo 7° – O Diretor de Escola, em articulação com a equipe gestora e sob orientação e acompanhamento do Supervisor de Ensino da unidade, no âmbito de suas atribuições, deverá, visando o acompanhamento individualizado do aluno, proceder com as seguintes ações:</w:t>
      </w:r>
      <w:r w:rsidRPr="00862353">
        <w:br/>
        <w:t>I – Realização de contato com os pais e/ou responsáveis, podendo ser utilizadas as seguintes ferramentas, entre outras:</w:t>
      </w:r>
      <w:r w:rsidRPr="00862353">
        <w:br/>
        <w:t>a) Contato telefônico;</w:t>
      </w:r>
      <w:r w:rsidRPr="00862353">
        <w:br/>
        <w:t>b) E-mail;</w:t>
      </w:r>
      <w:r w:rsidRPr="00862353">
        <w:br/>
        <w:t>c) Contato por aplicativos de mensagens;</w:t>
      </w:r>
      <w:r w:rsidRPr="00862353">
        <w:br/>
        <w:t>d) Carta registrada.</w:t>
      </w:r>
      <w:r w:rsidRPr="00862353">
        <w:br/>
        <w:t>II – Convocar os pais ou responsáveis para reunião acerca da situação do aluno;</w:t>
      </w:r>
      <w:r w:rsidRPr="00862353">
        <w:br/>
        <w:t>III – Notificar formalmente aos pais ou responsáveis a situação de aluno que, a qualquer momento do ano letivo, configure risco de evasão ou frequência irregular mencionada no artigo 1°, informando quanto:</w:t>
      </w:r>
      <w:r w:rsidRPr="00862353">
        <w:br/>
        <w:t>a) a importância da frequência regular e da efetiva participação do aluno nas aulas e demais atividades escolares;</w:t>
      </w:r>
      <w:r w:rsidRPr="00862353">
        <w:br/>
        <w:t>b) a necessidade de se estabelecer estratégia conjunta, visando à redução da quantidade ou até à interrupção imediata da sequência de faltas;</w:t>
      </w:r>
      <w:r w:rsidRPr="00862353">
        <w:br/>
        <w:t>c) a possibilidade de aplicação do disposto na Lei 13.068, de 10-06-2008;</w:t>
      </w:r>
      <w:r w:rsidRPr="00862353">
        <w:br/>
        <w:t>d) a oferta da compensação de ausências e proposta de reposição dos conteúdos aplicados.</w:t>
      </w:r>
      <w:r w:rsidRPr="00862353">
        <w:br/>
        <w:t>Parágrafo único. Deverão ser realizadas, no mínimo, duas notificações formais aos pais ou responsáveis, com intervalo de 5 dias úteis cada.</w:t>
      </w:r>
      <w:r w:rsidRPr="00862353">
        <w:br/>
        <w:t>Artigo 8° – Após realização do acompanhamento individualizado, observando que as faltas do aluno não cessaram, a unidade escolar deverá acionar os colegiados auxiliares internos, visando:</w:t>
      </w:r>
      <w:r w:rsidRPr="00862353">
        <w:br/>
        <w:t>I – Propor e realizar outros meios de “Busca Ativa”, junto a Associação de Pais e Mestres, Grêmio Escolar e outros colegiados;</w:t>
      </w:r>
      <w:r w:rsidRPr="00862353">
        <w:br/>
        <w:t xml:space="preserve">II – Deliberar junto ao Conselho Escolar, sobre a notificação a rede de proteção à criança </w:t>
      </w:r>
      <w:r w:rsidRPr="00862353">
        <w:lastRenderedPageBreak/>
        <w:t>e ao adolescente;</w:t>
      </w:r>
      <w:r w:rsidRPr="00862353">
        <w:br/>
        <w:t>III – Elaborar relatório pedagógico situacional do aluno para encaminhamento a rede de proteção à criança e ao adolescente;</w:t>
      </w:r>
      <w:r w:rsidRPr="00862353">
        <w:br/>
        <w:t>IV – Acionar o Programa de Melhoria da Convivência e Proteção Escolar – CONVIVA, informando a situação dos alunos para providências, conforme estabelece a Resolução 48, de 1-10-2019;</w:t>
      </w:r>
      <w:r w:rsidRPr="00862353">
        <w:br/>
        <w:t>V – Dar ciência ao Dirigente Regional de Ensino e Supervisão de Ensino, acerca da situação do aluno, juntando cópia dos documentos necessários para acompanhamento, por meio de sistemas digitais utilizados pela pasta.</w:t>
      </w:r>
      <w:r w:rsidRPr="00862353">
        <w:br/>
        <w:t>Artigo 9° – Alcançados 10% de faltas não justificadas, calculados sobre o total do bimestre letivo, sem prejuízo do estabelecido na Lei n° 13.068 de 10-06-2008, e após esgotadas as ações que competem a Direção da escola, relacionadas nos artigos anteriores, o Dirigente Regional de Ensino, com apoio da Supervisão de Ensino, deverá:</w:t>
      </w:r>
      <w:r w:rsidRPr="00862353">
        <w:br/>
        <w:t>I – Encaminhar, ao Conselho Tutelar do município e à Vara da Infância e da Juventude, mediante ofício, a lista de alunos que configurem frequência irregular ou risco de evasão, remetendo:</w:t>
      </w:r>
      <w:r w:rsidRPr="00862353">
        <w:br/>
        <w:t>a. ficha completa do aluno;</w:t>
      </w:r>
      <w:r w:rsidRPr="00862353">
        <w:br/>
        <w:t>b. relatório pedagógico do aluno;</w:t>
      </w:r>
      <w:r w:rsidRPr="00862353">
        <w:br/>
        <w:t>c. relatório de frequência do aluno;</w:t>
      </w:r>
      <w:r w:rsidRPr="00862353">
        <w:br/>
        <w:t>d. atas de reuniões com os pais e/ou responsáveis;</w:t>
      </w:r>
      <w:r w:rsidRPr="00862353">
        <w:br/>
        <w:t>e. notificações dos responsáveis;</w:t>
      </w:r>
      <w:r w:rsidRPr="00862353">
        <w:br/>
        <w:t>f. ata do Conselho de Escola;</w:t>
      </w:r>
      <w:r w:rsidRPr="00862353">
        <w:br/>
        <w:t>II – Acionar a rede de proteção à criança e ao adolescente, nos casos nos quais a não frequência decorre de problemas que fogem ao escopo de atendimento da unidade escolar, tais quais:</w:t>
      </w:r>
      <w:r w:rsidRPr="00862353">
        <w:br/>
        <w:t>a. Conselho Tutelar, em situações de abandono familiar, maus tratos, negligência, e demais situações previstas no artigo n° 136, da Lei Federal nº 8.069, de 13 de julho de 1990;</w:t>
      </w:r>
      <w:r w:rsidRPr="00862353">
        <w:br/>
        <w:t>b. Sistema Único de Assistência Social (SUAS), em situações de vulnerabilidade social, em conformidade com a Lei nº 12.435, de 6 de julho de 2011;</w:t>
      </w:r>
      <w:r w:rsidRPr="00862353">
        <w:br/>
        <w:t>c. Secretaria de Saúde, em situações que demandam assistência à saúde.</w:t>
      </w:r>
      <w:r w:rsidRPr="00862353">
        <w:br/>
        <w:t>Artigo 10° – O Dirigente Regional de Ensino, com apoio da Supervisão de Ensino, são responsáveis por realizar e disponibilizar para as unidades escolares, o mapeamento da rede de proteção à criança e ao adolescente das regiões circunscritas a sua jurisdição.</w:t>
      </w:r>
      <w:r w:rsidRPr="00862353">
        <w:br/>
        <w:t>Parágrafo único. O mapeamento deverá ser atualizado ao menos uma vez ao ano e deve ser disponibilizado no site oficial da Diretoria de Ensino.</w:t>
      </w:r>
      <w:r w:rsidRPr="00862353">
        <w:br/>
        <w:t>Artigo 11º – Durante a realização dos procedimentos de “Busca Ativa” serão oferecidas possibilidades de recuperação da aprendizagem a todos os alunos que apresentarem frequência irregular, número excessivo de ausências, e/ou risco de evasão, visando à recuperação dos conteúdos e habilidades não desenvolvidas, mediante a aplicação de mecanismos de apoio aos processos de ensino, nos termos das normativas vigentes e da Lei de Diretrizes e Bases da Educação Nacional.</w:t>
      </w:r>
      <w:r w:rsidRPr="00862353">
        <w:br/>
        <w:t>Artigo 12° – Cessadas as infrequências do aluno, a unidade escolar deverá elaborar um plano de acompanhamento individualizado a fim de reintegrá-lo à escola, visando sua permanência.</w:t>
      </w:r>
      <w:r w:rsidRPr="00862353">
        <w:br/>
        <w:t>Artigo 13° – Os documentos comprobatórios das ações de “Busca Ativa” deverão ser inseridos e mantidos no prontuário do aluno.</w:t>
      </w:r>
      <w:r w:rsidRPr="00862353">
        <w:br/>
        <w:t xml:space="preserve">Artigo 14° – Concluídos os procedimentos de “Busca Ativa”, permanecendo a não </w:t>
      </w:r>
      <w:r w:rsidRPr="00862353">
        <w:lastRenderedPageBreak/>
        <w:t>frequência do aluno, a unidade escolar deverá observar o disposto na legislação vigente que dispõe sobre o lançamento de “Não-Comparecimento” – NCOM.</w:t>
      </w:r>
      <w:r w:rsidRPr="00862353">
        <w:br/>
        <w:t>Artigo 15° – A Coordenadoria de Informação, Tecnologia, Evidência e Matrícula – CITEM e a Coordenadoria Pedagógica – COPED, poderão expedir instruções complementares para o cumprimento do disposto nesta Resolução, no âmbito de suas respectivas competências.</w:t>
      </w:r>
      <w:r w:rsidRPr="00862353">
        <w:br/>
        <w:t>Artigo 16° – Esta resolução entra em vigor na data de sua publicação, ficando revogada a Resolução SE 42, de 18-8-2015 e disposições contrárias.</w:t>
      </w:r>
    </w:p>
    <w:p w14:paraId="669C8615" w14:textId="77777777" w:rsidR="007F3FF9" w:rsidRDefault="007F3FF9"/>
    <w:sectPr w:rsidR="007F3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53"/>
    <w:rsid w:val="00475AF2"/>
    <w:rsid w:val="007F3FF9"/>
    <w:rsid w:val="00862353"/>
    <w:rsid w:val="00982797"/>
    <w:rsid w:val="00B372F3"/>
    <w:rsid w:val="00E0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FB264"/>
  <w15:chartTrackingRefBased/>
  <w15:docId w15:val="{E9F9C21C-E97E-4DF9-B4F3-7766E32C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3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3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3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3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3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3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1517</Words>
  <Characters>8195</Characters>
  <Application>Microsoft Office Word</Application>
  <DocSecurity>0</DocSecurity>
  <Lines>68</Lines>
  <Paragraphs>19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Carvalho</dc:creator>
  <cp:keywords/>
  <dc:description/>
  <cp:lastModifiedBy>Alexandre Carvalho</cp:lastModifiedBy>
  <cp:revision>2</cp:revision>
  <dcterms:created xsi:type="dcterms:W3CDTF">2026-04-16T17:28:00Z</dcterms:created>
  <dcterms:modified xsi:type="dcterms:W3CDTF">2026-04-16T17:28:00Z</dcterms:modified>
</cp:coreProperties>
</file>