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sz w:val="40"/>
        </w:rPr>
        <w:t>Prompting Grok Bot - SpaceXAI Blueprint Applied to Loops for an Agent Team</w:t>
      </w:r>
    </w:p>
    <w:p>
      <w:pPr>
        <w:spacing w:after="240"/>
        <w:jc w:val="center"/>
      </w:pPr>
      <w:r>
        <w:rPr>
          <w:rFonts w:ascii="Arial" w:hAnsi="Arial"/>
          <w:b/>
          <w:color w:val="505050"/>
          <w:sz w:val="26"/>
        </w:rPr>
        <w:t>Ten Fields, Four Rungs, and the Two Loops That Ship While You Sleep</w:t>
      </w:r>
    </w:p>
    <w:p>
      <w:pPr>
        <w:spacing w:after="360"/>
        <w:jc w:val="center"/>
      </w:pPr>
      <w:r>
        <w:rPr>
          <w:rFonts w:ascii="Arial" w:hAnsi="Arial"/>
          <w:i/>
          <w:color w:val="505050"/>
          <w:sz w:val="20"/>
        </w:rPr>
        <w:t>Based on SpaceXAI's published Grok Bot documentation</w:t>
        <w:br/>
        <w:t>and on the public practice of the engineer who leads it</w:t>
      </w:r>
    </w:p>
    <w:tbl>
      <w:tblPr>
        <w:tblW w:type="auto" w:w="0"/>
        <w:jc w:val="center"/>
        <w:tblLook w:firstColumn="1" w:firstRow="1" w:lastColumn="0" w:lastRow="0" w:noHBand="0" w:noVBand="1" w:val="04A0"/>
      </w:tblPr>
      <w:tblGrid>
        <w:gridCol w:w="9936"/>
      </w:tblGrid>
      <w:tr>
        <w:tc>
          <w:tcPr>
            <w:tcW w:type="dxa" w:w="9936"/>
            <w:shd w:fill="F4F4F5"/>
            <w:tcMar>
              <w:top w:w="140" w:type="dxa"/>
              <w:bottom w:w="140" w:type="dxa"/>
              <w:left w:w="200" w:type="dxa"/>
              <w:right w:w="200" w:type="dxa"/>
            </w:tcMar>
            <w:tcBorders>
              <w:top w:val="none"/>
              <w:left w:val="single" w:sz="24" w:space="0" w:color="18181B"/>
              <w:bottom w:val="none"/>
              <w:right w:val="none"/>
            </w:tcBorders>
          </w:tcPr>
          <w:p>
            <w:pPr>
              <w:spacing w:before="40" w:after="40"/>
            </w:pPr>
            <w:r>
              <w:rPr>
                <w:rFonts w:ascii="Arial" w:hAnsi="Arial"/>
                <w:b/>
                <w:color w:val="000000"/>
                <w:sz w:val="21"/>
              </w:rPr>
              <w:t>Overview &amp; Architecture Note</w:t>
              <w:br/>
            </w:r>
            <w:r>
              <w:rPr>
                <w:rFonts w:ascii="Arial" w:hAnsi="Arial"/>
                <w:color w:val="282828"/>
                <w:sz w:val="20"/>
              </w:rPr>
              <w:t>Fig. 1. SpaceXAI's description/message split, with its skill and routine specs, filled in for one of the use cases the docs list (Bug Reproduction). Field 10 is shown in the form that matters for an always-on agent: not "watch Slack" but a narrow matching rule, a clear response and a stale-data rule.</w:t>
            </w:r>
          </w:p>
        </w:tc>
      </w:tr>
    </w:tbl>
    <w:p>
      <w:pPr>
        <w:spacing w:after="120"/>
      </w:pPr>
    </w:p>
    <w:p>
      <w:pPr>
        <w:spacing w:after="280" w:line="276" w:lineRule="auto"/>
      </w:pPr>
      <w:r>
        <w:rPr>
          <w:rFonts w:ascii="Arial" w:hAnsi="Arial"/>
          <w:b/>
          <w:i/>
          <w:sz w:val="20"/>
        </w:rPr>
        <w:t xml:space="preserve">Abstract — </w:t>
      </w:r>
      <w:r>
        <w:rPr>
          <w:rFonts w:ascii="Arial" w:hAnsi="Arial"/>
          <w:sz w:val="20"/>
        </w:rPr>
        <w:t>On 11 August 2026 SpaceXAI shipped Grok Bot in early beta: always-on agents that sign in to your tools, work on their own cloud computer and come back only when they need approval. Within weeks the engineer who leads it was describing a month of 2,500 pull requests shipped by agent teams she mostly reviews in the morning. Most first attempts end differently: one "General Helper" that asks permission for everything, or a routine that does the wrong thing at 3 a.m. This note treats the gap as an engineering problem. It starts from SpaceXAI's own guidance — one Bot per end-to-end outcome, permanent rules in the description, the job in the message, skills before routines, approvals for anything that leaves the building — and from the working practice of Lauren Tan (@poteto): verification first, deterministic steps moved into scripts, and the environment fixed instead of the agent.</w:t>
      </w:r>
    </w:p>
    <w:p>
      <w:pPr>
        <w:keepNext/>
        <w:spacing w:before="280" w:after="120"/>
      </w:pPr>
      <w:r>
        <w:rPr>
          <w:rFonts w:ascii="Arial" w:hAnsi="Arial"/>
          <w:b/>
          <w:color w:val="000000"/>
          <w:sz w:val="26"/>
        </w:rPr>
        <w:t>I. WHAT GROK BOT ACTUALLY IS</w:t>
      </w:r>
    </w:p>
    <w:p>
      <w:pPr>
        <w:spacing w:after="160"/>
      </w:pPr>
      <w:r>
        <w:t>A Bot is a profile (name, description, avatar) with its own conversation, memory, skills and routines. It signs in to websites and apps, uses APIs and MCP servers where they exist and drives the interface where they do not. Bots message each other asynchronously and work together in group chats of two to six.</w:t>
      </w:r>
    </w:p>
    <w:p>
      <w:pPr>
        <w:pStyle w:val="ListBullet"/>
        <w:spacing w:after="60"/>
      </w:pPr>
      <w:r>
        <w:rPr>
          <w:rFonts w:ascii="Arial" w:hAnsi="Arial"/>
          <w:b/>
          <w:sz w:val="20"/>
        </w:rPr>
        <w:t xml:space="preserve">Launch: </w:t>
      </w:r>
      <w:r>
        <w:rPr>
          <w:rFonts w:ascii="Arial" w:hAnsi="Arial"/>
          <w:sz w:val="20"/>
        </w:rPr>
        <w:t>early beta, 11 Aug 2026</w:t>
      </w:r>
    </w:p>
    <w:p>
      <w:pPr>
        <w:pStyle w:val="ListBullet"/>
        <w:spacing w:after="60"/>
      </w:pPr>
      <w:r>
        <w:rPr>
          <w:rFonts w:ascii="Arial" w:hAnsi="Arial"/>
          <w:b/>
          <w:sz w:val="20"/>
        </w:rPr>
        <w:t xml:space="preserve">Plans at launch: </w:t>
      </w:r>
      <w:r>
        <w:rPr>
          <w:rFonts w:ascii="Arial" w:hAnsi="Arial"/>
          <w:sz w:val="20"/>
        </w:rPr>
        <w:t>SuperGrok Heavy $300/mo; Cursor Ultra $200/mo; Cursor Teams Premium $120/user/mo</w:t>
      </w:r>
    </w:p>
    <w:p>
      <w:pPr>
        <w:pStyle w:val="ListBullet"/>
        <w:spacing w:after="60"/>
      </w:pPr>
      <w:r>
        <w:rPr>
          <w:rFonts w:ascii="Arial" w:hAnsi="Arial"/>
          <w:b/>
          <w:sz w:val="20"/>
        </w:rPr>
        <w:t xml:space="preserve">Clients: </w:t>
      </w:r>
      <w:r>
        <w:rPr>
          <w:rFonts w:ascii="Arial" w:hAnsi="Arial"/>
          <w:sz w:val="20"/>
        </w:rPr>
        <w:t>Windows, macOS, iOS; Linux through the Grok Build CLI</w:t>
      </w:r>
    </w:p>
    <w:p>
      <w:pPr>
        <w:pStyle w:val="ListBullet"/>
        <w:spacing w:after="60"/>
      </w:pPr>
      <w:r>
        <w:rPr>
          <w:rFonts w:ascii="Arial" w:hAnsi="Arial"/>
          <w:b/>
          <w:sz w:val="20"/>
        </w:rPr>
        <w:t xml:space="preserve">Routines: </w:t>
      </w:r>
      <w:r>
        <w:rPr>
          <w:rFonts w:ascii="Arial" w:hAnsi="Arial"/>
          <w:sz w:val="20"/>
        </w:rPr>
        <w:t>up to 50 per Bot; last 20 runs kept per routine</w:t>
      </w:r>
    </w:p>
    <w:p>
      <w:pPr>
        <w:pStyle w:val="ListBullet"/>
        <w:spacing w:after="60"/>
      </w:pPr>
      <w:r>
        <w:rPr>
          <w:rFonts w:ascii="Arial" w:hAnsi="Arial"/>
          <w:b/>
          <w:sz w:val="20"/>
        </w:rPr>
        <w:t xml:space="preserve">Teach by demo: </w:t>
      </w:r>
      <w:r>
        <w:rPr>
          <w:rFonts w:ascii="Arial" w:hAnsi="Arial"/>
          <w:sz w:val="20"/>
        </w:rPr>
        <w:t>records up to 10 minutes; result is a draft skill</w:t>
      </w:r>
    </w:p>
    <w:p>
      <w:pPr>
        <w:spacing w:before="120" w:after="240"/>
      </w:pPr>
      <w:r>
        <w:t>Two details change how you should design a team. First, all Bots in one account share one cloud computer: files, browser sessions and command-line credentials persist across them, so a separate Bot is not a security boundary. Second, memory keeps preferences and summaries but is not authoritative — keep the source of truth outside the Bot and ask it to cite current data before consequential decisions.</w:t>
        <w:br/>
        <w:br/>
        <w:t>Teaching by demonstration produces a draft, not a finished skill: one recording cannot show the decision rules, failure handling and approval boundaries you still have to write in. Tan adds two rules from practice. Move every deterministic step — builds, code mods, browser automation — into a script or CLI inside the skill, so the agent spends judgment only where judgment is needed and stops rebuilding the same tooling in every run. And mine your old transcripts: each correction you have typed twice is a skill waiting to be written.</w:t>
      </w:r>
    </w:p>
    <w:p>
      <w:pPr>
        <w:keepNext/>
        <w:spacing w:before="280" w:after="120"/>
      </w:pPr>
      <w:r>
        <w:rPr>
          <w:rFonts w:ascii="Arial" w:hAnsi="Arial"/>
          <w:b/>
          <w:color w:val="000000"/>
          <w:sz w:val="26"/>
        </w:rPr>
        <w:t>II. THE PROMPT: DESCRIPTION VS. MESSAGE</w:t>
      </w:r>
    </w:p>
    <w:p>
      <w:pPr>
        <w:spacing w:after="160"/>
      </w:pPr>
      <w:r>
        <w:t>The documentation draws one line that most first prompts miss: the description holds permanent rules and safety boundaries; the conversation holds the one-time task. Fields 1–3 of Fig. 1 live in the description and change rarely; fields 4–8 are written for each job.</w:t>
      </w:r>
    </w:p>
    <w:p>
      <w:pPr>
        <w:pStyle w:val="ListBullet"/>
        <w:spacing w:after="80"/>
      </w:pPr>
      <w:r>
        <w:rPr>
          <w:rFonts w:ascii="Arial" w:hAnsi="Arial"/>
          <w:b/>
          <w:sz w:val="20"/>
        </w:rPr>
        <w:t xml:space="preserve">One Bot, one end-to-end outcome. </w:t>
      </w:r>
      <w:r>
        <w:rPr>
          <w:rFonts w:ascii="Arial" w:hAnsi="Arial"/>
          <w:sz w:val="20"/>
        </w:rPr>
        <w:t>"Bug Reproduction", "Expense Manager", "Talent Scout" — not "General Helper". Add Bots only for stable specialist roles.</w:t>
      </w:r>
    </w:p>
    <w:p>
      <w:pPr>
        <w:pStyle w:val="ListBullet"/>
        <w:spacing w:after="80"/>
      </w:pPr>
      <w:r>
        <w:rPr>
          <w:rFonts w:ascii="Arial" w:hAnsi="Arial"/>
          <w:b/>
          <w:sz w:val="20"/>
        </w:rPr>
        <w:t xml:space="preserve">Result first. </w:t>
      </w:r>
      <w:r>
        <w:rPr>
          <w:rFonts w:ascii="Arial" w:hAnsi="Arial"/>
          <w:sz w:val="20"/>
        </w:rPr>
        <w:t>Lead with the outcome you need, not an imitation of every click.</w:t>
      </w:r>
    </w:p>
    <w:p>
      <w:pPr>
        <w:pStyle w:val="ListBullet"/>
        <w:spacing w:after="80"/>
      </w:pPr>
      <w:r>
        <w:rPr>
          <w:rFonts w:ascii="Arial" w:hAnsi="Arial"/>
          <w:b/>
          <w:sz w:val="20"/>
        </w:rPr>
        <w:t xml:space="preserve">Sources, scope, evidence. </w:t>
      </w:r>
      <w:r>
        <w:rPr>
          <w:rFonts w:ascii="Arial" w:hAnsi="Arial"/>
          <w:sz w:val="20"/>
        </w:rPr>
        <w:t>Link the authoritative sources, say what the Bot may change and what needs approval, and ask for links, screenshots or an action summary.</w:t>
      </w:r>
    </w:p>
    <w:p>
      <w:pPr>
        <w:pStyle w:val="ListBullet"/>
        <w:spacing w:after="80"/>
      </w:pPr>
      <w:r>
        <w:rPr>
          <w:rFonts w:ascii="Arial" w:hAnsi="Arial"/>
          <w:b/>
          <w:sz w:val="20"/>
        </w:rPr>
        <w:t xml:space="preserve">One owner per stage. </w:t>
      </w:r>
      <w:r>
        <w:rPr>
          <w:rFonts w:ascii="Arial" w:hAnsi="Arial"/>
          <w:sz w:val="20"/>
        </w:rPr>
        <w:t>In a group chat, @mention the Bot that owns the request; use @everyone sparingly.</w:t>
      </w:r>
    </w:p>
    <w:p>
      <w:pPr>
        <w:keepNext/>
        <w:spacing w:before="280" w:after="120"/>
      </w:pPr>
      <w:r>
        <w:rPr>
          <w:rFonts w:ascii="Arial" w:hAnsi="Arial"/>
          <w:b/>
          <w:color w:val="000000"/>
          <w:sz w:val="26"/>
        </w:rPr>
        <w:t>III. SKILLS BEFORE ROUTINES</w:t>
      </w:r>
    </w:p>
    <w:p>
      <w:pPr>
        <w:spacing w:after="160"/>
      </w:pPr>
      <w:r>
        <w:t>SpaceXAI's recommended order is: do the task once in conversation, save what worked as a skill, and only then automate it with a routine. A complete skill states six things:</w:t>
      </w:r>
    </w:p>
    <w:tbl>
      <w:tblPr>
        <w:tblW w:type="auto" w:w="0"/>
        <w:jc w:val="center"/>
        <w:tblLook w:firstColumn="1" w:firstRow="1" w:lastColumn="0" w:lastRow="0" w:noHBand="0" w:noVBand="1" w:val="04A0"/>
      </w:tblPr>
      <w:tblGrid>
        <w:gridCol w:w="9936"/>
      </w:tblGrid>
      <w:tr>
        <w:tc>
          <w:tcPr>
            <w:tcW w:type="dxa" w:w="9936"/>
            <w:shd w:fill="F4F4F5"/>
            <w:tcMar>
              <w:top w:w="140" w:type="dxa"/>
              <w:bottom w:w="140" w:type="dxa"/>
              <w:left w:w="200" w:type="dxa"/>
              <w:right w:w="200" w:type="dxa"/>
            </w:tcMar>
            <w:tcBorders>
              <w:top w:val="none"/>
              <w:left w:val="single" w:sz="24" w:space="0" w:color="18181B"/>
              <w:bottom w:val="none"/>
              <w:right w:val="none"/>
            </w:tcBorders>
          </w:tcPr>
          <w:p>
            <w:pPr>
              <w:spacing w:before="40" w:after="40"/>
            </w:pPr>
            <w:r>
              <w:rPr>
                <w:rFonts w:ascii="Arial" w:hAnsi="Arial"/>
                <w:b/>
                <w:color w:val="000000"/>
                <w:sz w:val="21"/>
              </w:rPr>
              <w:t>THE SIX PARTS OF A SKILL [1]</w:t>
              <w:br/>
            </w:r>
            <w:r>
              <w:rPr>
                <w:rFonts w:ascii="Arial" w:hAnsi="Arial"/>
                <w:color w:val="282828"/>
                <w:sz w:val="20"/>
              </w:rPr>
              <w:t>1) when to use it  ·  2) inputs and access  ·  3) the sequence of work  ·  4) how to validate the result  ·  5) what to return  ·  6) which actions require approval.</w:t>
            </w:r>
          </w:p>
        </w:tc>
      </w:tr>
    </w:tbl>
    <w:p>
      <w:pPr>
        <w:spacing w:after="120"/>
      </w:pPr>
    </w:p>
    <w:p>
      <w:pPr>
        <w:keepNext/>
        <w:spacing w:before="280" w:after="120"/>
      </w:pPr>
      <w:r>
        <w:rPr>
          <w:rFonts w:ascii="Arial" w:hAnsi="Arial"/>
          <w:b/>
          <w:color w:val="000000"/>
          <w:sz w:val="26"/>
        </w:rPr>
        <w:t>IV. THE TRUST LADDER</w:t>
      </w:r>
    </w:p>
    <w:p>
      <w:pPr>
        <w:spacing w:after="160"/>
      </w:pPr>
      <w:r>
        <w:t>Tan describes the climb as going from home cook to running a chain of restaurants. In four rungs (our naming):</w:t>
      </w:r>
    </w:p>
    <w:p>
      <w:pPr>
        <w:spacing w:after="80"/>
        <w:ind w:left="360"/>
      </w:pPr>
      <w:r>
        <w:rPr>
          <w:rFonts w:ascii="Arial" w:hAnsi="Arial"/>
          <w:b/>
          <w:sz w:val="20"/>
        </w:rPr>
        <w:t xml:space="preserve">1. Home cook. </w:t>
      </w:r>
      <w:r>
        <w:rPr>
          <w:rFonts w:ascii="Arial" w:hAnsi="Arial"/>
          <w:sz w:val="20"/>
        </w:rPr>
        <w:t>You drive one agent and check everything. Delegate one skill at a time [4].</w:t>
      </w:r>
    </w:p>
    <w:p>
      <w:pPr>
        <w:spacing w:after="80"/>
        <w:ind w:left="360"/>
      </w:pPr>
      <w:r>
        <w:rPr>
          <w:rFonts w:ascii="Arial" w:hAnsi="Arial"/>
          <w:b/>
          <w:sz w:val="20"/>
        </w:rPr>
        <w:t xml:space="preserve">2. Eyes and hands. </w:t>
      </w:r>
      <w:r>
        <w:rPr>
          <w:rFonts w:ascii="Arial" w:hAnsi="Arial"/>
          <w:sz w:val="20"/>
        </w:rPr>
        <w:t>The agent can run the app, click, trace and verify its own work. Tan calls verification the most important skill in her toolkit; without it there is no loop, only you relaying screenshots [3].</w:t>
      </w:r>
    </w:p>
    <w:p>
      <w:pPr>
        <w:spacing w:after="80"/>
        <w:ind w:left="360"/>
      </w:pPr>
      <w:r>
        <w:rPr>
          <w:rFonts w:ascii="Arial" w:hAnsi="Arial"/>
          <w:b/>
          <w:sz w:val="20"/>
        </w:rPr>
        <w:t xml:space="preserve">3. Chef. </w:t>
      </w:r>
      <w:r>
        <w:rPr>
          <w:rFonts w:ascii="Arial" w:hAnsi="Arial"/>
          <w:sz w:val="20"/>
        </w:rPr>
        <w:t>Coordinator ("chief of staff") agents split the work and spawn workers. You review by sampling, not by tasting every dish [3].</w:t>
      </w:r>
    </w:p>
    <w:p>
      <w:pPr>
        <w:spacing w:after="80"/>
        <w:ind w:left="360"/>
      </w:pPr>
      <w:r>
        <w:rPr>
          <w:rFonts w:ascii="Arial" w:hAnsi="Arial"/>
          <w:b/>
          <w:sz w:val="20"/>
        </w:rPr>
        <w:t xml:space="preserve">4. Chain of restaurants. </w:t>
      </w:r>
      <w:r>
        <w:rPr>
          <w:rFonts w:ascii="Arial" w:hAnsi="Arial"/>
          <w:sz w:val="20"/>
        </w:rPr>
        <w:t>Triggers feed work in, verifier agents fuzz each change, agents merge, and you read the commit history in the morning [3].</w:t>
      </w:r>
    </w:p>
    <w:p>
      <w:pPr>
        <w:spacing w:before="80" w:after="240"/>
      </w:pPr>
      <w:r>
        <w:t>Climb only as far as the work is verifiable. Changes that can be reverted are two-way doors; data loss and external messages are one-way doors and stay behind approvals [3], [1].</w:t>
      </w:r>
    </w:p>
    <w:p>
      <w:pPr>
        <w:keepNext/>
        <w:spacing w:before="280" w:after="120"/>
      </w:pPr>
      <w:r>
        <w:rPr>
          <w:rFonts w:ascii="Arial" w:hAnsi="Arial"/>
          <w:b/>
          <w:color w:val="000000"/>
          <w:sz w:val="26"/>
        </w:rPr>
        <w:t>V. TWO LOOPS</w:t>
      </w:r>
    </w:p>
    <w:p>
      <w:pPr>
        <w:spacing w:after="160"/>
      </w:pPr>
      <w:r>
        <w:t>Tan splits the work into two loops [3]. The outer loop is Grok Bot: Bots connected to Slack, X, email and Linear whose routines watch the places where context appears — the context a human used to relay by hand. The inner loop is coordinator agents that delegate engineering work to sub-agents; she uses Cursor projects [3].</w:t>
      </w:r>
    </w:p>
    <w:p>
      <w:pPr>
        <w:pStyle w:val="ListBullet"/>
        <w:spacing w:after="80"/>
      </w:pPr>
      <w:r>
        <w:rPr>
          <w:rFonts w:ascii="Arial" w:hAnsi="Arial"/>
          <w:b/>
          <w:sz w:val="20"/>
        </w:rPr>
        <w:t xml:space="preserve">Connect them with projects, not chats. </w:t>
      </w:r>
      <w:r>
        <w:rPr>
          <w:rFonts w:ascii="Arial" w:hAnsi="Arial"/>
          <w:sz w:val="20"/>
        </w:rPr>
        <w:t>Thirty related reports go to one coordinator, so the shared root cause is seen once instead of being fixed thirty times [3].</w:t>
      </w:r>
    </w:p>
    <w:p>
      <w:pPr>
        <w:pStyle w:val="ListBullet"/>
        <w:spacing w:after="80"/>
      </w:pPr>
      <w:r>
        <w:rPr>
          <w:rFonts w:ascii="Arial" w:hAnsi="Arial"/>
          <w:b/>
          <w:sz w:val="20"/>
        </w:rPr>
        <w:t xml:space="preserve">Keep a buffer. </w:t>
      </w:r>
      <w:r>
        <w:rPr>
          <w:rFonts w:ascii="Arial" w:hAnsi="Arial"/>
          <w:sz w:val="20"/>
        </w:rPr>
        <w:t>For pattern hunting, let a routine append findings to a document and review it every few days, rather than spawning a fix for every finding [3].</w:t>
      </w:r>
    </w:p>
    <w:p>
      <w:pPr>
        <w:keepNext/>
        <w:spacing w:before="280" w:after="120"/>
      </w:pPr>
      <w:r>
        <w:rPr>
          <w:rFonts w:ascii="Arial" w:hAnsi="Arial"/>
          <w:b/>
          <w:color w:val="000000"/>
          <w:sz w:val="26"/>
        </w:rPr>
        <w:t>VI. GUARDRAILS THAT LET YOU SLEEP</w:t>
      </w:r>
    </w:p>
    <w:tbl>
      <w:tblPr>
        <w:tblW w:type="auto" w:w="0"/>
        <w:jc w:val="center"/>
        <w:tblLook w:firstColumn="1" w:firstRow="1" w:lastColumn="0" w:lastRow="0" w:noHBand="0" w:noVBand="1" w:val="04A0"/>
      </w:tblPr>
      <w:tblGrid>
        <w:gridCol w:w="9936"/>
      </w:tblGrid>
      <w:tr>
        <w:tc>
          <w:tcPr>
            <w:tcW w:type="dxa" w:w="9936"/>
            <w:shd w:fill="F4F4F5"/>
            <w:tcMar>
              <w:top w:w="140" w:type="dxa"/>
              <w:bottom w:w="140" w:type="dxa"/>
              <w:left w:w="200" w:type="dxa"/>
              <w:right w:w="200" w:type="dxa"/>
            </w:tcMar>
            <w:tcBorders>
              <w:top w:val="none"/>
              <w:left w:val="single" w:sz="24" w:space="0" w:color="18181B"/>
              <w:bottom w:val="none"/>
              <w:right w:val="none"/>
            </w:tcBorders>
          </w:tcPr>
          <w:p>
            <w:pPr>
              <w:spacing w:before="40" w:after="40"/>
            </w:pPr>
            <w:r>
              <w:rPr>
                <w:rFonts w:ascii="Arial" w:hAnsi="Arial"/>
                <w:b/>
                <w:color w:val="000000"/>
                <w:sz w:val="21"/>
              </w:rPr>
              <w:t>ALWAYS STOPS FOR APPROVAL BY DEFAULT [1]</w:t>
              <w:br/>
            </w:r>
            <w:r>
              <w:rPr>
                <w:rFonts w:ascii="Arial" w:hAnsi="Arial"/>
                <w:color w:val="282828"/>
                <w:sz w:val="20"/>
              </w:rPr>
              <w:t>sending messages or invitations  ·  publishing  ·  purchases and transfers  ·  deleting or overwriting data  ·  changing permissions  ·  production changes  ·  accepting legal terms.</w:t>
            </w:r>
          </w:p>
        </w:tc>
      </w:tr>
    </w:tbl>
    <w:p>
      <w:pPr>
        <w:spacing w:after="120"/>
      </w:pPr>
    </w:p>
    <w:p>
      <w:pPr>
        <w:pStyle w:val="ListBullet"/>
        <w:spacing w:after="80"/>
      </w:pPr>
      <w:r>
        <w:rPr>
          <w:rFonts w:ascii="Arial" w:hAnsi="Arial"/>
          <w:b/>
          <w:sz w:val="20"/>
        </w:rPr>
        <w:t xml:space="preserve">Approval options: </w:t>
      </w:r>
      <w:r>
        <w:rPr>
          <w:rFonts w:ascii="Arial" w:hAnsi="Arial"/>
          <w:sz w:val="20"/>
        </w:rPr>
        <w:t>Allow once, Always allow (saves a rule) or Deny. In auto-review, "Ask first" rules beat "Allow automatically" rules. Write them narrow — never "allow everything in the browser" [1].</w:t>
      </w:r>
    </w:p>
    <w:p>
      <w:pPr>
        <w:pStyle w:val="ListBullet"/>
        <w:spacing w:after="80"/>
      </w:pPr>
      <w:r>
        <w:rPr>
          <w:rFonts w:ascii="Arial" w:hAnsi="Arial"/>
          <w:b/>
          <w:sz w:val="20"/>
        </w:rPr>
        <w:t xml:space="preserve">Credentials: </w:t>
      </w:r>
      <w:r>
        <w:rPr>
          <w:rFonts w:ascii="Arial" w:hAnsi="Arial"/>
          <w:sz w:val="20"/>
        </w:rPr>
        <w:t>passwords, 2FA codes, CAPTCHAs and payment confirmations are entered by you in the Agent Computer, never pasted into chat [1].</w:t>
      </w:r>
    </w:p>
    <w:p>
      <w:pPr>
        <w:pStyle w:val="ListBullet"/>
        <w:spacing w:after="80"/>
      </w:pPr>
      <w:r>
        <w:rPr>
          <w:rFonts w:ascii="Arial" w:hAnsi="Arial"/>
          <w:b/>
          <w:sz w:val="20"/>
        </w:rPr>
        <w:t xml:space="preserve">Routine hygiene: </w:t>
      </w:r>
      <w:r>
        <w:rPr>
          <w:rFonts w:ascii="Arial" w:hAnsi="Arial"/>
          <w:sz w:val="20"/>
        </w:rPr>
        <w:t>a narrow event rule with a clear response; a no-data and stale-data rule; idempotent retries; a place to report partial completion; a re-test after any website or connector change [1].</w:t>
      </w:r>
    </w:p>
    <w:p>
      <w:pPr>
        <w:pStyle w:val="ListBullet"/>
        <w:spacing w:after="80"/>
      </w:pPr>
      <w:r>
        <w:rPr>
          <w:rFonts w:ascii="Arial" w:hAnsi="Arial"/>
          <w:b/>
          <w:sz w:val="20"/>
        </w:rPr>
        <w:t xml:space="preserve">Least privilege: </w:t>
      </w:r>
      <w:r>
        <w:rPr>
          <w:rFonts w:ascii="Arial" w:hAnsi="Arial"/>
          <w:sz w:val="20"/>
        </w:rPr>
        <w:t>start read-only, draft before acting, connect only the tools the job needs, review connectors and routines regularly [1].</w:t>
      </w:r>
    </w:p>
    <w:p>
      <w:pPr>
        <w:keepNext/>
        <w:spacing w:before="280" w:after="120"/>
      </w:pPr>
      <w:r>
        <w:rPr>
          <w:rFonts w:ascii="Arial" w:hAnsi="Arial"/>
          <w:b/>
          <w:color w:val="000000"/>
          <w:sz w:val="26"/>
        </w:rPr>
        <w:t>VII. FAILURE MODES</w:t>
      </w:r>
    </w:p>
    <w:tbl>
      <w:tblPr>
        <w:tblW w:type="auto" w:w="0"/>
        <w:jc w:val="center"/>
        <w:tblLayout w:type="fixed"/>
        <w:tblLook w:firstColumn="1" w:firstRow="1" w:lastColumn="0" w:lastRow="0" w:noHBand="0" w:noVBand="1" w:val="04A0"/>
      </w:tblPr>
      <w:tblGrid>
        <w:gridCol w:w="4968"/>
        <w:gridCol w:w="4968"/>
      </w:tblGrid>
      <w:tr>
        <w:tc>
          <w:tcPr>
            <w:tcW w:type="dxa" w:w="3168"/>
            <w:shd w:fill="18181B"/>
            <w:tcMar>
              <w:top w:w="120" w:type="dxa"/>
              <w:bottom w:w="120" w:type="dxa"/>
              <w:left w:w="150" w:type="dxa"/>
              <w:right w:w="150" w:type="dxa"/>
            </w:tcMar>
          </w:tcPr>
          <w:p>
            <w:r>
              <w:rPr>
                <w:rFonts w:ascii="Arial" w:hAnsi="Arial"/>
                <w:b/>
                <w:color w:val="FFFFFF"/>
                <w:sz w:val="20"/>
              </w:rPr>
              <w:t>Failure Mode</w:t>
            </w:r>
          </w:p>
        </w:tc>
        <w:tc>
          <w:tcPr>
            <w:tcW w:type="dxa" w:w="6624"/>
            <w:shd w:fill="18181B"/>
            <w:tcMar>
              <w:top w:w="120" w:type="dxa"/>
              <w:bottom w:w="120" w:type="dxa"/>
              <w:left w:w="150" w:type="dxa"/>
              <w:right w:w="150" w:type="dxa"/>
            </w:tcMar>
          </w:tcPr>
          <w:p>
            <w:r>
              <w:rPr>
                <w:rFonts w:ascii="Arial" w:hAnsi="Arial"/>
                <w:b/>
                <w:color w:val="FFFFFF"/>
                <w:sz w:val="20"/>
              </w:rPr>
              <w:t>Description &amp; Mitigation</w:t>
            </w:r>
          </w:p>
        </w:tc>
      </w:tr>
      <w:tr>
        <w:tc>
          <w:tcPr>
            <w:tcW w:type="dxa" w:w="3168"/>
            <w:shd w:fill="F9F9FB"/>
            <w:tcMar>
              <w:top w:w="100" w:type="dxa"/>
              <w:bottom w:w="100" w:type="dxa"/>
              <w:left w:w="150" w:type="dxa"/>
              <w:right w:w="150" w:type="dxa"/>
            </w:tcMar>
            <w:tcBorders>
              <w:top w:val="single" w:sz="4" w:space="0" w:color="E4E4E7"/>
              <w:bottom w:val="single" w:sz="4" w:space="0" w:color="E4E4E7"/>
              <w:left w:val="none"/>
              <w:right w:val="none"/>
            </w:tcBorders>
          </w:tcPr>
          <w:p>
            <w:r>
              <w:rPr>
                <w:rFonts w:ascii="Arial" w:hAnsi="Arial"/>
                <w:color w:val="1E1E1E"/>
                <w:sz w:val="19"/>
              </w:rPr>
              <w:t>Shortcuts</w:t>
            </w:r>
          </w:p>
        </w:tc>
        <w:tc>
          <w:tcPr>
            <w:tcW w:type="dxa" w:w="6624"/>
            <w:shd w:fill="F9F9FB"/>
            <w:tcMar>
              <w:top w:w="100" w:type="dxa"/>
              <w:bottom w:w="100" w:type="dxa"/>
              <w:left w:w="150" w:type="dxa"/>
              <w:right w:w="150" w:type="dxa"/>
            </w:tcMar>
            <w:tcBorders>
              <w:top w:val="single" w:sz="4" w:space="0" w:color="E4E4E7"/>
              <w:bottom w:val="single" w:sz="4" w:space="0" w:color="E4E4E7"/>
              <w:left w:val="none"/>
              <w:right w:val="none"/>
            </w:tcBorders>
          </w:tcPr>
          <w:p>
            <w:r>
              <w:rPr>
                <w:rFonts w:ascii="Arial" w:hAnsi="Arial"/>
                <w:color w:val="1E1E1E"/>
                <w:sz w:val="19"/>
              </w:rPr>
              <w:t>Agents take the easy path. Make the easy thing the right thing with constraints and lint rules [3].</w:t>
            </w:r>
          </w:p>
        </w:tc>
      </w:tr>
      <w:tr>
        <w:tc>
          <w:tcPr>
            <w:tcW w:type="dxa" w:w="3168"/>
            <w:shd w:fill="FFFFFF"/>
            <w:tcMar>
              <w:top w:w="100" w:type="dxa"/>
              <w:bottom w:w="100" w:type="dxa"/>
              <w:left w:w="150" w:type="dxa"/>
              <w:right w:w="150" w:type="dxa"/>
            </w:tcMar>
            <w:tcBorders>
              <w:top w:val="single" w:sz="4" w:space="0" w:color="E4E4E7"/>
              <w:bottom w:val="single" w:sz="4" w:space="0" w:color="E4E4E7"/>
              <w:left w:val="none"/>
              <w:right w:val="none"/>
            </w:tcBorders>
          </w:tcPr>
          <w:p>
            <w:r>
              <w:rPr>
                <w:rFonts w:ascii="Arial" w:hAnsi="Arial"/>
                <w:color w:val="1E1E1E"/>
                <w:sz w:val="19"/>
              </w:rPr>
              <w:t>Rebuilding the world</w:t>
            </w:r>
          </w:p>
        </w:tc>
        <w:tc>
          <w:tcPr>
            <w:tcW w:type="dxa" w:w="6624"/>
            <w:shd w:fill="FFFFFF"/>
            <w:tcMar>
              <w:top w:w="100" w:type="dxa"/>
              <w:bottom w:w="100" w:type="dxa"/>
              <w:left w:w="150" w:type="dxa"/>
              <w:right w:w="150" w:type="dxa"/>
            </w:tcMar>
            <w:tcBorders>
              <w:top w:val="single" w:sz="4" w:space="0" w:color="E4E4E7"/>
              <w:bottom w:val="single" w:sz="4" w:space="0" w:color="E4E4E7"/>
              <w:left w:val="none"/>
              <w:right w:val="none"/>
            </w:tcBorders>
          </w:tcPr>
          <w:p>
            <w:r>
              <w:rPr>
                <w:rFonts w:ascii="Arial" w:hAnsi="Arial"/>
                <w:color w:val="1E1E1E"/>
                <w:sz w:val="19"/>
              </w:rPr>
              <w:t>Every run writes its own verification script. Ship it inside the skill as a CLI [3].</w:t>
            </w:r>
          </w:p>
        </w:tc>
      </w:tr>
      <w:tr>
        <w:tc>
          <w:tcPr>
            <w:tcW w:type="dxa" w:w="3168"/>
            <w:shd w:fill="F9F9FB"/>
            <w:tcMar>
              <w:top w:w="100" w:type="dxa"/>
              <w:bottom w:w="100" w:type="dxa"/>
              <w:left w:w="150" w:type="dxa"/>
              <w:right w:w="150" w:type="dxa"/>
            </w:tcMar>
            <w:tcBorders>
              <w:top w:val="single" w:sz="4" w:space="0" w:color="E4E4E7"/>
              <w:bottom w:val="single" w:sz="4" w:space="0" w:color="E4E4E7"/>
              <w:left w:val="none"/>
              <w:right w:val="none"/>
            </w:tcBorders>
          </w:tcPr>
          <w:p>
            <w:r>
              <w:rPr>
                <w:rFonts w:ascii="Arial" w:hAnsi="Arial"/>
                <w:color w:val="1E1E1E"/>
                <w:sz w:val="19"/>
              </w:rPr>
              <w:t>Memory drift</w:t>
            </w:r>
          </w:p>
        </w:tc>
        <w:tc>
          <w:tcPr>
            <w:tcW w:type="dxa" w:w="6624"/>
            <w:shd w:fill="F9F9FB"/>
            <w:tcMar>
              <w:top w:w="100" w:type="dxa"/>
              <w:bottom w:w="100" w:type="dxa"/>
              <w:left w:w="150" w:type="dxa"/>
              <w:right w:w="150" w:type="dxa"/>
            </w:tcMar>
            <w:tcBorders>
              <w:top w:val="single" w:sz="4" w:space="0" w:color="E4E4E7"/>
              <w:bottom w:val="single" w:sz="4" w:space="0" w:color="E4E4E7"/>
              <w:left w:val="none"/>
              <w:right w:val="none"/>
            </w:tcBorders>
          </w:tcPr>
          <w:p>
            <w:r>
              <w:rPr>
                <w:rFonts w:ascii="Arial" w:hAnsi="Arial"/>
                <w:color w:val="1E1E1E"/>
                <w:sz w:val="19"/>
              </w:rPr>
              <w:t>Memory is not authoritative. Cite live sources [1].</w:t>
            </w:r>
          </w:p>
        </w:tc>
      </w:tr>
      <w:tr>
        <w:tc>
          <w:tcPr>
            <w:tcW w:type="dxa" w:w="3168"/>
            <w:shd w:fill="FFFFFF"/>
            <w:tcMar>
              <w:top w:w="100" w:type="dxa"/>
              <w:bottom w:w="100" w:type="dxa"/>
              <w:left w:w="150" w:type="dxa"/>
              <w:right w:w="150" w:type="dxa"/>
            </w:tcMar>
            <w:tcBorders>
              <w:top w:val="single" w:sz="4" w:space="0" w:color="E4E4E7"/>
              <w:bottom w:val="single" w:sz="4" w:space="0" w:color="E4E4E7"/>
              <w:left w:val="none"/>
              <w:right w:val="none"/>
            </w:tcBorders>
          </w:tcPr>
          <w:p>
            <w:r>
              <w:rPr>
                <w:rFonts w:ascii="Arial" w:hAnsi="Arial"/>
                <w:color w:val="1E1E1E"/>
                <w:sz w:val="19"/>
              </w:rPr>
              <w:t>Broad triggers</w:t>
            </w:r>
          </w:p>
        </w:tc>
        <w:tc>
          <w:tcPr>
            <w:tcW w:type="dxa" w:w="6624"/>
            <w:shd w:fill="FFFFFF"/>
            <w:tcMar>
              <w:top w:w="100" w:type="dxa"/>
              <w:bottom w:w="100" w:type="dxa"/>
              <w:left w:w="150" w:type="dxa"/>
              <w:right w:w="150" w:type="dxa"/>
            </w:tcMar>
            <w:tcBorders>
              <w:top w:val="single" w:sz="4" w:space="0" w:color="E4E4E7"/>
              <w:bottom w:val="single" w:sz="4" w:space="0" w:color="E4E4E7"/>
              <w:left w:val="none"/>
              <w:right w:val="none"/>
            </w:tcBorders>
          </w:tcPr>
          <w:p>
            <w:r>
              <w:rPr>
                <w:rFonts w:ascii="Arial" w:hAnsi="Arial"/>
                <w:color w:val="1E1E1E"/>
                <w:sz w:val="19"/>
              </w:rPr>
              <w:t>"Every new message" floods the Bot. Use a narrow match and a clear response [1].</w:t>
            </w:r>
          </w:p>
        </w:tc>
      </w:tr>
      <w:tr>
        <w:tc>
          <w:tcPr>
            <w:tcW w:type="dxa" w:w="3168"/>
            <w:shd w:fill="F9F9FB"/>
            <w:tcMar>
              <w:top w:w="100" w:type="dxa"/>
              <w:bottom w:w="100" w:type="dxa"/>
              <w:left w:w="150" w:type="dxa"/>
              <w:right w:w="150" w:type="dxa"/>
            </w:tcMar>
            <w:tcBorders>
              <w:top w:val="single" w:sz="4" w:space="0" w:color="E4E4E7"/>
              <w:bottom w:val="single" w:sz="4" w:space="0" w:color="E4E4E7"/>
              <w:left w:val="none"/>
              <w:right w:val="none"/>
            </w:tcBorders>
          </w:tcPr>
          <w:p>
            <w:r>
              <w:rPr>
                <w:rFonts w:ascii="Arial" w:hAnsi="Arial"/>
                <w:color w:val="1E1E1E"/>
                <w:sz w:val="19"/>
              </w:rPr>
              <w:t>Landing before reading</w:t>
            </w:r>
          </w:p>
        </w:tc>
        <w:tc>
          <w:tcPr>
            <w:tcW w:type="dxa" w:w="6624"/>
            <w:shd w:fill="F9F9FB"/>
            <w:tcMar>
              <w:top w:w="100" w:type="dxa"/>
              <w:bottom w:w="100" w:type="dxa"/>
              <w:left w:w="150" w:type="dxa"/>
              <w:right w:w="150" w:type="dxa"/>
            </w:tcMar>
            <w:tcBorders>
              <w:top w:val="single" w:sz="4" w:space="0" w:color="E4E4E7"/>
              <w:bottom w:val="single" w:sz="4" w:space="0" w:color="E4E4E7"/>
              <w:left w:val="none"/>
              <w:right w:val="none"/>
            </w:tcBorders>
          </w:tcPr>
          <w:p>
            <w:r>
              <w:rPr>
                <w:rFonts w:ascii="Arial" w:hAnsi="Arial"/>
                <w:color w:val="1E1E1E"/>
                <w:sz w:val="19"/>
              </w:rPr>
              <w:t>At rung 4, pull requests land before you read them [4]. Review the history, revert, and turn the lesson into a rule — fix the kitchen, not the cook [3].</w:t>
            </w:r>
          </w:p>
        </w:tc>
      </w:tr>
    </w:tbl>
    <w:p>
      <w:pPr>
        <w:spacing w:after="120"/>
      </w:pPr>
    </w:p>
    <w:p>
      <w:pPr>
        <w:keepNext/>
        <w:spacing w:before="280" w:after="120"/>
      </w:pPr>
      <w:r>
        <w:rPr>
          <w:rFonts w:ascii="Arial" w:hAnsi="Arial"/>
          <w:b/>
          <w:color w:val="000000"/>
          <w:sz w:val="26"/>
        </w:rPr>
        <w:t>VIII. THE LOOP THAT MAKES IT REPEATABLE</w:t>
      </w:r>
    </w:p>
    <w:p>
      <w:pPr>
        <w:spacing w:after="240"/>
      </w:pPr>
      <w:r>
        <w:t>Do the job once by hand with a Bot. Save it as a skill with all six parts. Test it on safe inputs. Attach a routine with a narrow trigger and an approval stop. Sample the output, and every time an agent fails the same way twice, change the environment — a lint rule, a script, a sharper skill — rather than the prompt. Then climb one rung.</w:t>
      </w:r>
    </w:p>
    <w:p>
      <w:pPr>
        <w:keepNext/>
        <w:spacing w:before="280" w:after="120"/>
      </w:pPr>
      <w:r>
        <w:rPr>
          <w:rFonts w:ascii="Arial" w:hAnsi="Arial"/>
          <w:b/>
          <w:color w:val="000000"/>
          <w:sz w:val="26"/>
        </w:rPr>
        <w:t>IX. A COPY-READY PROMPT</w:t>
      </w:r>
    </w:p>
    <w:tbl>
      <w:tblPr>
        <w:tblW w:type="auto" w:w="0"/>
        <w:jc w:val="center"/>
        <w:tblLook w:firstColumn="1" w:firstRow="1" w:lastColumn="0" w:lastRow="0" w:noHBand="0" w:noVBand="1" w:val="04A0"/>
      </w:tblPr>
      <w:tblGrid>
        <w:gridCol w:w="9936"/>
      </w:tblGrid>
      <w:tr>
        <w:tc>
          <w:tcPr>
            <w:tcW w:type="dxa" w:w="9936"/>
            <w:shd w:fill="F4F4F5"/>
            <w:tcMar>
              <w:top w:w="140" w:type="dxa"/>
              <w:bottom w:w="140" w:type="dxa"/>
              <w:left w:w="180" w:type="dxa"/>
              <w:right w:w="180" w:type="dxa"/>
            </w:tcMar>
            <w:tcBorders>
              <w:top w:val="single" w:sz="6" w:space="0" w:color="E4E4E7"/>
              <w:left w:val="single" w:sz="6" w:space="0" w:color="E4E4E7"/>
              <w:bottom w:val="single" w:sz="6" w:space="0" w:color="E4E4E7"/>
              <w:right w:val="single" w:sz="6" w:space="0" w:color="E4E4E7"/>
            </w:tcBorders>
          </w:tcPr>
          <w:p>
            <w:pPr>
              <w:spacing w:before="40" w:after="40" w:line="276" w:lineRule="auto"/>
            </w:pPr>
            <w:r>
              <w:rPr>
                <w:rFonts w:ascii="Consolas" w:hAnsi="Consolas"/>
                <w:color w:val="1E1E1E"/>
                <w:sz w:val="19"/>
              </w:rPr>
              <w:t>DESCRIPTION - permanent</w:t>
              <w:br/>
              <w:t>You are &lt;Bot&gt;. You own one outcome:</w:t>
              <w:br/>
              <w:t xml:space="preserve">  &lt;end-to-end result&gt;.</w:t>
              <w:br/>
              <w:t>Always: &lt;rules, sources of truth&gt;.</w:t>
              <w:br/>
              <w:t>Never without approval: send, publish,</w:t>
              <w:br/>
              <w:t xml:space="preserve">  buy, delete, change production.</w:t>
              <w:br/>
              <w:br/>
              <w:t>MESSAGE - this job</w:t>
              <w:br/>
              <w:t>&lt;task&gt; &lt;the result, first&gt; &lt;/task&gt;</w:t>
              <w:br/>
              <w:t>Sources: &lt;links to systems of record&gt;</w:t>
              <w:br/>
              <w:t>May change: &lt;...&gt; May not: &lt;...&gt;</w:t>
              <w:br/>
              <w:t>Stop before: &lt;first irreversible step&gt;</w:t>
              <w:br/>
              <w:t>Return: links, screenshots, summary;</w:t>
              <w:br/>
              <w:t xml:space="preserve">  hand off to @owner&gt;.</w:t>
              <w:br/>
              <w:br/>
              <w:t>SKILL - ROUTINE</w:t>
              <w:br/>
              <w:t>Skill: when · inputs · steps · validate</w:t>
              <w:br/>
              <w:t xml:space="preserve">  · output · approvals.</w:t>
              <w:br/>
              <w:t>Routine: &lt;schedule+timezone | narrow</w:t>
              <w:br/>
              <w:t xml:space="preserve">  event rule&gt; -&gt; run &lt;skill&gt;. No fresh</w:t>
              <w:br/>
              <w:t xml:space="preserve">  data? Report it; never use stale data.</w:t>
            </w:r>
          </w:p>
        </w:tc>
      </w:tr>
    </w:tbl>
    <w:p>
      <w:pPr>
        <w:spacing w:after="120"/>
      </w:pPr>
    </w:p>
    <w:p>
      <w:pPr>
        <w:keepNext/>
        <w:spacing w:before="280" w:after="120"/>
      </w:pPr>
      <w:r>
        <w:rPr>
          <w:rFonts w:ascii="Arial" w:hAnsi="Arial"/>
          <w:b/>
          <w:color w:val="000000"/>
          <w:sz w:val="26"/>
        </w:rPr>
        <w:t>X. A STARTER TEAM</w:t>
      </w:r>
    </w:p>
    <w:p>
      <w:pPr>
        <w:spacing w:after="160"/>
      </w:pPr>
      <w:r>
        <w:t>Start minimal and add Bots only for stable specialist roles [1]. A sensible first team, using roles from SpaceXAI's own use-case list [1]:</w:t>
      </w:r>
    </w:p>
    <w:p>
      <w:pPr>
        <w:pStyle w:val="ListBullet"/>
        <w:spacing w:after="80"/>
      </w:pPr>
      <w:r>
        <w:rPr>
          <w:rFonts w:ascii="Arial" w:hAnsi="Arial"/>
          <w:b/>
          <w:sz w:val="20"/>
        </w:rPr>
        <w:t xml:space="preserve">Chief of Staff — </w:t>
      </w:r>
      <w:r>
        <w:rPr>
          <w:rFonts w:ascii="Arial" w:hAnsi="Arial"/>
          <w:sz w:val="20"/>
        </w:rPr>
        <w:t>a digest of Slack, email, calendar and meeting notes mapped to your priorities; asks before messaging or editing.</w:t>
      </w:r>
    </w:p>
    <w:p>
      <w:pPr>
        <w:pStyle w:val="ListBullet"/>
        <w:spacing w:after="80"/>
      </w:pPr>
      <w:r>
        <w:rPr>
          <w:rFonts w:ascii="Arial" w:hAnsi="Arial"/>
          <w:b/>
          <w:sz w:val="20"/>
        </w:rPr>
        <w:t xml:space="preserve">Bug Reproduction — </w:t>
      </w:r>
      <w:r>
        <w:rPr>
          <w:rFonts w:ascii="Arial" w:hAnsi="Arial"/>
          <w:sz w:val="20"/>
        </w:rPr>
        <w:t>turns reports into repro packs; asks before using production data.</w:t>
      </w:r>
    </w:p>
    <w:p>
      <w:pPr>
        <w:pStyle w:val="ListBullet"/>
        <w:spacing w:after="80"/>
      </w:pPr>
      <w:r>
        <w:rPr>
          <w:rFonts w:ascii="Arial" w:hAnsi="Arial"/>
          <w:b/>
          <w:sz w:val="20"/>
        </w:rPr>
        <w:t xml:space="preserve">Product Performance — </w:t>
      </w:r>
      <w:r>
        <w:rPr>
          <w:rFonts w:ascii="Arial" w:hAnsi="Arial"/>
          <w:sz w:val="20"/>
        </w:rPr>
        <w:t>investigates regressions with traces and evidence; asks before production changes.</w:t>
      </w:r>
    </w:p>
    <w:p>
      <w:pPr>
        <w:spacing w:before="80" w:after="280"/>
      </w:pPr>
      <w:r>
        <w:t>Put them in one group chat with a single coordinator. Tan runs the same pattern at scale: more than ten chief-of-staff agents, each owning one area — desktop performance, user-reported bugs, an experimental rewrite [3].</w:t>
      </w:r>
    </w:p>
    <w:p>
      <w:pPr>
        <w:keepNext/>
        <w:spacing w:before="280" w:after="120"/>
      </w:pPr>
      <w:r>
        <w:rPr>
          <w:rFonts w:ascii="Arial" w:hAnsi="Arial"/>
          <w:b/>
          <w:color w:val="000000"/>
          <w:sz w:val="26"/>
        </w:rPr>
        <w:t>REFERENCES</w:t>
      </w:r>
    </w:p>
    <w:p>
      <w:pPr>
        <w:spacing w:after="80"/>
        <w:ind w:left="360" w:hanging="360"/>
      </w:pPr>
      <w:r>
        <w:rPr>
          <w:rFonts w:ascii="Arial" w:hAnsi="Arial"/>
          <w:color w:val="505050"/>
          <w:sz w:val="18"/>
        </w:rPr>
        <w:t>[1] SpaceXAI, "Grok Bot" documentation: Create and manage Bots; Message and collaborate; Skills and routines; Approvals, security, and privacy; Use cases. docs.x.ai/grok-bot, accessed 3 Oct. 2026.</w:t>
      </w:r>
    </w:p>
    <w:p>
      <w:pPr>
        <w:spacing w:after="80"/>
        <w:ind w:left="360" w:hanging="360"/>
      </w:pPr>
      <w:r>
        <w:rPr>
          <w:rFonts w:ascii="Arial" w:hAnsi="Arial"/>
          <w:color w:val="505050"/>
          <w:sz w:val="18"/>
        </w:rPr>
        <w:t>[2] GIGAZINE, "SpaceXAI releases Grok Bot," 12 Aug. 2026. gigazine.net/gsc_news/en/20260812-spacexai-grok-bot</w:t>
      </w:r>
    </w:p>
    <w:p>
      <w:pPr>
        <w:spacing w:after="80"/>
        <w:ind w:left="360" w:hanging="360"/>
      </w:pPr>
      <w:r>
        <w:rPr>
          <w:rFonts w:ascii="Arial" w:hAnsi="Arial"/>
          <w:color w:val="505050"/>
          <w:sz w:val="18"/>
        </w:rPr>
        <w:t>[3] M. Pocock and L. Tan (@poteto), "Poteto (creator of pstack) on shipping 1,000's of PR's a month at SpaceX," live stream, YouTube, 2 Oct. 2026. youtube.com/watch?v=MN9dGgmLyso</w:t>
      </w:r>
    </w:p>
    <w:p>
      <w:pPr>
        <w:spacing w:after="80"/>
        <w:ind w:left="360" w:hanging="360"/>
      </w:pPr>
      <w:r>
        <w:rPr>
          <w:rFonts w:ascii="Arial" w:hAnsi="Arial"/>
          <w:color w:val="505050"/>
          <w:sz w:val="18"/>
        </w:rPr>
        <w:t>[4] Behind the Craft, "The Grok Bot team's 14 best bots" (Peng Zheng, Lauren Tan), creatoreconomy.so,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