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INFORME EJECUTIVO</w:t>
      </w:r>
    </w:p>
    <w:p>
      <w:pPr>
        <w:spacing w:after="40"/>
        <w:jc w:val="center"/>
      </w:pPr>
      <w:r>
        <w:rPr>
          <w:rFonts w:ascii="Calibri" w:cs="Calibri" w:eastAsia="Calibri" w:hAnsi="Calibri"/>
          <w:i/>
          <w:iCs/>
          <w:sz w:val="22"/>
          <w:szCs w:val="22"/>
        </w:rPr>
        <w:t xml:space="preserve">Predicción de rotación de personal mediante aprendizaje supervisado</w:t>
      </w:r>
    </w:p>
    <w:p>
      <w:pPr>
        <w:pBdr>
          <w:bottom w:val="single" w:color="1F3864" w:sz="6" w:space="6"/>
        </w:pBdr>
        <w:spacing w:after="220"/>
        <w:jc w:val="center"/>
      </w:pPr>
      <w:r>
        <w:rPr>
          <w:rFonts w:ascii="Calibri" w:cs="Calibri" w:eastAsia="Calibri" w:hAnsi="Calibri"/>
          <w:color w:val="595959"/>
          <w:sz w:val="18"/>
          <w:szCs w:val="18"/>
        </w:rPr>
        <w:t xml:space="preserve">Ejercicio Práctico Semana 1 · Máster en Data Science y Machine Learning · Septiembre 2026</w:t>
      </w:r>
    </w:p>
    <w:p>
      <w:pPr>
        <w:pStyle w:val="Heading1"/>
        <w:spacing w:after="80" w:before="180"/>
      </w:pPr>
      <w:r>
        <w:rPr>
          <w:rFonts w:ascii="Calibri" w:cs="Calibri" w:eastAsia="Calibri" w:hAnsi="Calibri"/>
          <w:b/>
          <w:bCs/>
          <w:color w:val="1F3864"/>
          <w:sz w:val="23"/>
          <w:szCs w:val="23"/>
        </w:rPr>
        <w:t xml:space="preserve">1. El problema</w:t>
      </w:r>
    </w:p>
    <w:p>
      <w:pPr>
        <w:spacing w:after="100" w:line="254"/>
        <w:jc w:val="both"/>
      </w:pPr>
      <w:r>
        <w:rPr>
          <w:rFonts w:ascii="Calibri" w:cs="Calibri" w:eastAsia="Calibri" w:hAnsi="Calibri"/>
          <w:sz w:val="19"/>
          <w:szCs w:val="19"/>
        </w:rPr>
        <w:t xml:space="preserve">Recursos Humanos está perdiendo empleados sin verlo venir. No hay señales de alerta que permitan actuar a tiempo, y cada salida no anticipada implica reemplazar a la persona, volver a capacitar y perder conocimiento que no queda documentado en ningún manual. Para entender si esto se puede anticipar, el área compartió el historial de </w:t>
      </w:r>
      <w:r>
        <w:rPr>
          <w:rFonts w:ascii="Calibri" w:cs="Calibri" w:eastAsia="Calibri" w:hAnsi="Calibri"/>
          <w:b/>
          <w:bCs/>
          <w:sz w:val="19"/>
          <w:szCs w:val="19"/>
        </w:rPr>
        <w:t xml:space="preserve">1.470 empleados</w:t>
      </w:r>
      <w:r>
        <w:rPr>
          <w:rFonts w:ascii="Calibri" w:cs="Calibri" w:eastAsia="Calibri" w:hAnsi="Calibri"/>
          <w:sz w:val="19"/>
          <w:szCs w:val="19"/>
        </w:rPr>
        <w:t xml:space="preserve"> con 35 variables —demografía, compensación, satisfacción, trayectoria— y, sobre todo, el dato que hasta ahora solo se conocía después de los hechos: quién terminó abandonando la empresa (variable </w:t>
      </w:r>
      <w:r>
        <w:rPr>
          <w:rFonts w:ascii="Calibri" w:cs="Calibri" w:eastAsia="Calibri" w:hAnsi="Calibri"/>
          <w:i/>
          <w:iCs/>
          <w:sz w:val="19"/>
          <w:szCs w:val="19"/>
        </w:rPr>
        <w:t xml:space="preserve">Attrition</w:t>
      </w:r>
      <w:r>
        <w:rPr>
          <w:rFonts w:ascii="Calibri" w:cs="Calibri" w:eastAsia="Calibri" w:hAnsi="Calibri"/>
          <w:sz w:val="19"/>
          <w:szCs w:val="19"/>
        </w:rPr>
        <w:t xml:space="preserve">). El encargo fue construir un modelo que la prediga y, más importante todavía, argumentar qué modelo conviene usar para esta decisión de negocio en particular.</w:t>
      </w:r>
    </w:p>
    <w:p>
      <w:pPr>
        <w:spacing w:after="100" w:line="254"/>
        <w:jc w:val="both"/>
      </w:pPr>
      <w:r>
        <w:rPr>
          <w:rFonts w:ascii="Calibri" w:cs="Calibri" w:eastAsia="Calibri" w:hAnsi="Calibri"/>
          <w:sz w:val="19"/>
          <w:szCs w:val="19"/>
        </w:rPr>
        <w:t xml:space="preserve">Lo primero que aparece en el análisis exploratorio ya condiciona todo lo demás: el dataset está </w:t>
      </w:r>
      <w:r>
        <w:rPr>
          <w:rFonts w:ascii="Calibri" w:cs="Calibri" w:eastAsia="Calibri" w:hAnsi="Calibri"/>
          <w:b/>
          <w:bCs/>
          <w:sz w:val="19"/>
          <w:szCs w:val="19"/>
        </w:rPr>
        <w:t xml:space="preserve">fuertemente desbalanceado.</w:t>
      </w:r>
      <w:r>
        <w:rPr>
          <w:rFonts w:ascii="Calibri" w:cs="Calibri" w:eastAsia="Calibri" w:hAnsi="Calibri"/>
          <w:sz w:val="19"/>
          <w:szCs w:val="19"/>
        </w:rPr>
        <w:t xml:space="preserve"> Apenas el 16,1 % de los empleados abandonó la empresa (237 de 1.470), es decir, una proporción de 1 a 5. Un modelo perezoso que responda "nadie se va" para todos los casos acierta el 84,0 % de las veces sin haber aprendido absolutamente nada sobre quién se va. Ese 84 % es, entonces, el verdadero punto de comparación —no el 50 % que uno asumiría por defecto— y obliga a evaluar con métricas centradas en la clase minoritaria y a partir los datos de forma estratificada.</w:t>
      </w:r>
    </w:p>
    <w:p>
      <w:pPr>
        <w:pStyle w:val="Heading1"/>
        <w:spacing w:after="80" w:before="180"/>
      </w:pPr>
      <w:r>
        <w:rPr>
          <w:rFonts w:ascii="Calibri" w:cs="Calibri" w:eastAsia="Calibri" w:hAnsi="Calibri"/>
          <w:b/>
          <w:bCs/>
          <w:color w:val="1F3864"/>
          <w:sz w:val="23"/>
          <w:szCs w:val="23"/>
        </w:rPr>
        <w:t xml:space="preserve">2. Modelos probados y métricas utilizadas</w:t>
      </w:r>
    </w:p>
    <w:p>
      <w:pPr>
        <w:spacing w:after="100" w:line="254"/>
        <w:jc w:val="both"/>
      </w:pPr>
      <w:r>
        <w:rPr>
          <w:rFonts w:ascii="Calibri" w:cs="Calibri" w:eastAsia="Calibri" w:hAnsi="Calibri"/>
          <w:sz w:val="19"/>
          <w:szCs w:val="19"/>
        </w:rPr>
        <w:t xml:space="preserve">Se entrenaron cuatro algoritmos —Regresión Logística, Árbol de Decisión, Random Forest y Gradient Boosting— sobre una partición estratificada 80/20 (1.176 registros de entrenamiento, 294 de prueba). Todo el preprocesamiento se encapsuló en un </w:t>
      </w:r>
      <w:r>
        <w:rPr>
          <w:rFonts w:ascii="Calibri" w:cs="Calibri" w:eastAsia="Calibri" w:hAnsi="Calibri"/>
          <w:i/>
          <w:iCs/>
          <w:sz w:val="19"/>
          <w:szCs w:val="19"/>
        </w:rPr>
        <w:t xml:space="preserve">Pipeline</w:t>
      </w:r>
      <w:r>
        <w:rPr>
          <w:rFonts w:ascii="Calibri" w:cs="Calibri" w:eastAsia="Calibri" w:hAnsi="Calibri"/>
          <w:sz w:val="19"/>
          <w:szCs w:val="19"/>
        </w:rPr>
        <w:t xml:space="preserve"> ajustado únicamente con los datos de entrenamiento, para que ninguna información del conjunto de prueba se filtrara antes de tiempo: estandarización de las 23 variables numéricas y codificación one-hot de las 7 categóricas. Antes de eso se eliminaron cuatro columnas que no aportaban nada (tres eran constantes y una era el identificador del empleado). En los tres primeros modelos se activó </w:t>
      </w:r>
      <w:r>
        <w:rPr>
          <w:rFonts w:ascii="Calibri" w:cs="Calibri" w:eastAsia="Calibri" w:hAnsi="Calibri"/>
          <w:i/>
          <w:iCs/>
          <w:sz w:val="19"/>
          <w:szCs w:val="19"/>
        </w:rPr>
        <w:t xml:space="preserve">class_weight='balanced'</w:t>
      </w:r>
      <w:r>
        <w:rPr>
          <w:rFonts w:ascii="Calibri" w:cs="Calibri" w:eastAsia="Calibri" w:hAnsi="Calibri"/>
          <w:sz w:val="19"/>
          <w:szCs w:val="19"/>
        </w:rPr>
        <w:t xml:space="preserve"> para que el algoritmo no ignorara la clase minoritaria por conveniencia estadística.</w:t>
      </w:r>
    </w:p>
    <w:p>
      <w:pPr>
        <w:spacing w:after="100" w:line="254"/>
        <w:jc w:val="both"/>
      </w:pPr>
      <w:r>
        <w:rPr>
          <w:rFonts w:ascii="Calibri" w:cs="Calibri" w:eastAsia="Calibri" w:hAnsi="Calibri"/>
          <w:sz w:val="19"/>
          <w:szCs w:val="19"/>
        </w:rPr>
        <w:t xml:space="preserve">Las métricas exigidas por la consigna —Accuracy, Precision, Recall y F1-score— se completaron con ROC-AUC, matrices de confusión, validación cruzada estratificada de 5 folds y una función de costo económico, que es en realidad la que termina inclinando la balanza.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350"/>
        <w:gridCol w:w="1200"/>
        <w:gridCol w:w="1350"/>
        <w:gridCol w:w="1250"/>
      </w:tblGrid>
      <w:tr>
        <w:trPr>
          <w:tblHeader/>
        </w:trPr>
        <w:tc>
          <w:tcPr>
            <w:tcW w:type="dxa" w:w="25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Modelo</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Accuracy</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Precision</w:t>
            </w:r>
          </w:p>
        </w:tc>
        <w:tc>
          <w:tcPr>
            <w:tcW w:type="dxa" w:w="12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Recall</w:t>
            </w:r>
          </w:p>
        </w:tc>
        <w:tc>
          <w:tcPr>
            <w:tcW w:type="dxa" w:w="13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F1-score</w:t>
            </w:r>
          </w:p>
        </w:tc>
        <w:tc>
          <w:tcPr>
            <w:tcW w:type="dxa" w:w="12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ROC-AUC</w:t>
            </w:r>
          </w:p>
        </w:tc>
      </w:tr>
      <w:tr>
        <w:tc>
          <w:tcPr>
            <w:tcW w:type="dxa" w:w="2500"/>
            <w:shd w:fill="E2EFDA" w:val="clear"/>
            <w:tcMar>
              <w:top w:type="dxa" w:w="60"/>
              <w:left w:type="dxa" w:w="100"/>
              <w:bottom w:type="dxa" w:w="60"/>
              <w:right w:type="dxa" w:w="100"/>
            </w:tcMar>
            <w:vAlign w:val="center"/>
          </w:tcPr>
          <w:p>
            <w:pPr>
              <w:jc w:val="center"/>
            </w:pPr>
            <w:r>
              <w:rPr>
                <w:rFonts w:ascii="Calibri" w:cs="Calibri" w:eastAsia="Calibri" w:hAnsi="Calibri"/>
                <w:b/>
                <w:bCs/>
                <w:color w:val="000000"/>
                <w:sz w:val="18"/>
                <w:szCs w:val="18"/>
              </w:rPr>
              <w:t xml:space="preserve">Regresión Logística (umbral 0,40)</w:t>
            </w:r>
          </w:p>
        </w:tc>
        <w:tc>
          <w:tcPr>
            <w:tcW w:type="dxa" w:w="1350"/>
            <w:shd w:fill="E2EFDA" w:val="clear"/>
            <w:tcMar>
              <w:top w:type="dxa" w:w="60"/>
              <w:left w:type="dxa" w:w="100"/>
              <w:bottom w:type="dxa" w:w="60"/>
              <w:right w:type="dxa" w:w="100"/>
            </w:tcMar>
            <w:vAlign w:val="center"/>
          </w:tcPr>
          <w:p>
            <w:pPr>
              <w:jc w:val="center"/>
            </w:pPr>
            <w:r>
              <w:rPr>
                <w:rFonts w:ascii="Calibri" w:cs="Calibri" w:eastAsia="Calibri" w:hAnsi="Calibri"/>
                <w:b/>
                <w:bCs/>
                <w:color w:val="000000"/>
                <w:sz w:val="18"/>
                <w:szCs w:val="18"/>
              </w:rPr>
              <w:t xml:space="preserve">0,728</w:t>
            </w:r>
          </w:p>
        </w:tc>
        <w:tc>
          <w:tcPr>
            <w:tcW w:type="dxa" w:w="1350"/>
            <w:shd w:fill="E2EFDA" w:val="clear"/>
            <w:tcMar>
              <w:top w:type="dxa" w:w="60"/>
              <w:left w:type="dxa" w:w="100"/>
              <w:bottom w:type="dxa" w:w="60"/>
              <w:right w:type="dxa" w:w="100"/>
            </w:tcMar>
            <w:vAlign w:val="center"/>
          </w:tcPr>
          <w:p>
            <w:pPr>
              <w:jc w:val="center"/>
            </w:pPr>
            <w:r>
              <w:rPr>
                <w:rFonts w:ascii="Calibri" w:cs="Calibri" w:eastAsia="Calibri" w:hAnsi="Calibri"/>
                <w:b/>
                <w:bCs/>
                <w:color w:val="000000"/>
                <w:sz w:val="18"/>
                <w:szCs w:val="18"/>
              </w:rPr>
              <w:t xml:space="preserve">0,349</w:t>
            </w:r>
          </w:p>
        </w:tc>
        <w:tc>
          <w:tcPr>
            <w:tcW w:type="dxa" w:w="1200"/>
            <w:shd w:fill="E2EFDA" w:val="clear"/>
            <w:tcMar>
              <w:top w:type="dxa" w:w="60"/>
              <w:left w:type="dxa" w:w="100"/>
              <w:bottom w:type="dxa" w:w="60"/>
              <w:right w:type="dxa" w:w="100"/>
            </w:tcMar>
            <w:vAlign w:val="center"/>
          </w:tcPr>
          <w:p>
            <w:pPr>
              <w:jc w:val="center"/>
            </w:pPr>
            <w:r>
              <w:rPr>
                <w:rFonts w:ascii="Calibri" w:cs="Calibri" w:eastAsia="Calibri" w:hAnsi="Calibri"/>
                <w:b/>
                <w:bCs/>
                <w:color w:val="000000"/>
                <w:sz w:val="18"/>
                <w:szCs w:val="18"/>
              </w:rPr>
              <w:t xml:space="preserve">0,809</w:t>
            </w:r>
          </w:p>
        </w:tc>
        <w:tc>
          <w:tcPr>
            <w:tcW w:type="dxa" w:w="1350"/>
            <w:shd w:fill="E2EFDA" w:val="clear"/>
            <w:tcMar>
              <w:top w:type="dxa" w:w="60"/>
              <w:left w:type="dxa" w:w="100"/>
              <w:bottom w:type="dxa" w:w="60"/>
              <w:right w:type="dxa" w:w="100"/>
            </w:tcMar>
            <w:vAlign w:val="center"/>
          </w:tcPr>
          <w:p>
            <w:pPr>
              <w:jc w:val="center"/>
            </w:pPr>
            <w:r>
              <w:rPr>
                <w:rFonts w:ascii="Calibri" w:cs="Calibri" w:eastAsia="Calibri" w:hAnsi="Calibri"/>
                <w:b/>
                <w:bCs/>
                <w:color w:val="000000"/>
                <w:sz w:val="18"/>
                <w:szCs w:val="18"/>
              </w:rPr>
              <w:t xml:space="preserve">0,487</w:t>
            </w:r>
          </w:p>
        </w:tc>
        <w:tc>
          <w:tcPr>
            <w:tcW w:type="dxa" w:w="1250"/>
            <w:shd w:fill="E2EFDA" w:val="clear"/>
            <w:tcMar>
              <w:top w:type="dxa" w:w="60"/>
              <w:left w:type="dxa" w:w="100"/>
              <w:bottom w:type="dxa" w:w="60"/>
              <w:right w:type="dxa" w:w="100"/>
            </w:tcMar>
            <w:vAlign w:val="center"/>
          </w:tcPr>
          <w:p>
            <w:pPr>
              <w:jc w:val="center"/>
            </w:pPr>
            <w:r>
              <w:rPr>
                <w:rFonts w:ascii="Calibri" w:cs="Calibri" w:eastAsia="Calibri" w:hAnsi="Calibri"/>
                <w:b/>
                <w:bCs/>
                <w:color w:val="000000"/>
                <w:sz w:val="18"/>
                <w:szCs w:val="18"/>
              </w:rPr>
              <w:t xml:space="preserve">0,804</w:t>
            </w:r>
          </w:p>
        </w:tc>
      </w:tr>
      <w:tr>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Regresión Logística (umbral 0,50)</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0,755</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0,356</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0,660</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0,463</w:t>
            </w:r>
          </w:p>
        </w:tc>
        <w:tc>
          <w:tcPr>
            <w:tcW w:type="dxa" w:w="12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0,804</w:t>
            </w:r>
          </w:p>
        </w:tc>
      </w:tr>
      <w:tr>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Árbol de Decisión</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0,772</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0,357</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0,532</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0,427</w:t>
            </w:r>
          </w:p>
        </w:tc>
        <w:tc>
          <w:tcPr>
            <w:tcW w:type="dxa" w:w="12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0,652</w:t>
            </w:r>
          </w:p>
        </w:tc>
      </w:tr>
      <w:tr>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Gradient Boosting</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0,840</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0,500</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0,234</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0,319</w:t>
            </w:r>
          </w:p>
        </w:tc>
        <w:tc>
          <w:tcPr>
            <w:tcW w:type="dxa" w:w="12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0,792</w:t>
            </w:r>
          </w:p>
        </w:tc>
      </w:tr>
      <w:tr>
        <w:tc>
          <w:tcPr>
            <w:tcW w:type="dxa" w:w="25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Random Forest</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0,830</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0,421</w:t>
            </w:r>
          </w:p>
        </w:tc>
        <w:tc>
          <w:tcPr>
            <w:tcW w:type="dxa" w:w="12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0,170</w:t>
            </w:r>
          </w:p>
        </w:tc>
        <w:tc>
          <w:tcPr>
            <w:tcW w:type="dxa" w:w="13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0,242</w:t>
            </w:r>
          </w:p>
        </w:tc>
        <w:tc>
          <w:tcPr>
            <w:tcW w:type="dxa" w:w="12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0,770</w:t>
            </w:r>
          </w:p>
        </w:tc>
      </w:tr>
      <w:tr>
        <w:tc>
          <w:tcPr>
            <w:tcW w:type="dxa" w:w="250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Baseline ("nadie se va")</w:t>
            </w:r>
          </w:p>
        </w:tc>
        <w:tc>
          <w:tcPr>
            <w:tcW w:type="dxa" w:w="13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0,840</w:t>
            </w:r>
          </w:p>
        </w:tc>
        <w:tc>
          <w:tcPr>
            <w:tcW w:type="dxa" w:w="13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w:t>
            </w:r>
          </w:p>
        </w:tc>
        <w:tc>
          <w:tcPr>
            <w:tcW w:type="dxa" w:w="120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0,000</w:t>
            </w:r>
          </w:p>
        </w:tc>
        <w:tc>
          <w:tcPr>
            <w:tcW w:type="dxa" w:w="13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w:t>
            </w:r>
          </w:p>
        </w:tc>
        <w:tc>
          <w:tcPr>
            <w:tcW w:type="dxa" w:w="12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0,500</w:t>
            </w:r>
          </w:p>
        </w:tc>
      </w:tr>
    </w:tbl>
    <w:p>
      <w:pPr>
        <w:spacing w:after="100" w:before="100" w:line="254"/>
        <w:jc w:val="both"/>
      </w:pPr>
      <w:r>
        <w:rPr>
          <w:rFonts w:ascii="Calibri" w:cs="Calibri" w:eastAsia="Calibri" w:hAnsi="Calibri"/>
          <w:i/>
          <w:iCs/>
          <w:color w:val="595959"/>
          <w:sz w:val="17"/>
          <w:szCs w:val="17"/>
        </w:rPr>
        <w:t xml:space="preserve">★ Modelo seleccionado. u = umbral de decisión. Resultados sobre el conjunto de prueba (294 empleados, 47 salidas reales).</w:t>
      </w:r>
    </w:p>
    <w:p>
      <w:pPr>
        <w:pStyle w:val="Heading1"/>
        <w:spacing w:after="80" w:before="180"/>
      </w:pPr>
      <w:r>
        <w:rPr>
          <w:rFonts w:ascii="Calibri" w:cs="Calibri" w:eastAsia="Calibri" w:hAnsi="Calibri"/>
          <w:b/>
          <w:bCs/>
          <w:color w:val="1F3864"/>
          <w:sz w:val="23"/>
          <w:szCs w:val="23"/>
        </w:rPr>
        <w:t xml:space="preserve">3. ¿Un 90 % de accuracy significa un buen modelo?</w:t>
      </w:r>
    </w:p>
    <w:p>
      <w:pPr>
        <w:spacing w:after="100" w:line="254"/>
        <w:jc w:val="both"/>
      </w:pPr>
      <w:r>
        <w:rPr>
          <w:rFonts w:ascii="Calibri" w:cs="Calibri" w:eastAsia="Calibri" w:hAnsi="Calibri"/>
          <w:sz w:val="19"/>
          <w:szCs w:val="19"/>
        </w:rPr>
        <w:t xml:space="preserve">No, y estos mismos resultados lo dejan bastante claro. El Gradient Boosting logra el accuracy más alto de los cuatro (84,0 %) y es, paradójicamente, el peor modelo para el negocio: detecta apenas 11 de las 47 salidas reales y deja escapar a 36 personas. Su accuracy es prácticamente idéntico al del clasificador que no predice ninguna fuga. Ocurre porque en un problema desbalanceado el accuracy premia acertar en la clase mayoritaria —los empleados que se quedan—, que es justo la información que RR.HH. ya tiene y no necesita. Por eso se descartó como criterio de selección, aunque se sigue reportando por ser una métrica obligatoria.</w:t>
      </w:r>
    </w:p>
    <w:p>
      <w:pPr>
        <w:pStyle w:val="Heading1"/>
        <w:spacing w:after="80" w:before="180"/>
      </w:pPr>
      <w:r>
        <w:rPr>
          <w:rFonts w:ascii="Calibri" w:cs="Calibri" w:eastAsia="Calibri" w:hAnsi="Calibri"/>
          <w:b/>
          <w:bCs/>
          <w:color w:val="1F3864"/>
          <w:sz w:val="23"/>
          <w:szCs w:val="23"/>
        </w:rPr>
        <w:t xml:space="preserve">4. Costo de los errores y modelo recomendado</w:t>
      </w:r>
    </w:p>
    <w:p>
      <w:pPr>
        <w:spacing w:after="100" w:line="254"/>
        <w:jc w:val="both"/>
      </w:pPr>
      <w:r>
        <w:rPr>
          <w:rFonts w:ascii="Calibri" w:cs="Calibri" w:eastAsia="Calibri" w:hAnsi="Calibri"/>
          <w:b/>
          <w:bCs/>
          <w:sz w:val="19"/>
          <w:szCs w:val="19"/>
        </w:rPr>
        <w:t xml:space="preserve">Un falso negativo</w:t>
      </w:r>
      <w:r>
        <w:rPr>
          <w:rFonts w:ascii="Calibri" w:cs="Calibri" w:eastAsia="Calibri" w:hAnsi="Calibri"/>
          <w:sz w:val="19"/>
          <w:szCs w:val="19"/>
        </w:rPr>
        <w:t xml:space="preserve"> —el modelo dice "se queda" y el empleado se va— cuesta reclutamiento, selección, entre tres y seis meses de curva de aprendizaje del reemplazo, pérdida de conocimiento tácito y sobrecarga del equipo: entre 0,5 y 2 veces el salario anual del puesto, según estimaciones típicas de la literatura de RR.HH. Un </w:t>
      </w:r>
      <w:r>
        <w:rPr>
          <w:rFonts w:ascii="Calibri" w:cs="Calibri" w:eastAsia="Calibri" w:hAnsi="Calibri"/>
          <w:b/>
          <w:bCs/>
          <w:sz w:val="19"/>
          <w:szCs w:val="19"/>
        </w:rPr>
        <w:t xml:space="preserve">falso positivo</w:t>
      </w:r>
      <w:r>
        <w:rPr>
          <w:rFonts w:ascii="Calibri" w:cs="Calibri" w:eastAsia="Calibri" w:hAnsi="Calibri"/>
          <w:sz w:val="19"/>
          <w:szCs w:val="19"/>
        </w:rPr>
        <w:t xml:space="preserve"> —alertar sobre alguien que en realidad no pensaba irse— cuesta bastante menos: una conversación de retención y, en el peor de los casos, una revisión de condiciones salariales. La asimetría ronda 30 a 1, y no hay mucha discusión posible sobre cuál error es más grave. Esto lleva a una conclusión metodológica directa: el criterio de selección debe ser el Recall, con la Precision funcionando como restricción operativa y no como objetivo.</w:t>
      </w:r>
    </w:p>
    <w:p>
      <w:pPr>
        <w:spacing w:after="100" w:line="254"/>
        <w:jc w:val="both"/>
      </w:pPr>
      <w:r>
        <w:rPr>
          <w:rFonts w:ascii="Calibri" w:cs="Calibri" w:eastAsia="Calibri" w:hAnsi="Calibri"/>
          <w:b/>
          <w:bCs/>
          <w:sz w:val="19"/>
          <w:szCs w:val="19"/>
        </w:rPr>
        <w:t xml:space="preserve">El modelo recomendado es la Regresión Logística con ponderación de clases y el umbral de decisión ajustado a 0,40.</w:t>
      </w:r>
      <w:r>
        <w:rPr>
          <w:rFonts w:ascii="Calibri" w:cs="Calibri" w:eastAsia="Calibri" w:hAnsi="Calibri"/>
          <w:sz w:val="19"/>
          <w:szCs w:val="19"/>
        </w:rPr>
        <w:t xml:space="preserve"> Detecta el 80,9 % de las fugas (38 de 47), frente a apenas 11 del Gradient Boosting. Usando US$ 15.000 por falso negativo y US$ 500 por falso positivo, su costo total sobre el conjunto de prueba es de US$ 170.500, frente a US$ 705.000 de no hacer absolutamente nada: una reducción del 76 %. Se eligió también por su interpretabilidad —cada coeficiente se puede traducir en un odds ratio explicable frente al comité y frente al propio empleado, algo que un ensamble de árboles no ofrece con la misma naturalidad— y porque la validación cruzada confirma que su recall se mantiene estable entre folds, no es un golpe de suerte del split original.</w:t>
      </w:r>
    </w:p>
    <w:p>
      <w:pPr>
        <w:pStyle w:val="Heading1"/>
        <w:spacing w:after="80" w:before="180"/>
      </w:pPr>
      <w:r>
        <w:rPr>
          <w:rFonts w:ascii="Calibri" w:cs="Calibri" w:eastAsia="Calibri" w:hAnsi="Calibri"/>
          <w:b/>
          <w:bCs/>
          <w:color w:val="1F3864"/>
          <w:sz w:val="23"/>
          <w:szCs w:val="23"/>
        </w:rPr>
        <w:t xml:space="preserve">5. Variables importantes</w:t>
      </w:r>
    </w:p>
    <w:p>
      <w:pPr>
        <w:spacing w:after="100" w:line="254"/>
        <w:jc w:val="both"/>
      </w:pPr>
      <w:r>
        <w:rPr>
          <w:rFonts w:ascii="Calibri" w:cs="Calibri" w:eastAsia="Calibri" w:hAnsi="Calibri"/>
          <w:sz w:val="19"/>
          <w:szCs w:val="19"/>
        </w:rPr>
        <w:t xml:space="preserve">La Regresión Logística y el Gradient Boosting coinciden en el diagnóstico, aunque lleguen ahí por caminos distintos. Lo que más eleva la probabilidad de fuga son las horas extra (</w:t>
      </w:r>
      <w:r>
        <w:rPr>
          <w:rFonts w:ascii="Calibri" w:cs="Calibri" w:eastAsia="Calibri" w:hAnsi="Calibri"/>
          <w:i/>
          <w:iCs/>
          <w:sz w:val="19"/>
          <w:szCs w:val="19"/>
        </w:rPr>
        <w:t xml:space="preserve">OverTime</w:t>
      </w:r>
      <w:r>
        <w:rPr>
          <w:rFonts w:ascii="Calibri" w:cs="Calibri" w:eastAsia="Calibri" w:hAnsi="Calibri"/>
          <w:sz w:val="19"/>
          <w:szCs w:val="19"/>
        </w:rPr>
        <w:t xml:space="preserve">) —el predictor más fuerte con diferencia—, viajar con frecuencia por trabajo, los roles operativos de entrada como Sales Representative o Laboratory Technician, el estado civil soltero, el tiempo transcurrido desde la última promoción y el número de empleos previos. En el otro extremo, funcionan como factores de retención la antigüedad total, los años bajo el mismo jefe directo, la satisfacción con el entorno de trabajo, el nivel salarial y las opciones sobre acciones. Dicho de forma simple: la rotación se concentra en perfiles jóvenes, de salario bajo, con sobrecarga de trabajo y sin una progresión de carrera visible.</w:t>
      </w:r>
    </w:p>
    <w:p>
      <w:pPr>
        <w:pStyle w:val="Heading1"/>
        <w:spacing w:after="80" w:before="180"/>
      </w:pPr>
      <w:r>
        <w:rPr>
          <w:rFonts w:ascii="Calibri" w:cs="Calibri" w:eastAsia="Calibri" w:hAnsi="Calibri"/>
          <w:b/>
          <w:bCs/>
          <w:color w:val="1F3864"/>
          <w:sz w:val="23"/>
          <w:szCs w:val="23"/>
        </w:rPr>
        <w:t xml:space="preserve">6. Limitaciones</w:t>
      </w:r>
    </w:p>
    <w:p>
      <w:pPr>
        <w:spacing w:after="50" w:line="254"/>
        <w:jc w:val="both"/>
      </w:pPr>
      <w:r>
        <w:rPr>
          <w:rFonts w:ascii="Calibri" w:cs="Calibri" w:eastAsia="Calibri" w:hAnsi="Calibri"/>
          <w:b/>
          <w:bCs/>
          <w:sz w:val="19"/>
          <w:szCs w:val="19"/>
        </w:rPr>
        <w:t xml:space="preserve">Datos sintéticos.</w:t>
      </w:r>
      <w:r>
        <w:rPr>
          <w:rFonts w:ascii="Calibri" w:cs="Calibri" w:eastAsia="Calibri" w:hAnsi="Calibri"/>
          <w:sz w:val="19"/>
          <w:szCs w:val="19"/>
        </w:rPr>
        <w:t xml:space="preserve"> El dataset de IBM es ficticio, con fines didácticos; el desempeño no es extrapolable a una empresa real sin reentrenar con datos propios.</w:t>
      </w:r>
    </w:p>
    <w:p>
      <w:pPr>
        <w:spacing w:after="50" w:line="254"/>
        <w:jc w:val="both"/>
      </w:pPr>
      <w:r>
        <w:rPr>
          <w:rFonts w:ascii="Calibri" w:cs="Calibri" w:eastAsia="Calibri" w:hAnsi="Calibri"/>
          <w:b/>
          <w:bCs/>
          <w:sz w:val="19"/>
          <w:szCs w:val="19"/>
        </w:rPr>
        <w:t xml:space="preserve">Muestra reducida.</w:t>
      </w:r>
      <w:r>
        <w:rPr>
          <w:rFonts w:ascii="Calibri" w:cs="Calibri" w:eastAsia="Calibri" w:hAnsi="Calibri"/>
          <w:sz w:val="19"/>
          <w:szCs w:val="19"/>
        </w:rPr>
        <w:t xml:space="preserve"> 237 casos positivos en total y solo 47 en el conjunto de prueba: los intervalos de confianza de cada métrica son amplios.</w:t>
      </w:r>
    </w:p>
    <w:p>
      <w:pPr>
        <w:spacing w:after="50" w:line="254"/>
        <w:jc w:val="both"/>
      </w:pPr>
      <w:r>
        <w:rPr>
          <w:rFonts w:ascii="Calibri" w:cs="Calibri" w:eastAsia="Calibri" w:hAnsi="Calibri"/>
          <w:b/>
          <w:bCs/>
          <w:sz w:val="19"/>
          <w:szCs w:val="19"/>
        </w:rPr>
        <w:t xml:space="preserve">Precisión baja (34,9 %).</w:t>
      </w:r>
      <w:r>
        <w:rPr>
          <w:rFonts w:ascii="Calibri" w:cs="Calibri" w:eastAsia="Calibri" w:hAnsi="Calibri"/>
          <w:sz w:val="19"/>
          <w:szCs w:val="19"/>
        </w:rPr>
        <w:t xml:space="preserve"> Casi dos de cada tres alertas serán falsas alarmas. Es aceptable dada la asimetría de costos, pero exige capacidad operativa real en RR.HH.</w:t>
      </w:r>
    </w:p>
    <w:p>
      <w:pPr>
        <w:spacing w:after="50" w:line="254"/>
        <w:jc w:val="both"/>
      </w:pPr>
      <w:r>
        <w:rPr>
          <w:rFonts w:ascii="Calibri" w:cs="Calibri" w:eastAsia="Calibri" w:hAnsi="Calibri"/>
          <w:b/>
          <w:bCs/>
          <w:sz w:val="19"/>
          <w:szCs w:val="19"/>
        </w:rPr>
        <w:t xml:space="preserve">Sin dimensión temporal.</w:t>
      </w:r>
      <w:r>
        <w:rPr>
          <w:rFonts w:ascii="Calibri" w:cs="Calibri" w:eastAsia="Calibri" w:hAnsi="Calibri"/>
          <w:sz w:val="19"/>
          <w:szCs w:val="19"/>
        </w:rPr>
        <w:t xml:space="preserve"> El dataset es una foto fija: indica quién es más propenso a irse, no cuándo. Un análisis de supervivencia priorizaría mejor las intervenciones.</w:t>
      </w:r>
    </w:p>
    <w:p>
      <w:pPr>
        <w:spacing w:after="50" w:line="254"/>
        <w:jc w:val="both"/>
      </w:pPr>
      <w:r>
        <w:rPr>
          <w:rFonts w:ascii="Calibri" w:cs="Calibri" w:eastAsia="Calibri" w:hAnsi="Calibri"/>
          <w:b/>
          <w:bCs/>
          <w:sz w:val="19"/>
          <w:szCs w:val="19"/>
        </w:rPr>
        <w:t xml:space="preserve">Correlación, no causalidad.</w:t>
      </w:r>
      <w:r>
        <w:rPr>
          <w:rFonts w:ascii="Calibri" w:cs="Calibri" w:eastAsia="Calibri" w:hAnsi="Calibri"/>
          <w:sz w:val="19"/>
          <w:szCs w:val="19"/>
        </w:rPr>
        <w:t xml:space="preserve"> Que OverTime prediga la fuga no prueba que reducirlo la evite; confirmarlo requiere un experimento controlado.</w:t>
      </w:r>
    </w:p>
    <w:p>
      <w:pPr>
        <w:spacing w:after="50" w:line="254"/>
        <w:jc w:val="both"/>
      </w:pPr>
      <w:r>
        <w:rPr>
          <w:rFonts w:ascii="Calibri" w:cs="Calibri" w:eastAsia="Calibri" w:hAnsi="Calibri"/>
          <w:b/>
          <w:bCs/>
          <w:sz w:val="19"/>
          <w:szCs w:val="19"/>
        </w:rPr>
        <w:t xml:space="preserve">Riesgo ético y sesgo.</w:t>
      </w:r>
      <w:r>
        <w:rPr>
          <w:rFonts w:ascii="Calibri" w:cs="Calibri" w:eastAsia="Calibri" w:hAnsi="Calibri"/>
          <w:sz w:val="19"/>
          <w:szCs w:val="19"/>
        </w:rPr>
        <w:t xml:space="preserve"> El modelo usa Gender, Age y MaritalStatus. Emplearlas en decisiones sobre personas puede reproducir discriminación y vulnerar normativa laboral.</w:t>
      </w:r>
    </w:p>
    <w:p>
      <w:pPr>
        <w:spacing w:after="100" w:line="254"/>
        <w:jc w:val="both"/>
      </w:pPr>
      <w:r>
        <w:rPr>
          <w:rFonts w:ascii="Calibri" w:cs="Calibri" w:eastAsia="Calibri" w:hAnsi="Calibri"/>
          <w:b/>
          <w:bCs/>
          <w:sz w:val="19"/>
          <w:szCs w:val="19"/>
        </w:rPr>
        <w:t xml:space="preserve">Profecía autocumplida y deriva.</w:t>
      </w:r>
      <w:r>
        <w:rPr>
          <w:rFonts w:ascii="Calibri" w:cs="Calibri" w:eastAsia="Calibri" w:hAnsi="Calibri"/>
          <w:sz w:val="19"/>
          <w:szCs w:val="19"/>
        </w:rPr>
        <w:t xml:space="preserve"> Si RR.HH. desinvierte en quien el modelo marca, provoca la salida que quería evitar. Además, las causas de rotación cambian con el mercado y el modelo se degradará si nadie lo revisa.</w:t>
      </w:r>
    </w:p>
    <w:p>
      <w:pPr>
        <w:pStyle w:val="Heading1"/>
        <w:spacing w:after="80" w:before="180"/>
      </w:pPr>
      <w:r>
        <w:rPr>
          <w:rFonts w:ascii="Calibri" w:cs="Calibri" w:eastAsia="Calibri" w:hAnsi="Calibri"/>
          <w:b/>
          <w:bCs/>
          <w:color w:val="1F3864"/>
          <w:sz w:val="23"/>
          <w:szCs w:val="23"/>
        </w:rPr>
        <w:t xml:space="preserve">7. Recomendación</w:t>
      </w:r>
    </w:p>
    <w:p>
      <w:pPr>
        <w:spacing w:after="100" w:line="254"/>
        <w:jc w:val="both"/>
      </w:pPr>
      <w:r>
        <w:rPr>
          <w:rFonts w:ascii="Calibri" w:cs="Calibri" w:eastAsia="Calibri" w:hAnsi="Calibri"/>
          <w:b/>
          <w:bCs/>
          <w:sz w:val="19"/>
          <w:szCs w:val="19"/>
        </w:rPr>
        <w:t xml:space="preserve">Sí, recomendamos implementarlo, con condiciones.</w:t>
      </w:r>
      <w:r>
        <w:rPr>
          <w:rFonts w:ascii="Calibri" w:cs="Calibri" w:eastAsia="Calibri" w:hAnsi="Calibri"/>
          <w:sz w:val="19"/>
          <w:szCs w:val="19"/>
        </w:rPr>
        <w:t xml:space="preserve"> El modelo identifica ocho de cada diez fugas con antelación suficiente para actuar y señala palancas concretas de retención. Antes de producción debería cumplir cinco condiciones: operar como apoyo y no como decisión automática, con revisión humana de cada alerta; excluir las variables protegidas (género, edad, estado civil) y auditar la equidad por subgrupo; iniciar con un piloto de tres a seis meses en un solo departamento, midiendo el efecto real de las intervenciones; recalibrar con datos y costos propios de la empresa, no con los supuestos genéricos de este ejercicio; y establecer un protocolo de monitoreo con reentrenamiento semestral.</w:t>
      </w:r>
    </w:p>
    <w:p>
      <w:pPr>
        <w:spacing w:after="100" w:line="254"/>
        <w:jc w:val="both"/>
      </w:pPr>
      <w:r>
        <w:rPr>
          <w:rFonts w:ascii="Calibri" w:cs="Calibri" w:eastAsia="Calibri" w:hAnsi="Calibri"/>
          <w:sz w:val="19"/>
          <w:szCs w:val="19"/>
        </w:rPr>
        <w:t xml:space="preserve">Vale la pena cerrar con algo que se pierde entre tantas métricas: el aporte principal de este trabajo no es la capacidad predictiva del modelo, sino el diagnóstico organizacional que deja expuesto. Incluso sin desplegar nada, el análisis ya señala con bastante claridad dónde conviene intervenir primero.</w:t>
      </w:r>
    </w:p>
    <w:sectPr>
      <w:pgSz w:w="11906" w:h="16838" w:orient="portrait"/>
      <w:pgMar w:top="620" w:right="850" w:bottom="6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2026-09-06T16:21:53.312Z</dcterms:created>
  <dcterms:modified xsi:type="dcterms:W3CDTF">2026-09-06T16:21:53.312Z</dcterms:modified>
</cp:coreProperties>
</file>

<file path=docProps/custom.xml><?xml version="1.0" encoding="utf-8"?>
<Properties xmlns="http://schemas.openxmlformats.org/officeDocument/2006/custom-properties" xmlns:vt="http://schemas.openxmlformats.org/officeDocument/2006/docPropsVTypes"/>
</file>