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5FA8"/>
          <w:sz w:val="40"/>
          <w:szCs w:val="40"/>
        </w:rPr>
        <w:t xml:space="preserve">Agente autónomo de movilidad con Q-Learning</w:t>
      </w:r>
    </w:p>
    <w:p>
      <w:pPr>
        <w:pBdr>
          <w:bottom w:val="single" w:color="1F5FA8" w:sz="8" w:space="4"/>
        </w:pBdr>
        <w:spacing w:after="100"/>
      </w:pPr>
      <w:r>
        <w:rPr>
          <w:rFonts w:ascii="Calibri" w:cs="Calibri" w:eastAsia="Calibri" w:hAnsi="Calibri"/>
          <w:color w:val="5B6573"/>
          <w:sz w:val="20"/>
          <w:szCs w:val="20"/>
        </w:rPr>
        <w:t xml:space="preserve">Informe ejecutivo · Ejercicio Práctico Semana 3 · Aprendizaje por Refuerzo</w:t>
      </w:r>
    </w:p>
    <w:p>
      <w:pPr>
        <w:pStyle w:val="Heading1"/>
        <w:keepNext/>
        <w:spacing w:after="60" w:before="150"/>
      </w:pPr>
      <w:r>
        <w:rPr>
          <w:rFonts w:ascii="Calibri" w:cs="Calibri" w:eastAsia="Calibri" w:hAnsi="Calibri"/>
          <w:b/>
          <w:bCs/>
          <w:color w:val="1F5FA8"/>
          <w:sz w:val="24"/>
          <w:szCs w:val="24"/>
        </w:rPr>
        <w:t xml:space="preserve">Resumen ejecutivo</w:t>
      </w:r>
    </w:p>
    <w:p>
      <w:pPr>
        <w:spacing w:after="90" w:before="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 entrenó un agente con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Q-Learning tabular</w:t>
      </w:r>
      <w:r>
        <w:rPr>
          <w:rFonts w:ascii="Calibri" w:cs="Calibri" w:eastAsia="Calibri" w:hAnsi="Calibri"/>
          <w:sz w:val="20"/>
          <w:szCs w:val="20"/>
        </w:rPr>
        <w:t xml:space="preserve"> para conducir de un inicio a un destino en una ciudad de 10 × 10 celdas con obstáculos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tres semáforos cíclicos</w:t>
      </w:r>
      <w:r>
        <w:rPr>
          <w:rFonts w:ascii="Calibri" w:cs="Calibri" w:eastAsia="Calibri" w:hAnsi="Calibri"/>
          <w:sz w:val="20"/>
          <w:szCs w:val="20"/>
        </w:rPr>
        <w:t xml:space="preserve">. El agente aprendió rutas cuyo retorno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iguala al del planificador óptimo (Dijkstra) en las 6 fases de salida posibles y en las 5 semillas probadas</w:t>
      </w:r>
      <w:r>
        <w:rPr>
          <w:rFonts w:ascii="Calibri" w:cs="Calibri" w:eastAsia="Calibri" w:hAnsi="Calibri"/>
          <w:sz w:val="20"/>
          <w:szCs w:val="20"/>
        </w:rPr>
        <w:t xml:space="preserve">. Sin semáforos encuentra una de las 4 rutas mínimas (18 pasos); con semáforos decide, según el momento del ciclo en que sale, entre aprovechar una «onda verde», esperar o desviarse por una ruta más larga (20 pasos) que los evita. Los experimentos muestran que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 exploración y la función de recompensa determinan lo que el agente aprende</w:t>
      </w:r>
      <w:r>
        <w:rPr>
          <w:rFonts w:ascii="Calibri" w:cs="Calibri" w:eastAsia="Calibri" w:hAnsi="Calibri"/>
          <w:sz w:val="20"/>
          <w:szCs w:val="20"/>
        </w:rPr>
        <w:t xml:space="preserve">, y que la ruta más corta en celdas no siempre es la mejor.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10"/>
        <w:gridCol w:w="2410"/>
      </w:tblGrid>
      <w:tr>
        <w:tc>
          <w:tcPr>
            <w:tcW w:type="dxa" w:w="24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A8"/>
                <w:sz w:val="36"/>
                <w:szCs w:val="36"/>
              </w:rPr>
              <w:t xml:space="preserve">18 pasos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573"/>
                <w:sz w:val="15"/>
                <w:szCs w:val="15"/>
              </w:rPr>
              <w:t xml:space="preserve">ruta aprendida sin semáforos (el mínimo posible)</w:t>
            </w:r>
          </w:p>
        </w:tc>
        <w:tc>
          <w:tcPr>
            <w:tcW w:type="dxa" w:w="24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A8"/>
                <w:sz w:val="36"/>
                <w:szCs w:val="36"/>
              </w:rPr>
              <w:t xml:space="preserve">6 de 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573"/>
                <w:sz w:val="15"/>
                <w:szCs w:val="15"/>
              </w:rPr>
              <w:t xml:space="preserve">fases de salida con retorno óptimo (en las 5 semillas)</w:t>
            </w:r>
          </w:p>
        </w:tc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A8"/>
                <w:sz w:val="36"/>
                <w:szCs w:val="36"/>
              </w:rPr>
              <w:t xml:space="preserve">80,83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573"/>
                <w:sz w:val="15"/>
                <w:szCs w:val="15"/>
              </w:rPr>
              <w:t xml:space="preserve">retorno medio del agente = óptimo exacto</w:t>
            </w:r>
          </w:p>
        </w:tc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A8"/>
                <w:sz w:val="36"/>
                <w:szCs w:val="36"/>
              </w:rPr>
              <w:t xml:space="preserve">−0,83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573"/>
                <w:sz w:val="15"/>
                <w:szCs w:val="15"/>
              </w:rPr>
              <w:t xml:space="preserve">pérdida si el agente no ve el ciclo de los semáforos</w:t>
            </w:r>
          </w:p>
        </w:tc>
      </w:tr>
    </w:tbl>
    <w:p>
      <w:pPr>
        <w:pStyle w:val="Heading1"/>
        <w:keepNext/>
        <w:spacing w:after="60" w:before="150"/>
      </w:pPr>
      <w:r>
        <w:rPr>
          <w:rFonts w:ascii="Calibri" w:cs="Calibri" w:eastAsia="Calibri" w:hAnsi="Calibri"/>
          <w:b/>
          <w:bCs/>
          <w:color w:val="1F5FA8"/>
          <w:sz w:val="24"/>
          <w:szCs w:val="24"/>
        </w:rPr>
        <w:t xml:space="preserve">1. Planteamiento y modelo</w:t>
      </w:r>
    </w:p>
    <w:p>
      <w:pPr>
        <w:spacing w:after="70" w:before="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La ciudad (Figura 1a) tiene 26 obstáculos, el inicio arriba a la izquierda, el destino abajo a la derecha y tres semáforos en las intersecciones (0,7), (4,8) y (7,8). Existen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 rutas mínimas de 18 pasos</w:t>
      </w:r>
      <w:r>
        <w:rPr>
          <w:rFonts w:ascii="Calibri" w:cs="Calibri" w:eastAsia="Calibri" w:hAnsi="Calibri"/>
          <w:sz w:val="20"/>
          <w:szCs w:val="20"/>
        </w:rPr>
        <w:t xml:space="preserve"> (cruzan 2 o 3 semáforos)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una ruta alternativa de 20 pasos</w:t>
      </w:r>
      <w:r>
        <w:rPr>
          <w:rFonts w:ascii="Calibri" w:cs="Calibri" w:eastAsia="Calibri" w:hAnsi="Calibri"/>
          <w:sz w:val="20"/>
          <w:szCs w:val="20"/>
        </w:rPr>
        <w:t xml:space="preserve"> que evita todos. Cada semáforo repite un ciclo de 6 instantes (3 en verde y 3 en rojo) con desfases 0, 2 y 4, de modo que no están sincronizados.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</w:trP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8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(fila, columna, fase del ciclo): 100 celdas × 6 fases = 600 estados. La fase fija el color de todos los semáforos.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Acciones</w:t>
            </w:r>
          </w:p>
        </w:tc>
        <w:tc>
          <w:tcPr>
            <w:tcW w:type="dxa" w:w="8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↑  ↓  ←  →  y esperar (5 acciones).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Recompensa</w:t>
            </w:r>
          </w:p>
        </w:tc>
        <w:tc>
          <w:tcPr>
            <w:tcW w:type="dxa" w:w="8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−1 por paso o espera · −5 adicional por chocar (no se mueve) · −20 adicional por entrar a un semáforo en rojo · +100 al llegar.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Algoritmo</w:t>
            </w:r>
          </w:p>
        </w:tc>
        <w:tc>
          <w:tcPr>
            <w:tcW w:type="dxa" w:w="8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Q-Learning tabular, política ε-greedy (ε: 1,0 → 0,05), α = 0,1, γ = 0,99, Q inicial = 100 (optimista), 10.000 episodios, fase inicial aleatoria, 5 semillas.</w:t>
            </w:r>
          </w:p>
        </w:tc>
      </w:tr>
    </w:tbl>
    <w:p>
      <w:pPr>
        <w:keepNext/>
        <w:spacing w:after="0" w:before="60"/>
        <w:jc w:val="center"/>
      </w:pPr>
      <w:r>
        <w:drawing>
          <wp:inline distT="0" distB="0" distL="0" distR="0">
            <wp:extent cx="6115050" cy="2695575"/>
            <wp:effectExtent t="0" r="0" b="0" l="0"/>
            <wp:docPr id="1" name="../../informe/figs/fig1_ciudad_rutas.png" descr="Ciudad, rutas de referencia y recorridos del agente" title="Ciudad, rutas de referencia y recorridos del ag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30"/>
        <w:jc w:val="left"/>
      </w:pPr>
      <w:r>
        <w:rPr>
          <w:rFonts w:ascii="Calibri" w:cs="Calibri" w:eastAsia="Calibri" w:hAnsi="Calibri"/>
          <w:i/>
          <w:iCs/>
          <w:color w:val="5B6573"/>
          <w:sz w:val="16"/>
          <w:szCs w:val="16"/>
        </w:rPr>
        <w:t xml:space="preserve">Figura 1. (a) Ciudad, rutas mínimas (gris; más oscuro = tramo compartido) y ruta sin semáforos (verde). (b) y (c) Recorridos del agente entrenado saliendo en las fases 0 y 3. Cada semáforo se muestra con el color que tenía cuando el agente lo cruzó (ámbar = no lo cruzó).</w:t>
      </w:r>
    </w:p>
    <w:p>
      <w:pPr>
        <w:pStyle w:val="Heading1"/>
        <w:keepNext/>
        <w:spacing w:after="60" w:before="150"/>
      </w:pPr>
      <w:r>
        <w:rPr>
          <w:rFonts w:ascii="Calibri" w:cs="Calibri" w:eastAsia="Calibri" w:hAnsi="Calibri"/>
          <w:b/>
          <w:bCs/>
          <w:color w:val="1F5FA8"/>
          <w:sz w:val="24"/>
          <w:szCs w:val="24"/>
        </w:rPr>
        <w:t xml:space="preserve">2. Evolución del entrenamiento</w:t>
      </w:r>
    </w:p>
    <w:p>
      <w:pPr>
        <w:spacing w:after="70" w:before="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La Figura 2 muestra cómo evoluciona la recompensa. La media de los primeros 200 episodios es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−474</w:t>
      </w:r>
      <w:r>
        <w:rPr>
          <w:rFonts w:ascii="Calibri" w:cs="Calibri" w:eastAsia="Calibri" w:hAnsi="Calibri"/>
          <w:sz w:val="20"/>
          <w:szCs w:val="20"/>
        </w:rPr>
        <w:t xml:space="preserve"> sin semáforos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−525</w:t>
      </w:r>
      <w:r>
        <w:rPr>
          <w:rFonts w:ascii="Calibri" w:cs="Calibri" w:eastAsia="Calibri" w:hAnsi="Calibri"/>
          <w:sz w:val="20"/>
          <w:szCs w:val="20"/>
        </w:rPr>
        <w:t xml:space="preserve"> con semáforos: el agente choca y agota los 200 pasos. La política greedy alcanza el óptimo hacia el episodio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420</w:t>
      </w:r>
      <w:r>
        <w:rPr>
          <w:rFonts w:ascii="Calibri" w:cs="Calibri" w:eastAsia="Calibri" w:hAnsi="Calibri"/>
          <w:sz w:val="20"/>
          <w:szCs w:val="20"/>
        </w:rPr>
        <w:t xml:space="preserve"> sin semáforos y hacia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4.520</w:t>
      </w:r>
      <w:r>
        <w:rPr>
          <w:rFonts w:ascii="Calibri" w:cs="Calibri" w:eastAsia="Calibri" w:hAnsi="Calibri"/>
          <w:sz w:val="20"/>
          <w:szCs w:val="20"/>
        </w:rPr>
        <w:t xml:space="preserve"> con semáforos (600 estados en lugar de 100). La recompensa de entrenamiento queda algo por debajo del óptimo (79,8 y 77,7 en los últimos 500 episodios) porque el agente sigue explorando con ε = 0,05.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6115050" cy="2466975"/>
            <wp:effectExtent t="0" r="0" b="0" l="0"/>
            <wp:docPr id="1" name="../../informe/figs/fig2_recompensa.png" descr="Evolución de la recompensa durante el entrenamiento" title="Evolución de la recompensa durante el entrena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30"/>
        <w:jc w:val="left"/>
      </w:pPr>
      <w:r>
        <w:rPr>
          <w:rFonts w:ascii="Calibri" w:cs="Calibri" w:eastAsia="Calibri" w:hAnsi="Calibri"/>
          <w:i/>
          <w:iCs/>
          <w:color w:val="5B6573"/>
          <w:sz w:val="16"/>
          <w:szCs w:val="16"/>
        </w:rPr>
        <w:t xml:space="preserve">Figura 2. Recompensa por episodio (media móvil de 200 episodios; promedio de 5 semillas, banda = desviación) y retorno de la política greedy. La línea punteada es el óptimo exacto.</w:t>
      </w:r>
    </w:p>
    <w:p>
      <w:pPr>
        <w:pStyle w:val="Heading1"/>
        <w:keepNext/>
        <w:spacing w:after="60" w:before="150"/>
      </w:pPr>
      <w:r>
        <w:rPr>
          <w:rFonts w:ascii="Calibri" w:cs="Calibri" w:eastAsia="Calibri" w:hAnsi="Calibri"/>
          <w:b/>
          <w:bCs/>
          <w:color w:val="1F5FA8"/>
          <w:sz w:val="24"/>
          <w:szCs w:val="24"/>
        </w:rPr>
        <w:t xml:space="preserve">3. La ruta aprendida: ¿esperar o desviarse?</w:t>
      </w:r>
    </w:p>
    <w:p>
      <w:pPr>
        <w:spacing w:after="60" w:before="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Sin semáforos, el agente encuentra una de las rutas mínimas (18 pasos, retorno 82) sin chocar, en las 5 semillas. Con semáforos, la mejor decisión depende de 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fase del ciclo en que sale</w:t>
      </w:r>
      <w:r>
        <w:rPr>
          <w:rFonts w:ascii="Calibri" w:cs="Calibri" w:eastAsia="Calibri" w:hAnsi="Calibri"/>
          <w:sz w:val="20"/>
          <w:szCs w:val="20"/>
        </w:rPr>
        <w:t xml:space="preserve"> (Tabla 1). El agente coincide con el óptimo en todas las fases (✓).</w:t>
      </w:r>
    </w:p>
    <w:p>
      <w:pPr>
        <w:keepNext/>
        <w:spacing w:after="50" w:before="40"/>
        <w:jc w:val="left"/>
      </w:pPr>
      <w:r>
        <w:rPr>
          <w:rFonts w:ascii="Calibri" w:cs="Calibri" w:eastAsia="Calibri" w:hAnsi="Calibri"/>
          <w:i/>
          <w:iCs/>
          <w:color w:val="5B6573"/>
          <w:sz w:val="16"/>
          <w:szCs w:val="16"/>
        </w:rPr>
        <w:t xml:space="preserve">Tabla 1. Decisión óptima según la fase de salida (costo = pasos + esperas + multas). Cruzar semáforos cuesta 18 solo si se llega en verde («onda verde»).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50"/>
        <w:gridCol w:w="1350"/>
        <w:gridCol w:w="2900"/>
        <w:gridCol w:w="1738"/>
        <w:gridCol w:w="1500"/>
      </w:tblGrid>
      <w:tr>
        <w:trPr>
          <w:cantSplit/>
          <w:tblHeader/>
        </w:trPr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 de salida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Costo cruzando semáforos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Costo desviándose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Mejor decisión</w:t>
            </w:r>
          </w:p>
        </w:tc>
        <w:tc>
          <w:tcPr>
            <w:tcW w:type="dxa" w:w="1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Agente: pasos / esperas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Retorno agente (= óptimo)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Cruzar sin esperar («onda verde»)</w:t>
            </w:r>
          </w:p>
        </w:tc>
        <w:tc>
          <w:tcPr>
            <w:tcW w:type="dxa" w:w="1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 / 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  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Cruzar sin esperar («onda verde»)</w:t>
            </w:r>
          </w:p>
        </w:tc>
        <w:tc>
          <w:tcPr>
            <w:tcW w:type="dxa" w:w="1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 / 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  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Desviarse (ruta de 20 pasos)</w:t>
            </w:r>
          </w:p>
        </w:tc>
        <w:tc>
          <w:tcPr>
            <w:tcW w:type="dxa" w:w="1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 / 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  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21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Desviarse (ruta de 20 pasos)</w:t>
            </w:r>
          </w:p>
        </w:tc>
        <w:tc>
          <w:tcPr>
            <w:tcW w:type="dxa" w:w="1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 / 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  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Empate: esperar = desviarse</w:t>
            </w:r>
          </w:p>
        </w:tc>
        <w:tc>
          <w:tcPr>
            <w:tcW w:type="dxa" w:w="1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 / 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  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</w:t>
            </w:r>
          </w:p>
        </w:tc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Cruzar esperando 1 paso</w:t>
            </w:r>
          </w:p>
        </w:tc>
        <w:tc>
          <w:tcPr>
            <w:tcW w:type="dxa" w:w="1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 / 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81  ✓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2238375" cy="2238375"/>
                  <wp:effectExtent t="0" r="0" b="0" l="0"/>
                  <wp:docPr id="1" name="fig3" descr="Mapa de decisiones del agente" title="Mapa de decisi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573"/>
                <w:sz w:val="16"/>
                <w:szCs w:val="16"/>
              </w:rPr>
              <w:t xml:space="preserve">Figura 3. Mapa de decisiones: flecha azul = misma acción en cualquier fase; celda naranja = la acción depende de la fase; ○ = esperar.</w:t>
            </w:r>
          </w:p>
        </w:tc>
        <w:tc>
          <w:tcPr>
            <w:tcW w:type="dxa" w:w="5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0"/>
              <w:right w:type="dxa" w:w="0"/>
            </w:tcMar>
            <w:vAlign w:val="top"/>
          </w:tcPr>
          <w:p>
            <w:pPr>
              <w:spacing w:after="80" w:before="0" w:line="252"/>
              <w:jc w:val="both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leer la Figura 3.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agente recorre la ciudad saliendo desde las 6 fases posibles. Si en una celda siempre hace lo mismo, se dibuja una flecha azul; si la acción depende de la fase del ciclo, la celda se pinta de naranja.</w:t>
            </w:r>
          </w:p>
          <w:p>
            <w:pPr>
              <w:spacing w:after="80" w:before="0" w:line="252"/>
              <w:jc w:val="both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(i)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agente nunca espera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frente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un semáforo: cuando le conviene esperar lo hace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antes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(celdas (0,1) y (1,4)) para sincronizar su llegada con el verde. Cuesta lo mismo (−1 por instante) y evita quedar detenido en la intersección.</w:t>
            </w:r>
          </w:p>
          <w:p>
            <w:pPr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(ii)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Solo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de las 32 celdas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por las que pasa tienen una decisión que depende de la fase; en el resto la acción es siempre la misma. La «inteligencia» de la política está concentrada en el inicio del recorrido, donde se decide con qué ritmo llegar a los semáforos.</w:t>
            </w:r>
          </w:p>
        </w:tc>
      </w:tr>
    </w:tbl>
    <w:p>
      <w:pPr>
        <w:pStyle w:val="Heading1"/>
        <w:keepNext/>
        <w:spacing w:after="60" w:before="150"/>
      </w:pPr>
      <w:r>
        <w:rPr>
          <w:rFonts w:ascii="Calibri" w:cs="Calibri" w:eastAsia="Calibri" w:hAnsi="Calibri"/>
          <w:b/>
          <w:bCs/>
          <w:color w:val="1F5FA8"/>
          <w:sz w:val="24"/>
          <w:szCs w:val="24"/>
        </w:rPr>
        <w:t xml:space="preserve">4. Experimentos: parámetros, exploración y recompensa</w:t>
      </w:r>
    </w:p>
    <w:p>
      <w:pPr>
        <w:keepNext/>
        <w:spacing w:after="60" w:before="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 cambió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 factor a la vez</w:t>
      </w:r>
      <w:r>
        <w:rPr>
          <w:rFonts w:ascii="Calibri" w:cs="Calibri" w:eastAsia="Calibri" w:hAnsi="Calibri"/>
          <w:sz w:val="20"/>
          <w:szCs w:val="20"/>
        </w:rPr>
        <w:t xml:space="preserve"> (5 semillas, 10.000 episodios por configuración).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Brecha</w:t>
      </w:r>
      <w:r>
        <w:rPr>
          <w:rFonts w:ascii="Calibri" w:cs="Calibri" w:eastAsia="Calibri" w:hAnsi="Calibri"/>
          <w:sz w:val="20"/>
          <w:szCs w:val="20"/>
        </w:rPr>
        <w:t xml:space="preserve"> = óptimo − retorno de la política greedy (0 = óptima). Los valores de retorno son la media sobre las 6 fases de salida.</w:t>
      </w:r>
    </w:p>
    <w:p>
      <w:pPr>
        <w:keepNext/>
        <w:spacing w:after="50" w:before="40"/>
        <w:jc w:val="left"/>
      </w:pPr>
      <w:r>
        <w:rPr>
          <w:rFonts w:ascii="Calibri" w:cs="Calibri" w:eastAsia="Calibri" w:hAnsi="Calibri"/>
          <w:i/>
          <w:iCs/>
          <w:color w:val="5B6573"/>
          <w:sz w:val="16"/>
          <w:szCs w:val="16"/>
        </w:rPr>
        <w:t xml:space="preserve">Tabla 2. Efecto de cada factor sobre la política aprendida (la fila «base» es α = 0,1, γ = 0,99, Q inicial 100, multa −20).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50"/>
        <w:gridCol w:w="780"/>
        <w:gridCol w:w="700"/>
        <w:gridCol w:w="1560"/>
        <w:gridCol w:w="3548"/>
      </w:tblGrid>
      <w:tr>
        <w:trPr>
          <w:cantSplit/>
          <w:tblHeader/>
        </w:trPr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Factor</w:t>
            </w:r>
          </w:p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Retorno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Brecha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Convergencia (episodios; semillas)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Comportamiento observado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α</w:t>
            </w:r>
          </w:p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α = 0,01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−163,23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244,07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converge (0/5)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Casi no aprende: solo el 40 % de los recorridos llega al destino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α = 0,05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80,43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0,40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9.999 (2/5)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Muy lento: solo 2 de 5 semillas llegan al óptimo al final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α = 0,1 (base)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80,83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4.520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Política óptima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α = 0,5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80,83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640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Política óptima, unas 7 veces más rápido (entorno determinista)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γ</w:t>
            </w:r>
          </w:p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γ = 0,5 · 0,9 · 0,999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80,83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4.100 – 5.660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Misma política final en los tres casos: γ no la altera en este entorno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Exploración</w:t>
            </w:r>
          </w:p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 inicial 0, ε decae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80,33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0,50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converge (0/5)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 estanca en una ruta subóptima (la alternativa casi no se explora)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 inicial 0, ε = 0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77,23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3,60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converge (0/5)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Peor caso: alta variabilidad entre semillas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 inicial 0, ε = 0,05 fijo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78,90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1,93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converge (0/5)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Subóptima aunque explore un 5 % del tiempo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 inicial 100, ε = 0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80,83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8.720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Óptima: el optimismo basta para explorar, pero converge lento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 inicial 100, ε = 0,5 fijo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80,83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2.800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Óptima, pero la recompensa de entrenamiento es solo 16,1 (actúa al azar la mitad del tiempo)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Recompensa</w:t>
            </w:r>
          </w:p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Multa por rojo = 0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82,00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2.660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Cruza en rojo 1,0 veces por recorrido y «gana» más (82 &gt; 80,83):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reward hacking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Multa por rojo = −2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80,83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4.860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Cruza en rojo en 0,17 veces por recorrido: casi le da igual esperar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Multa por rojo = −5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80,83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4.000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Obedece siempre (igual que con −20, la base)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Costo por paso = 0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100,00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2.120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Mismo comportamiento; solo cambia la escala del retorno (100,0)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3FA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Semáforos</w:t>
            </w:r>
          </w:p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Verde 1 de cada 6 instantes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80,17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3.460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Óptimo más bajo (80,17): más rojos, mayor costo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Verde 5 de cada 6 instantes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81,50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6.300 (5/5)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Óptimo más alto (81,50): más verdes, menor costo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</w:tcPr>
          <w:p/>
        </w:tc>
        <w:tc>
          <w:tcPr>
            <w:tcW w:type="dxa" w:w="19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Agente que no ve la fase</w:t>
            </w:r>
          </w:p>
        </w:tc>
        <w:tc>
          <w:tcPr>
            <w:tcW w:type="dxa" w:w="7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80,00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0,83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converge (0/5)</w:t>
            </w:r>
          </w:p>
        </w:tc>
        <w:tc>
          <w:tcPr>
            <w:tcW w:type="dxa" w:w="3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Aprende a evitar todos los semáforos (20 pasos): pierde 0,83 de media</w:t>
            </w:r>
          </w:p>
        </w:tc>
      </w:tr>
    </w:tbl>
    <w:p>
      <w:pPr>
        <w:spacing w:after="30"/>
      </w:pPr>
    </w:p>
    <w:p>
      <w:pPr>
        <w:pStyle w:val="ListParagraph"/>
        <w:numPr>
          <w:ilvl w:val="0"/>
          <w:numId w:val="2"/>
        </w:numPr>
        <w:spacing w:after="40" w:line="25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Exploración.</w:t>
      </w:r>
      <w:r>
        <w:rPr>
          <w:rFonts w:ascii="Calibri" w:cs="Calibri" w:eastAsia="Calibri" w:hAnsi="Calibri"/>
          <w:sz w:val="20"/>
          <w:szCs w:val="20"/>
        </w:rPr>
        <w:t xml:space="preserve"> Con Q inicial = 0, los valores cerca del destino son positivos y las acciones no probadas parecen peores; el agente casi no prueba la ruta alternativa y queda entre 0,5 y 3,6 puntos bajo el óptimo. La inicialización optimista (Q = 100) fuerza a probar todo y las 5 semillas llegan al óptimo.</w:t>
      </w:r>
    </w:p>
    <w:p>
      <w:pPr>
        <w:pStyle w:val="ListParagraph"/>
        <w:numPr>
          <w:ilvl w:val="0"/>
          <w:numId w:val="2"/>
        </w:numPr>
        <w:spacing w:after="40" w:line="25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Recompensa.</w:t>
      </w:r>
      <w:r>
        <w:rPr>
          <w:rFonts w:ascii="Calibri" w:cs="Calibri" w:eastAsia="Calibri" w:hAnsi="Calibri"/>
          <w:sz w:val="20"/>
          <w:szCs w:val="20"/>
        </w:rPr>
        <w:t xml:space="preserve"> Es el factor que más cambia el comportamiento: sin multa el agente ignora los rojos porque así obtiene más recompensa; con una multa de −5 o más, obedece.</w:t>
      </w:r>
    </w:p>
    <w:p>
      <w:pPr>
        <w:pStyle w:val="ListParagraph"/>
        <w:numPr>
          <w:ilvl w:val="0"/>
          <w:numId w:val="2"/>
        </w:numPr>
        <w:spacing w:after="40" w:line="25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α y γ.</w:t>
      </w:r>
      <w:r>
        <w:rPr>
          <w:rFonts w:ascii="Calibri" w:cs="Calibri" w:eastAsia="Calibri" w:hAnsi="Calibri"/>
          <w:sz w:val="20"/>
          <w:szCs w:val="20"/>
        </w:rPr>
        <w:t xml:space="preserve"> Una α muy baja no aprende en el presupuesto de episodios; γ, entre 0,5 y 0,999, no altera la política porque hay una recompensa terminal y las rutas comparadas miden 18–20 pasos.</w:t>
      </w:r>
    </w:p>
    <w:p>
      <w:pPr>
        <w:pStyle w:val="Heading1"/>
        <w:keepNext/>
        <w:spacing w:after="60" w:before="150"/>
      </w:pPr>
      <w:r>
        <w:rPr>
          <w:rFonts w:ascii="Calibri" w:cs="Calibri" w:eastAsia="Calibri" w:hAnsi="Calibri"/>
          <w:b/>
          <w:bCs/>
          <w:color w:val="1F5FA8"/>
          <w:sz w:val="24"/>
          <w:szCs w:val="24"/>
        </w:rPr>
        <w:t xml:space="preserve">5. ¿La ruta aprendida es realmente la más corta?</w:t>
      </w:r>
    </w:p>
    <w:p>
      <w:pPr>
        <w:keepNext/>
        <w:spacing w:after="60" w:before="0" w:line="252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 siempre en número de celdas, pero sí es la mejor en recompensa.</w:t>
      </w:r>
      <w:r>
        <w:rPr>
          <w:rFonts w:ascii="Calibri" w:cs="Calibri" w:eastAsia="Calibri" w:hAnsi="Calibri"/>
          <w:sz w:val="20"/>
          <w:szCs w:val="20"/>
        </w:rPr>
        <w:t xml:space="preserve"> Se comparó al agente con cuatro estrategias de referencia en el mismo entorno (Tabla 3, retorno por fase de salida).</w:t>
      </w:r>
    </w:p>
    <w:p>
      <w:pPr>
        <w:keepNext/>
        <w:spacing w:after="50" w:before="40"/>
        <w:jc w:val="left"/>
      </w:pPr>
      <w:r>
        <w:rPr>
          <w:rFonts w:ascii="Calibri" w:cs="Calibri" w:eastAsia="Calibri" w:hAnsi="Calibri"/>
          <w:i/>
          <w:iCs/>
          <w:color w:val="5B6573"/>
          <w:sz w:val="16"/>
          <w:szCs w:val="16"/>
        </w:rPr>
        <w:t xml:space="preserve">Tabla 3. Retorno por estilo de conducción y fase de salida. Verde: agente Q-Learning.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850"/>
        <w:gridCol w:w="850"/>
        <w:gridCol w:w="850"/>
        <w:gridCol w:w="850"/>
        <w:gridCol w:w="850"/>
        <w:gridCol w:w="850"/>
        <w:gridCol w:w="1500"/>
      </w:tblGrid>
      <w:tr>
        <w:trPr>
          <w:cantSplit/>
          <w:tblHeader/>
        </w:trPr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Estrategia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 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 3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 4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 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5FA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Conductor apurado (ruta más corta, ignora rojos)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62,00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Conductor paciente (ruta más corta, espera el verde)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78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79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80,33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Conductor precavido (evita los semáforos)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80,00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4F1E7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Agente Q-Learning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4F1E7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4F1E7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4F1E7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4F1E7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4F1E7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4F1E7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4F1E7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80,83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Óptimo exacto (Dijkstra)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8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80,83</w:t>
            </w:r>
          </w:p>
        </w:tc>
      </w:tr>
    </w:tbl>
    <w:p>
      <w:pPr>
        <w:spacing w:after="30"/>
      </w:pPr>
    </w:p>
    <w:p>
      <w:pPr>
        <w:keepNext/>
        <w:spacing w:after="0" w:before="60"/>
        <w:jc w:val="center"/>
      </w:pPr>
      <w:r>
        <w:drawing>
          <wp:inline distT="0" distB="0" distL="0" distR="0">
            <wp:extent cx="6115050" cy="2095500"/>
            <wp:effectExtent t="0" r="0" b="0" l="0"/>
            <wp:docPr id="1" name="../../informe/figs/fig4_conductores.png" descr="Retorno por estilo de conducción y fase de salida" title="Retorno por estilo de conducción y fase de sal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30"/>
        <w:jc w:val="left"/>
      </w:pPr>
      <w:r>
        <w:rPr>
          <w:rFonts w:ascii="Calibri" w:cs="Calibri" w:eastAsia="Calibri" w:hAnsi="Calibri"/>
          <w:i/>
          <w:iCs/>
          <w:color w:val="5B6573"/>
          <w:sz w:val="16"/>
          <w:szCs w:val="16"/>
        </w:rPr>
        <w:t xml:space="preserve">Figura 4. Retorno según el estilo de conducción y la fase de salida. (b) Zoom sin el conductor apurado: el agente coincide con el óptimo (línea gris) en todas las fases; ni la ruta más corta con espera ni la ruta sin semáforos lo logran.</w:t>
      </w:r>
    </w:p>
    <w:p>
      <w:pPr>
        <w:spacing w:after="40" w:before="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La ruta más corta (18 pasos) solo es la mejor en las fases 0 y 1. En las fases 2 y 3, esperar el verde en esa ruta rinde 78 y 79, menos que el desvío de 20 pasos (80). Los factores que hacen más conveniente una ruta son:</w:t>
      </w:r>
    </w:p>
    <w:p>
      <w:pPr>
        <w:pStyle w:val="ListParagraph"/>
        <w:numPr>
          <w:ilvl w:val="0"/>
          <w:numId w:val="2"/>
        </w:numPr>
        <w:spacing w:after="40" w:line="25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Número de pasos y esperas:</w:t>
      </w:r>
      <w:r>
        <w:rPr>
          <w:rFonts w:ascii="Calibri" w:cs="Calibri" w:eastAsia="Calibri" w:hAnsi="Calibri"/>
          <w:sz w:val="20"/>
          <w:szCs w:val="20"/>
        </w:rPr>
        <w:t xml:space="preserve"> cada uno cuesta −1; la espera necesaria depende de la fase con que se llega a cada semáforo (0 a 3 instantes).</w:t>
      </w:r>
    </w:p>
    <w:p>
      <w:pPr>
        <w:pStyle w:val="ListParagraph"/>
        <w:numPr>
          <w:ilvl w:val="0"/>
          <w:numId w:val="2"/>
        </w:numPr>
        <w:spacing w:after="40" w:line="25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Sincronización de los semáforos</w:t>
      </w:r>
      <w:r>
        <w:rPr>
          <w:rFonts w:ascii="Calibri" w:cs="Calibri" w:eastAsia="Calibri" w:hAnsi="Calibri"/>
          <w:sz w:val="20"/>
          <w:szCs w:val="20"/>
        </w:rPr>
        <w:t xml:space="preserve"> («onda verde»): con la salida adecuada, la ruta corta no cuesta nada extra.</w:t>
      </w:r>
    </w:p>
    <w:p>
      <w:pPr>
        <w:pStyle w:val="ListParagraph"/>
        <w:numPr>
          <w:ilvl w:val="0"/>
          <w:numId w:val="2"/>
        </w:numPr>
        <w:spacing w:after="40" w:line="25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Tamaño de la multa:</w:t>
      </w:r>
      <w:r>
        <w:rPr>
          <w:rFonts w:ascii="Calibri" w:cs="Calibri" w:eastAsia="Calibri" w:hAnsi="Calibri"/>
          <w:sz w:val="20"/>
          <w:szCs w:val="20"/>
        </w:rPr>
        <w:t xml:space="preserve"> con multa baja o nula, la «mejor» ruta según la recompensa pasa a ser la que ignora los rojos.</w:t>
      </w:r>
    </w:p>
    <w:p>
      <w:pPr>
        <w:pStyle w:val="ListParagraph"/>
        <w:numPr>
          <w:ilvl w:val="0"/>
          <w:numId w:val="2"/>
        </w:numPr>
        <w:spacing w:after="40" w:line="25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Información disponible y empates:</w:t>
      </w:r>
      <w:r>
        <w:rPr>
          <w:rFonts w:ascii="Calibri" w:cs="Calibri" w:eastAsia="Calibri" w:hAnsi="Calibri"/>
          <w:sz w:val="20"/>
          <w:szCs w:val="20"/>
        </w:rPr>
        <w:t xml:space="preserve"> sin ver el ciclo, lo más seguro es evitar los semáforos (−0,83 en promedio); en la fase 4 esperar y desviarse cuestan lo mismo.</w:t>
      </w:r>
    </w:p>
    <w:p>
      <w:pPr>
        <w:pStyle w:val="Heading1"/>
        <w:keepNext/>
        <w:spacing w:after="60" w:before="150"/>
      </w:pPr>
      <w:r>
        <w:rPr>
          <w:rFonts w:ascii="Calibri" w:cs="Calibri" w:eastAsia="Calibri" w:hAnsi="Calibri"/>
          <w:b/>
          <w:bCs/>
          <w:color w:val="1F5FA8"/>
          <w:sz w:val="24"/>
          <w:szCs w:val="24"/>
        </w:rPr>
        <w:t xml:space="preserve">6. Conclusiones</w:t>
      </w:r>
    </w:p>
    <w:p>
      <w:pPr>
        <w:pStyle w:val="ListParagraph"/>
        <w:numPr>
          <w:ilvl w:val="0"/>
          <w:numId w:val="2"/>
        </w:num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Q-Learning con el estado ampliado (posición + fase del ciclo) aprende políticas óptimas en esta ciudad: 6 de 6 fases y 5 de 5 semillas.</w:t>
      </w:r>
    </w:p>
    <w:p>
      <w:pPr>
        <w:pStyle w:val="ListParagraph"/>
        <w:numPr>
          <w:ilvl w:val="0"/>
          <w:numId w:val="2"/>
        </w:num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Conviene cuidar el diseño de 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exploración</w:t>
      </w:r>
      <w:r>
        <w:rPr>
          <w:rFonts w:ascii="Calibri" w:cs="Calibri" w:eastAsia="Calibri" w:hAnsi="Calibri"/>
          <w:sz w:val="20"/>
          <w:szCs w:val="20"/>
        </w:rPr>
        <w:t xml:space="preserve"> (Q inicial optimista) y de 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recompensa</w:t>
      </w:r>
      <w:r>
        <w:rPr>
          <w:rFonts w:ascii="Calibri" w:cs="Calibri" w:eastAsia="Calibri" w:hAnsi="Calibri"/>
          <w:sz w:val="20"/>
          <w:szCs w:val="20"/>
        </w:rPr>
        <w:t xml:space="preserve"> (multa suficiente) antes que afinar γ.</w:t>
      </w:r>
    </w:p>
    <w:p>
      <w:pPr>
        <w:pStyle w:val="ListParagraph"/>
        <w:numPr>
          <w:ilvl w:val="0"/>
          <w:numId w:val="2"/>
        </w:num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Limitaciones: semáforos deterministas y conocidos, y mapa pequeño con tabla Q exacta. Extensiones: semáforos aleatorios con observación parcial, tráfico de otros vehículos y mapas grandes con Deep Q-Networks.</w:t>
      </w:r>
    </w:p>
    <w:p>
      <w:pPr>
        <w:spacing w:before="60"/>
      </w:pPr>
      <w:r>
        <w:rPr>
          <w:rFonts w:ascii="Calibri" w:cs="Calibri" w:eastAsia="Calibri" w:hAnsi="Calibri"/>
          <w:i/>
          <w:iCs/>
          <w:color w:val="5B6573"/>
          <w:sz w:val="16"/>
          <w:szCs w:val="16"/>
        </w:rPr>
        <w:t xml:space="preserve">Código, figuras y animación del recorrido: notebook «Ejercicio_Semana3_QLearning.ipynb».</w:t>
      </w:r>
    </w:p>
    <w:sectPr>
      <w:footerReference w:type="default" r:id="rId7"/>
      <w:pgSz w:w="11906" w:h="16838" w:orient="portrait"/>
      <w:pgMar w:top="1000" w:right="1134" w:bottom="1000" w:left="1134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3"/>
        <w:sz w:val="15"/>
        <w:szCs w:val="15"/>
      </w:rPr>
      <w:t xml:space="preserve">Informe ejecutivo · Q-Learning · Página </w:t>
    </w:r>
    <w:r>
      <w:rPr>
        <w:rFonts w:ascii="Calibri" w:cs="Calibri" w:eastAsia="Calibri" w:hAnsi="Calibri"/>
        <w:color w:val="5B657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573"/>
        <w:sz w:val="15"/>
        <w:szCs w:val="15"/>
      </w:rPr>
      <w:t xml:space="preserve"> de </w:t>
    </w:r>
    <w:r>
      <w:rPr>
        <w:rFonts w:ascii="Calibri" w:cs="Calibri" w:eastAsia="Calibri" w:hAnsi="Calibri"/>
        <w:color w:val="5B657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50"/>
      <w:outlineLvl w:val="0"/>
    </w:pPr>
    <w:rPr>
      <w:rFonts w:ascii="Calibri" w:cs="Calibri" w:eastAsia="Calibri" w:hAnsi="Calibri"/>
      <w:b/>
      <w:bCs/>
      <w:color w:val="1F5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d21b724eeecd16f185d6aefa6028f62d888cb45.png"/><Relationship Id="rId9" Type="http://schemas.openxmlformats.org/officeDocument/2006/relationships/image" Target="media/4ca6b10c3659968302e56ffc57ed9e1a2761d721.png"/><Relationship Id="rId10" Type="http://schemas.openxmlformats.org/officeDocument/2006/relationships/image" Target="media/4e096cba6bf5b7b871ffbcdcb5844df5146588b7.png"/><Relationship Id="rId11" Type="http://schemas.openxmlformats.org/officeDocument/2006/relationships/image" Target="media/6eb3b8ef4a459bc2197469c1fd8a0108491d40c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ejecutivo: agente autónomo con Q-Learning</dc:title>
  <dc:creator>Ejercicio Práctico Semana 3</dc:creator>
  <cp:lastModifiedBy>Un-named</cp:lastModifiedBy>
  <cp:revision>1</cp:revision>
  <dcterms:created xsi:type="dcterms:W3CDTF">2026-09-19T16:56:03.344Z</dcterms:created>
  <dcterms:modified xsi:type="dcterms:W3CDTF">2026-09-19T16:56:03.348Z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