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/V1/taxRates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/rest/default/V1/taxRates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tax rate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taxTaxRateRepositoryV1SavePostBody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taxRate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{"id":{"type":"integer","description":"Id"},"tax_country_id":{"type":"string","description":"Country id"},"tax_region_id":{"type":"integer","description":"Region id"},"region_name":{"type":"string","description":"Region name"},"tax_postcode":{"type":"string","description":"Postcode"},"zip_is_range":{"type":"integer","description":"Zip is range"},"zip_from":{"type":"integer","description":"Zip range from"},"zip_to":{"type":"integer","description":"Zip range to"},"rate":{"type":"number","description":"Tax rate in percentage"},"code":{"type":"string","description":"Tax rate code"},"titles":{"type":"array","description":"Tax rate titles","items":{"$ref":"#\/definitions\/tax-data-tax-rate-title-interface"}},"extension_attributes":{"$ref":"#\/definitions\/tax-data-tax-rate-extension-interface"}}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{"id":{"type":"integer","description":"Id"},"tax_country_id":{"type":"string","description":"Country id"},"tax_region_id":{"type":"integer","description":"Region id"},"region_name":{"type":"string","description":"Region name"},"tax_postcode":{"type":"string","description":"Postcode"},"zip_is_range":{"type":"integer","description":"Zip is range"},"zip_from":{"type":"integer","description":"Zip range from"},"zip_to":{"type":"integer","description":"Zip range to"},"rate":{"type":"number","description":"Tax rate in percentage"},"code":{"type":"string","description":"Tax rate code"},"titles":{"type":"array","description":"Tax rate titles","items":{"$ref":"#\/definitions\/tax-data-tax-rate-title-interface"}},"extension_attributes":{"$ref":"#\/definitions\/tax-data-tax-rate-extension-interface"}}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