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/V1/taxRules/{ruleId}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/rest/default/V1/taxRules/{ruleId}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TaxRule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{"id":{"type":"integer","description":"Id"},"code":{"type":"string","description":"Tax rule code"},"priority":{"type":"integer","description":"Priority"},"position":{"type":"integer","description":"Sort order."},"customer_tax_class_ids":{"type":"array","description":"Customer tax class id","items":{"type":"integer"}},"product_tax_class_ids":{"type":"array","description":"Product tax class id","items":{"type":"integer"}},"tax_rate_ids":{"type":"array","description":"Tax rate ids","items":{"type":"integer"}},"calculate_subtotal":{"type":"boolean","description":"Calculate subtotal."},"extension_attributes":{"$ref":"#\/definitions\/tax-data-tax-rule-extension-interface"}}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