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/V1/taxRules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/rest/default/V1/taxRules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TaxRule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taxTaxRuleRepositoryV1SavePostBody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{"id":{"type":"integer","description":"Id"},"code":{"type":"string","description":"Tax rule code"},"priority":{"type":"integer","description":"Priority"},"position":{"type":"integer","description":"Sort order."},"customer_tax_class_ids":{"type":"array","description":"Customer tax class id","items":{"type":"integer"}},"product_tax_class_ids":{"type":"array","description":"Product tax class id","items":{"type":"integer"}},"tax_rate_ids":{"type":"array","description":"Tax rate ids","items":{"type":"integer"}},"calculate_subtotal":{"type":"boolean","description":"Calculate subtotal."},"extension_attributes":{"$ref":"#\/definitions\/tax-data-tax-rule-extension-interface"}}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{"id":{"type":"integer","description":"Id"},"code":{"type":"string","description":"Tax rule code"},"priority":{"type":"integer","description":"Priority"},"position":{"type":"integer","description":"Sort order."},"customer_tax_class_ids":{"type":"array","description":"Customer tax class id","items":{"type":"integer"}},"product_tax_class_ids":{"type":"array","description":"Product tax class id","items":{"type":"integer"}},"tax_rate_ids":{"type":"array","description":"Tax rate ids","items":{"type":"integer"}},"calculate_subtotal":{"type":"boolean","description":"Calculate subtotal."},"extension_attributes":{"$ref":"#\/definitions\/tax-data-tax-rule-extension-interface"}}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