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/V1/taxRules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/rest/default/V1/taxRules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TaxRule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taxTaxRuleRepositoryV1SavePutBody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rule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{"id":{"type":"integer","description":"Id"},"code":{"type":"string","description":"Tax rule code"},"priority":{"type":"integer","description":"Priority"},"position":{"type":"integer","description":"Sort order."},"customer_tax_class_ids":{"type":"array","description":"Customer tax class id","items":{"type":"integer"}},"product_tax_class_ids":{"type":"array","description":"Product tax class id","items":{"type":"integer"}},"tax_rate_ids":{"type":"array","description":"Tax rate ids","items":{"type":"integer"}},"calculate_subtotal":{"type":"boolean","description":"Calculate subtotal."},"extension_attributes":{"$ref":"#\/definitions\/tax-data-tax-rule-extension-interface"}}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{"id":{"type":"integer","description":"Id"},"code":{"type":"string","description":"Tax rule code"},"priority":{"type":"integer","description":"Priority"},"position":{"type":"integer","description":"Sort order."},"customer_tax_class_ids":{"type":"array","description":"Customer tax class id","items":{"type":"integer"}},"product_tax_class_ids":{"type":"array","description":"Product tax class id","items":{"type":"integer"}},"tax_rate_ids":{"type":"array","description":"Tax rate ids","items":{"type":"integer"}},"calculate_subtotal":{"type":"boolean","description":"Calculate subtotal."},"extension_attributes":{"$ref":"#\/definitions\/tax-data-tax-rule-extension-interface"}}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