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533F3" w14:textId="15895DC0" w:rsidR="009437AD" w:rsidRPr="00CB12B2" w:rsidRDefault="00CB12B2" w:rsidP="00CB12B2">
      <w:pPr>
        <w:spacing w:line="360" w:lineRule="auto"/>
        <w:rPr>
          <w:rFonts w:ascii="Arial" w:hAnsi="Arial" w:cs="Arial"/>
          <w:b/>
          <w:bCs/>
          <w:color w:val="525252" w:themeColor="accent3" w:themeShade="80"/>
          <w:sz w:val="28"/>
          <w:szCs w:val="28"/>
        </w:rPr>
      </w:pPr>
      <w:r w:rsidRPr="00CB12B2">
        <w:rPr>
          <w:rFonts w:ascii="Arial" w:hAnsi="Arial" w:cs="Arial"/>
          <w:b/>
          <w:bCs/>
          <w:color w:val="525252" w:themeColor="accent3" w:themeShade="80"/>
          <w:sz w:val="28"/>
          <w:szCs w:val="28"/>
        </w:rPr>
        <w:t>Abstract</w:t>
      </w:r>
    </w:p>
    <w:p w14:paraId="51DE552F" w14:textId="5976BC05" w:rsidR="00CB12B2" w:rsidRPr="00CB12B2" w:rsidRDefault="00CB12B2" w:rsidP="00CB12B2">
      <w:pPr>
        <w:spacing w:line="360" w:lineRule="auto"/>
        <w:rPr>
          <w:rFonts w:ascii="Arial" w:hAnsi="Arial" w:cs="Arial"/>
          <w:sz w:val="28"/>
          <w:szCs w:val="28"/>
        </w:rPr>
      </w:pPr>
    </w:p>
    <w:p w14:paraId="3B1804C0" w14:textId="6A9F6B2A" w:rsidR="00CB12B2" w:rsidRDefault="00CB12B2" w:rsidP="00CB12B2">
      <w:pPr>
        <w:spacing w:line="360" w:lineRule="auto"/>
        <w:rPr>
          <w:rFonts w:ascii="Arial" w:hAnsi="Arial" w:cs="Arial"/>
          <w:sz w:val="22"/>
          <w:szCs w:val="22"/>
        </w:rPr>
      </w:pPr>
      <w:r w:rsidRPr="00CB12B2">
        <w:rPr>
          <w:rFonts w:ascii="Arial" w:hAnsi="Arial" w:cs="Arial"/>
        </w:rPr>
        <w:tab/>
      </w:r>
      <w:r w:rsidRPr="00CB12B2">
        <w:rPr>
          <w:rFonts w:ascii="Arial" w:hAnsi="Arial" w:cs="Arial"/>
          <w:sz w:val="22"/>
          <w:szCs w:val="22"/>
        </w:rPr>
        <w:t xml:space="preserve">Droplet-based single-cell RNA sequencing (scRNA-seq) is a powerful tool for elucidating </w:t>
      </w:r>
      <w:r>
        <w:rPr>
          <w:rFonts w:ascii="Arial" w:hAnsi="Arial" w:cs="Arial"/>
          <w:sz w:val="22"/>
          <w:szCs w:val="22"/>
        </w:rPr>
        <w:t xml:space="preserve">developmental, physiological, and pathological processes in biological systems. Unsupervised clustering of scRNA-seq data </w:t>
      </w:r>
      <w:r w:rsidR="0009041E">
        <w:rPr>
          <w:rFonts w:ascii="Arial" w:hAnsi="Arial" w:cs="Arial"/>
          <w:sz w:val="22"/>
          <w:szCs w:val="22"/>
        </w:rPr>
        <w:t xml:space="preserve">is </w:t>
      </w:r>
      <w:r w:rsidR="0009041E" w:rsidRPr="0071707C">
        <w:rPr>
          <w:rFonts w:ascii="Arial" w:hAnsi="Arial" w:cs="Arial"/>
          <w:sz w:val="22"/>
          <w:szCs w:val="22"/>
          <w:highlight w:val="yellow"/>
        </w:rPr>
        <w:t xml:space="preserve">a </w:t>
      </w:r>
      <w:r w:rsidR="0009041E" w:rsidRPr="0071707C">
        <w:rPr>
          <w:rFonts w:ascii="Arial" w:hAnsi="Arial" w:cs="Arial"/>
          <w:color w:val="000000" w:themeColor="text1"/>
          <w:sz w:val="22"/>
          <w:szCs w:val="22"/>
          <w:highlight w:val="yellow"/>
        </w:rPr>
        <w:t>crucial</w:t>
      </w:r>
      <w:r w:rsidR="0009041E">
        <w:rPr>
          <w:rFonts w:ascii="Arial" w:hAnsi="Arial" w:cs="Arial"/>
          <w:color w:val="000000" w:themeColor="text1"/>
          <w:sz w:val="22"/>
          <w:szCs w:val="22"/>
        </w:rPr>
        <w:t>(key/indispensable/necessary/obligatory)</w:t>
      </w:r>
      <w:r w:rsidR="0009041E">
        <w:rPr>
          <w:rFonts w:ascii="Arial" w:hAnsi="Arial" w:cs="Arial"/>
          <w:sz w:val="22"/>
          <w:szCs w:val="22"/>
        </w:rPr>
        <w:t xml:space="preserve"> step in scRNA-seq analysis workflows that </w:t>
      </w:r>
      <w:r>
        <w:rPr>
          <w:rFonts w:ascii="Arial" w:hAnsi="Arial" w:cs="Arial"/>
          <w:sz w:val="22"/>
          <w:szCs w:val="22"/>
        </w:rPr>
        <w:t>enables the identification of distinct cell types, subtypes, and states. However most clustering algorithms require an estimate of the number of distinct cell types present</w:t>
      </w:r>
      <w:r w:rsidR="00730C4C">
        <w:rPr>
          <w:rFonts w:ascii="Arial" w:hAnsi="Arial" w:cs="Arial"/>
          <w:sz w:val="22"/>
          <w:szCs w:val="22"/>
        </w:rPr>
        <w:t>, as well as the dimensionality of the data</w:t>
      </w:r>
      <w:r>
        <w:rPr>
          <w:rFonts w:ascii="Arial" w:hAnsi="Arial" w:cs="Arial"/>
          <w:sz w:val="22"/>
          <w:szCs w:val="22"/>
        </w:rPr>
        <w:t xml:space="preserve">. </w:t>
      </w:r>
      <w:r w:rsidR="0009041E">
        <w:rPr>
          <w:rFonts w:ascii="Arial" w:hAnsi="Arial" w:cs="Arial"/>
          <w:sz w:val="22"/>
          <w:szCs w:val="22"/>
        </w:rPr>
        <w:t xml:space="preserve">Such </w:t>
      </w:r>
      <w:r w:rsidR="0009041E">
        <w:rPr>
          <w:rFonts w:ascii="Arial" w:hAnsi="Arial" w:cs="Arial"/>
          <w:i/>
          <w:iCs/>
          <w:sz w:val="22"/>
          <w:szCs w:val="22"/>
        </w:rPr>
        <w:t>a priori</w:t>
      </w:r>
      <w:r w:rsidR="0009041E">
        <w:rPr>
          <w:rFonts w:ascii="Arial" w:hAnsi="Arial" w:cs="Arial"/>
          <w:sz w:val="22"/>
          <w:szCs w:val="22"/>
        </w:rPr>
        <w:t xml:space="preserve"> knowledge is not always available, especially for poorly characterized tissues, which can result in many different interpretations of identical datasets. To address this unmet challenge, we have developed AutoClustR, a tool for automated and unbiased single-cell clustering.</w:t>
      </w:r>
      <w:r w:rsidR="00EE4F5C">
        <w:rPr>
          <w:rFonts w:ascii="Arial" w:hAnsi="Arial" w:cs="Arial"/>
          <w:sz w:val="22"/>
          <w:szCs w:val="22"/>
        </w:rPr>
        <w:t xml:space="preserve"> </w:t>
      </w:r>
      <w:r w:rsidR="00730C4C" w:rsidRPr="0071707C">
        <w:rPr>
          <w:rFonts w:ascii="Arial" w:hAnsi="Arial" w:cs="Arial"/>
          <w:sz w:val="22"/>
          <w:szCs w:val="22"/>
          <w:highlight w:val="yellow"/>
        </w:rPr>
        <w:t xml:space="preserve">We compared 7 methods of dimensionality selection and 14 different ICVIs to empirically ground AutoClustR’s approach to automated clustering. </w:t>
      </w:r>
      <w:r w:rsidR="00EE4F5C" w:rsidRPr="0071707C">
        <w:rPr>
          <w:rFonts w:ascii="Arial" w:hAnsi="Arial" w:cs="Arial"/>
          <w:sz w:val="22"/>
          <w:szCs w:val="22"/>
          <w:highlight w:val="yellow"/>
        </w:rPr>
        <w:t>Aut</w:t>
      </w:r>
      <w:r w:rsidR="00730C4C" w:rsidRPr="0071707C">
        <w:rPr>
          <w:rFonts w:ascii="Arial" w:hAnsi="Arial" w:cs="Arial"/>
          <w:sz w:val="22"/>
          <w:szCs w:val="22"/>
          <w:highlight w:val="yellow"/>
        </w:rPr>
        <w:t>oClustR was benchmarked and shown to accurately identify (x percent of cells?), outperforming 6 alternate scRNA-seq analysis platforms</w:t>
      </w:r>
      <w:r w:rsidR="00730C4C" w:rsidRPr="0071707C">
        <w:rPr>
          <w:rFonts w:ascii="Arial" w:hAnsi="Arial" w:cs="Arial"/>
          <w:sz w:val="22"/>
          <w:szCs w:val="22"/>
        </w:rPr>
        <w:t>.</w:t>
      </w:r>
      <w:r w:rsidR="00730C4C">
        <w:rPr>
          <w:rFonts w:ascii="Arial" w:hAnsi="Arial" w:cs="Arial"/>
          <w:sz w:val="22"/>
          <w:szCs w:val="22"/>
        </w:rPr>
        <w:t xml:space="preserve"> Then, AutoClustR was applied to a real-world dataset derived from human embryonic stem cell-derived inner ear organoids to reveal a previously unappreciated diversity of cell types</w:t>
      </w:r>
      <w:r w:rsidR="00730C4C" w:rsidRPr="0071707C">
        <w:rPr>
          <w:rFonts w:ascii="Arial" w:hAnsi="Arial" w:cs="Arial"/>
          <w:sz w:val="22"/>
          <w:szCs w:val="22"/>
          <w:highlight w:val="yellow"/>
        </w:rPr>
        <w:t>. AutoClustR</w:t>
      </w:r>
      <w:r w:rsidR="00A96D91" w:rsidRPr="0071707C">
        <w:rPr>
          <w:rFonts w:ascii="Arial" w:hAnsi="Arial" w:cs="Arial"/>
          <w:sz w:val="22"/>
          <w:szCs w:val="22"/>
          <w:highlight w:val="yellow"/>
        </w:rPr>
        <w:t>’s approach allows researchers to characterize novel datasets, and the empirical support for this approach is a valuable resource for fellow bioinformaticians.</w:t>
      </w:r>
    </w:p>
    <w:p w14:paraId="00DF0AD8" w14:textId="07AFB91E" w:rsidR="00992746" w:rsidRDefault="00992746" w:rsidP="00CB12B2">
      <w:pPr>
        <w:spacing w:line="360" w:lineRule="auto"/>
        <w:rPr>
          <w:rFonts w:ascii="Arial" w:hAnsi="Arial" w:cs="Arial"/>
          <w:sz w:val="22"/>
          <w:szCs w:val="22"/>
        </w:rPr>
      </w:pPr>
    </w:p>
    <w:p w14:paraId="7B5D73A9" w14:textId="4B2B15D7" w:rsidR="00992746" w:rsidRDefault="00992746">
      <w:pPr>
        <w:rPr>
          <w:rFonts w:ascii="Arial" w:hAnsi="Arial" w:cs="Arial"/>
          <w:sz w:val="22"/>
          <w:szCs w:val="22"/>
          <w:highlight w:val="yellow"/>
        </w:rPr>
      </w:pPr>
      <w:r>
        <w:rPr>
          <w:rFonts w:ascii="Arial" w:hAnsi="Arial" w:cs="Arial"/>
          <w:sz w:val="22"/>
          <w:szCs w:val="22"/>
          <w:highlight w:val="yellow"/>
        </w:rPr>
        <w:br w:type="page"/>
      </w:r>
    </w:p>
    <w:p w14:paraId="0F882D80" w14:textId="469A286E" w:rsidR="00DD31DE" w:rsidRPr="00CB12B2" w:rsidRDefault="00DD31DE" w:rsidP="00DD31DE">
      <w:pPr>
        <w:spacing w:line="360" w:lineRule="auto"/>
        <w:rPr>
          <w:rFonts w:ascii="Arial" w:hAnsi="Arial" w:cs="Arial"/>
          <w:b/>
          <w:bCs/>
          <w:color w:val="525252" w:themeColor="accent3" w:themeShade="80"/>
          <w:sz w:val="28"/>
          <w:szCs w:val="28"/>
        </w:rPr>
      </w:pPr>
      <w:r>
        <w:rPr>
          <w:rFonts w:ascii="Arial" w:hAnsi="Arial" w:cs="Arial"/>
          <w:b/>
          <w:bCs/>
          <w:color w:val="525252" w:themeColor="accent3" w:themeShade="80"/>
          <w:sz w:val="28"/>
          <w:szCs w:val="28"/>
        </w:rPr>
        <w:lastRenderedPageBreak/>
        <w:t>Introduction</w:t>
      </w:r>
    </w:p>
    <w:p w14:paraId="76464430" w14:textId="77777777" w:rsidR="00DD31DE" w:rsidRPr="00CB12B2" w:rsidRDefault="00DD31DE" w:rsidP="00DD31DE">
      <w:pPr>
        <w:spacing w:line="360" w:lineRule="auto"/>
        <w:rPr>
          <w:rFonts w:ascii="Arial" w:hAnsi="Arial" w:cs="Arial"/>
          <w:sz w:val="28"/>
          <w:szCs w:val="28"/>
        </w:rPr>
      </w:pPr>
    </w:p>
    <w:p w14:paraId="00B2EA97" w14:textId="613769A6" w:rsidR="00DD31DE" w:rsidRPr="009935B0" w:rsidRDefault="00DD31DE" w:rsidP="009935B0">
      <w:pPr>
        <w:spacing w:line="480" w:lineRule="auto"/>
        <w:jc w:val="both"/>
        <w:rPr>
          <w:rFonts w:ascii="Arial" w:hAnsi="Arial" w:cs="Arial"/>
          <w:sz w:val="22"/>
          <w:szCs w:val="22"/>
        </w:rPr>
      </w:pPr>
      <w:r w:rsidRPr="00CB12B2">
        <w:rPr>
          <w:rFonts w:ascii="Arial" w:hAnsi="Arial" w:cs="Arial"/>
        </w:rPr>
        <w:tab/>
      </w:r>
      <w:r w:rsidR="00834C94" w:rsidRPr="009935B0">
        <w:rPr>
          <w:rFonts w:ascii="Arial" w:hAnsi="Arial" w:cs="Arial"/>
          <w:sz w:val="22"/>
          <w:szCs w:val="22"/>
        </w:rPr>
        <w:t xml:space="preserve">Single-cell RNA sequencing (scRNA-seq) allows for whole transcriptome profiling at the level of individual cells, which has yielded new insights into processes such as embryonic development, tissue regeneration, and disease pathogenesis.  </w:t>
      </w:r>
      <w:r w:rsidR="005C6F03" w:rsidRPr="009935B0">
        <w:rPr>
          <w:rFonts w:ascii="Arial" w:hAnsi="Arial" w:cs="Arial"/>
          <w:sz w:val="22"/>
          <w:szCs w:val="22"/>
        </w:rPr>
        <w:t xml:space="preserve">This technology enables high-resolution interrogation of the transcriptome, revealing the full transcriptional diversity of entire organs or developmental processes. However, this high-resolution approach presents a big-data problem. Extracting meaningful information from large scRNA-seq datasets (with thousands to tens-of-thousands of cells, each expressing thousands of genes) is impossible without the help of machine learning and </w:t>
      </w:r>
      <w:r w:rsidR="005C6F03" w:rsidRPr="009935B0">
        <w:rPr>
          <w:rFonts w:ascii="Arial" w:hAnsi="Arial" w:cs="Arial"/>
          <w:sz w:val="22"/>
          <w:szCs w:val="22"/>
          <w:highlight w:val="yellow"/>
        </w:rPr>
        <w:t>similarly focused</w:t>
      </w:r>
      <w:r w:rsidR="005C6F03" w:rsidRPr="009935B0">
        <w:rPr>
          <w:rFonts w:ascii="Arial" w:hAnsi="Arial" w:cs="Arial"/>
          <w:sz w:val="22"/>
          <w:szCs w:val="22"/>
        </w:rPr>
        <w:t xml:space="preserve"> computational tools </w:t>
      </w:r>
      <w:r w:rsidR="005C6F03" w:rsidRPr="009935B0">
        <w:rPr>
          <w:rFonts w:ascii="Arial" w:hAnsi="Arial" w:cs="Arial"/>
          <w:sz w:val="22"/>
          <w:szCs w:val="22"/>
          <w:highlight w:val="red"/>
        </w:rPr>
        <w:t>[[and machine learning approaches]].</w:t>
      </w:r>
    </w:p>
    <w:p w14:paraId="055C5500" w14:textId="0A1C4E97" w:rsidR="00052428" w:rsidRPr="009935B0" w:rsidRDefault="005C6F03" w:rsidP="009935B0">
      <w:pPr>
        <w:spacing w:line="480" w:lineRule="auto"/>
        <w:jc w:val="both"/>
        <w:rPr>
          <w:rFonts w:ascii="Arial" w:hAnsi="Arial" w:cs="Arial"/>
          <w:sz w:val="22"/>
          <w:szCs w:val="22"/>
        </w:rPr>
      </w:pPr>
      <w:r w:rsidRPr="009935B0">
        <w:rPr>
          <w:rFonts w:ascii="Arial" w:hAnsi="Arial" w:cs="Arial"/>
          <w:sz w:val="22"/>
          <w:szCs w:val="22"/>
        </w:rPr>
        <w:tab/>
        <w:t xml:space="preserve">One such tool is unsupervised clustering. A crucial step in the standard workflow, unsupervised clustering groups cells based on similar (or dissimilar) </w:t>
      </w:r>
      <w:r w:rsidR="006031D8" w:rsidRPr="009935B0">
        <w:rPr>
          <w:rFonts w:ascii="Arial" w:hAnsi="Arial" w:cs="Arial"/>
          <w:sz w:val="22"/>
          <w:szCs w:val="22"/>
        </w:rPr>
        <w:t xml:space="preserve">gene expression profiles, </w:t>
      </w:r>
      <w:r w:rsidRPr="009935B0">
        <w:rPr>
          <w:rFonts w:ascii="Arial" w:hAnsi="Arial" w:cs="Arial"/>
          <w:sz w:val="22"/>
          <w:szCs w:val="22"/>
        </w:rPr>
        <w:t xml:space="preserve">without any </w:t>
      </w:r>
      <w:r w:rsidRPr="009935B0">
        <w:rPr>
          <w:rFonts w:ascii="Arial" w:hAnsi="Arial" w:cs="Arial"/>
          <w:i/>
          <w:iCs/>
          <w:sz w:val="22"/>
          <w:szCs w:val="22"/>
          <w:highlight w:val="yellow"/>
        </w:rPr>
        <w:t>a priori</w:t>
      </w:r>
      <w:r w:rsidRPr="009935B0">
        <w:rPr>
          <w:rFonts w:ascii="Arial" w:hAnsi="Arial" w:cs="Arial"/>
          <w:sz w:val="22"/>
          <w:szCs w:val="22"/>
        </w:rPr>
        <w:t xml:space="preserve"> information on which genes </w:t>
      </w:r>
      <w:r w:rsidR="006031D8" w:rsidRPr="009935B0">
        <w:rPr>
          <w:rFonts w:ascii="Arial" w:hAnsi="Arial" w:cs="Arial"/>
          <w:sz w:val="22"/>
          <w:szCs w:val="22"/>
        </w:rPr>
        <w:t>are</w:t>
      </w:r>
      <w:r w:rsidRPr="009935B0">
        <w:rPr>
          <w:rFonts w:ascii="Arial" w:hAnsi="Arial" w:cs="Arial"/>
          <w:sz w:val="22"/>
          <w:szCs w:val="22"/>
        </w:rPr>
        <w:t xml:space="preserve"> considered important. </w:t>
      </w:r>
      <w:r w:rsidR="006031D8" w:rsidRPr="009935B0">
        <w:rPr>
          <w:rFonts w:ascii="Arial" w:hAnsi="Arial" w:cs="Arial"/>
          <w:sz w:val="22"/>
          <w:szCs w:val="22"/>
        </w:rPr>
        <w:t xml:space="preserve">It is referred to as “unsupervised” because there are no labelled training datasets that can be used to refine the method by which cells are </w:t>
      </w:r>
      <w:r w:rsidR="006031D8" w:rsidRPr="009935B0">
        <w:rPr>
          <w:rFonts w:ascii="Arial" w:hAnsi="Arial" w:cs="Arial"/>
          <w:sz w:val="22"/>
          <w:szCs w:val="22"/>
          <w:highlight w:val="yellow"/>
        </w:rPr>
        <w:t>classified/grouped.</w:t>
      </w:r>
      <w:r w:rsidR="006031D8" w:rsidRPr="009935B0">
        <w:rPr>
          <w:rFonts w:ascii="Arial" w:hAnsi="Arial" w:cs="Arial"/>
          <w:sz w:val="22"/>
          <w:szCs w:val="22"/>
        </w:rPr>
        <w:t xml:space="preserve"> Cells are grouped into c</w:t>
      </w:r>
      <w:r w:rsidRPr="009935B0">
        <w:rPr>
          <w:rFonts w:ascii="Arial" w:hAnsi="Arial" w:cs="Arial"/>
          <w:sz w:val="22"/>
          <w:szCs w:val="22"/>
        </w:rPr>
        <w:t>omputationally de</w:t>
      </w:r>
      <w:r w:rsidR="006031D8" w:rsidRPr="009935B0">
        <w:rPr>
          <w:rFonts w:ascii="Arial" w:hAnsi="Arial" w:cs="Arial"/>
          <w:sz w:val="22"/>
          <w:szCs w:val="22"/>
        </w:rPr>
        <w:t>termined/defined</w:t>
      </w:r>
      <w:r w:rsidRPr="009935B0">
        <w:rPr>
          <w:rFonts w:ascii="Arial" w:hAnsi="Arial" w:cs="Arial"/>
          <w:sz w:val="22"/>
          <w:szCs w:val="22"/>
        </w:rPr>
        <w:t xml:space="preserve"> clusters</w:t>
      </w:r>
      <w:r w:rsidR="006031D8" w:rsidRPr="009935B0">
        <w:rPr>
          <w:rFonts w:ascii="Arial" w:hAnsi="Arial" w:cs="Arial"/>
          <w:sz w:val="22"/>
          <w:szCs w:val="22"/>
        </w:rPr>
        <w:t xml:space="preserve"> that </w:t>
      </w:r>
      <w:r w:rsidRPr="009935B0">
        <w:rPr>
          <w:rFonts w:ascii="Arial" w:hAnsi="Arial" w:cs="Arial"/>
          <w:sz w:val="22"/>
          <w:szCs w:val="22"/>
        </w:rPr>
        <w:t xml:space="preserve">are presumed to represent cell types, </w:t>
      </w:r>
      <w:r w:rsidR="006031D8" w:rsidRPr="009935B0">
        <w:rPr>
          <w:rFonts w:ascii="Arial" w:hAnsi="Arial" w:cs="Arial"/>
          <w:sz w:val="22"/>
          <w:szCs w:val="22"/>
        </w:rPr>
        <w:t>physical regions, or developmental stages. Then, downstream analysis is performed on these clusters, yielding findings more statistically robust than could be obtained by examining individual cells.</w:t>
      </w:r>
      <w:r w:rsidR="00052428" w:rsidRPr="009935B0">
        <w:rPr>
          <w:rFonts w:ascii="Arial" w:hAnsi="Arial" w:cs="Arial"/>
          <w:sz w:val="22"/>
          <w:szCs w:val="22"/>
        </w:rPr>
        <w:t xml:space="preserve"> Because these clusters are used as inputs for downstream analysis, false clusters (e.g., where two distinct cell types are erroneously grouped together) negatively impact results and obscure biological truths the data contain. Therefore, accurate cluster identification is of the utmost importance.</w:t>
      </w:r>
    </w:p>
    <w:p w14:paraId="4ADC6F85" w14:textId="2904891C" w:rsidR="00C93F83" w:rsidRPr="009935B0" w:rsidRDefault="00052428" w:rsidP="009935B0">
      <w:pPr>
        <w:spacing w:line="480" w:lineRule="auto"/>
        <w:jc w:val="both"/>
        <w:rPr>
          <w:rFonts w:ascii="Arial" w:hAnsi="Arial" w:cs="Arial"/>
          <w:sz w:val="22"/>
          <w:szCs w:val="22"/>
        </w:rPr>
      </w:pPr>
      <w:r w:rsidRPr="009935B0">
        <w:rPr>
          <w:rFonts w:ascii="Arial" w:hAnsi="Arial" w:cs="Arial"/>
          <w:sz w:val="22"/>
          <w:szCs w:val="22"/>
        </w:rPr>
        <w:tab/>
        <w:t xml:space="preserve">Many different platforms for scRNA-seq analysis exist, each </w:t>
      </w:r>
      <w:r w:rsidR="00C93F83" w:rsidRPr="009935B0">
        <w:rPr>
          <w:rFonts w:ascii="Arial" w:hAnsi="Arial" w:cs="Arial"/>
          <w:sz w:val="22"/>
          <w:szCs w:val="22"/>
        </w:rPr>
        <w:t>employing a unique workflow</w:t>
      </w:r>
      <w:r w:rsidRPr="009935B0">
        <w:rPr>
          <w:rFonts w:ascii="Arial" w:hAnsi="Arial" w:cs="Arial"/>
          <w:sz w:val="22"/>
          <w:szCs w:val="22"/>
        </w:rPr>
        <w:t xml:space="preserve"> </w:t>
      </w:r>
      <w:r w:rsidR="00C93F83" w:rsidRPr="009935B0">
        <w:rPr>
          <w:rFonts w:ascii="Arial" w:hAnsi="Arial" w:cs="Arial"/>
          <w:sz w:val="22"/>
          <w:szCs w:val="22"/>
        </w:rPr>
        <w:t>to transform raw data into clusters of cells</w:t>
      </w:r>
      <w:r w:rsidRPr="009935B0">
        <w:rPr>
          <w:rFonts w:ascii="Arial" w:hAnsi="Arial" w:cs="Arial"/>
          <w:sz w:val="22"/>
          <w:szCs w:val="22"/>
        </w:rPr>
        <w:t xml:space="preserve">. Regardless of the specific algorithms the platforms employ, </w:t>
      </w:r>
      <w:r w:rsidRPr="009935B0">
        <w:rPr>
          <w:rFonts w:ascii="Arial" w:hAnsi="Arial" w:cs="Arial"/>
          <w:sz w:val="22"/>
          <w:szCs w:val="22"/>
          <w:highlight w:val="yellow"/>
        </w:rPr>
        <w:t xml:space="preserve">there are two major </w:t>
      </w:r>
      <w:r w:rsidR="00C93F83" w:rsidRPr="009935B0">
        <w:rPr>
          <w:rFonts w:ascii="Arial" w:hAnsi="Arial" w:cs="Arial"/>
          <w:sz w:val="22"/>
          <w:szCs w:val="22"/>
          <w:highlight w:val="yellow"/>
        </w:rPr>
        <w:t>choices they share.</w:t>
      </w:r>
      <w:r w:rsidR="00C93F83" w:rsidRPr="009935B0">
        <w:rPr>
          <w:rFonts w:ascii="Arial" w:hAnsi="Arial" w:cs="Arial"/>
          <w:sz w:val="22"/>
          <w:szCs w:val="22"/>
        </w:rPr>
        <w:t xml:space="preserve"> Each platform requires some form of dimensional reduction, compressing the 20,000+ </w:t>
      </w:r>
      <w:r w:rsidR="00B34379" w:rsidRPr="009935B0">
        <w:rPr>
          <w:rFonts w:ascii="Arial" w:hAnsi="Arial" w:cs="Arial"/>
          <w:sz w:val="22"/>
          <w:szCs w:val="22"/>
        </w:rPr>
        <w:t xml:space="preserve">dimensional space defined by the genes in the human </w:t>
      </w:r>
      <w:r w:rsidR="00B34379" w:rsidRPr="009935B0">
        <w:rPr>
          <w:rFonts w:ascii="Arial" w:hAnsi="Arial" w:cs="Arial"/>
          <w:sz w:val="22"/>
          <w:szCs w:val="22"/>
        </w:rPr>
        <w:lastRenderedPageBreak/>
        <w:t xml:space="preserve">transcriptome into a </w:t>
      </w:r>
      <w:r w:rsidR="00C93F83" w:rsidRPr="009935B0">
        <w:rPr>
          <w:rFonts w:ascii="Arial" w:hAnsi="Arial" w:cs="Arial"/>
          <w:sz w:val="22"/>
          <w:szCs w:val="22"/>
          <w:highlight w:val="yellow"/>
        </w:rPr>
        <w:t>smaller number of dimensions required to make subsequent transformations computationally feasible.</w:t>
      </w:r>
      <w:r w:rsidR="00C93F83" w:rsidRPr="009935B0">
        <w:rPr>
          <w:rFonts w:ascii="Arial" w:hAnsi="Arial" w:cs="Arial"/>
          <w:sz w:val="22"/>
          <w:szCs w:val="22"/>
        </w:rPr>
        <w:t xml:space="preserve"> The exact number of dimensions to retain, or </w:t>
      </w:r>
      <w:r w:rsidR="00C93F83" w:rsidRPr="009935B0">
        <w:rPr>
          <w:rFonts w:ascii="Arial" w:hAnsi="Arial" w:cs="Arial"/>
          <w:b/>
          <w:bCs/>
          <w:sz w:val="22"/>
          <w:szCs w:val="22"/>
        </w:rPr>
        <w:t>dimensionality</w:t>
      </w:r>
      <w:r w:rsidR="00C93F83" w:rsidRPr="009935B0">
        <w:rPr>
          <w:rFonts w:ascii="Arial" w:hAnsi="Arial" w:cs="Arial"/>
          <w:sz w:val="22"/>
          <w:szCs w:val="22"/>
        </w:rPr>
        <w:t>, is a choice that is usually left up to the user.</w:t>
      </w:r>
      <w:r w:rsidR="00C93F83" w:rsidRPr="009935B0">
        <w:rPr>
          <w:rFonts w:ascii="Arial" w:hAnsi="Arial" w:cs="Arial"/>
          <w:b/>
          <w:bCs/>
          <w:sz w:val="22"/>
          <w:szCs w:val="22"/>
        </w:rPr>
        <w:t xml:space="preserve"> </w:t>
      </w:r>
      <w:r w:rsidR="00C93F83" w:rsidRPr="009935B0">
        <w:rPr>
          <w:rFonts w:ascii="Arial" w:hAnsi="Arial" w:cs="Arial"/>
          <w:sz w:val="22"/>
          <w:szCs w:val="22"/>
        </w:rPr>
        <w:t xml:space="preserve"> The second choice requir</w:t>
      </w:r>
      <w:r w:rsidR="00E209C1" w:rsidRPr="009935B0">
        <w:rPr>
          <w:rFonts w:ascii="Arial" w:hAnsi="Arial" w:cs="Arial"/>
          <w:sz w:val="22"/>
          <w:szCs w:val="22"/>
        </w:rPr>
        <w:t xml:space="preserve">es users to select parameters or </w:t>
      </w:r>
      <w:r w:rsidR="00E209C1" w:rsidRPr="009935B0">
        <w:rPr>
          <w:rFonts w:ascii="Arial" w:hAnsi="Arial" w:cs="Arial"/>
          <w:sz w:val="22"/>
          <w:szCs w:val="22"/>
          <w:highlight w:val="yellow"/>
        </w:rPr>
        <w:t>hyper-parameters</w:t>
      </w:r>
      <w:r w:rsidR="00C93F83" w:rsidRPr="009935B0">
        <w:rPr>
          <w:rFonts w:ascii="Arial" w:hAnsi="Arial" w:cs="Arial"/>
          <w:sz w:val="22"/>
          <w:szCs w:val="22"/>
        </w:rPr>
        <w:t xml:space="preserve"> </w:t>
      </w:r>
      <w:r w:rsidR="00E209C1" w:rsidRPr="009935B0">
        <w:rPr>
          <w:rFonts w:ascii="Arial" w:hAnsi="Arial" w:cs="Arial"/>
          <w:sz w:val="22"/>
          <w:szCs w:val="22"/>
        </w:rPr>
        <w:t xml:space="preserve">that determine the performance of the clustering algorithm. This choice </w:t>
      </w:r>
      <w:r w:rsidR="00C93F83" w:rsidRPr="009935B0">
        <w:rPr>
          <w:rFonts w:ascii="Arial" w:hAnsi="Arial" w:cs="Arial"/>
          <w:sz w:val="22"/>
          <w:szCs w:val="22"/>
        </w:rPr>
        <w:t>is frequently obscured,</w:t>
      </w:r>
      <w:r w:rsidR="00E209C1" w:rsidRPr="009935B0">
        <w:rPr>
          <w:rFonts w:ascii="Arial" w:hAnsi="Arial" w:cs="Arial"/>
          <w:sz w:val="22"/>
          <w:szCs w:val="22"/>
        </w:rPr>
        <w:t xml:space="preserve"> with platforms using default values unless tuning is performed by end-users, changing clustering parameters can dramatically influence the final clustering solution</w:t>
      </w:r>
      <w:r w:rsidR="00C93F83" w:rsidRPr="009935B0">
        <w:rPr>
          <w:rFonts w:ascii="Arial" w:hAnsi="Arial" w:cs="Arial"/>
          <w:sz w:val="22"/>
          <w:szCs w:val="22"/>
        </w:rPr>
        <w:t>.</w:t>
      </w:r>
      <w:r w:rsidR="00E209C1" w:rsidRPr="009935B0">
        <w:rPr>
          <w:rFonts w:ascii="Arial" w:hAnsi="Arial" w:cs="Arial"/>
          <w:sz w:val="22"/>
          <w:szCs w:val="22"/>
        </w:rPr>
        <w:t xml:space="preserve"> In fact, a </w:t>
      </w:r>
      <w:r w:rsidR="00E209C1" w:rsidRPr="009935B0">
        <w:rPr>
          <w:rFonts w:ascii="Arial" w:hAnsi="Arial" w:cs="Arial"/>
          <w:sz w:val="22"/>
          <w:szCs w:val="22"/>
          <w:highlight w:val="yellow"/>
        </w:rPr>
        <w:t>REVIEW by XYZ et al.</w:t>
      </w:r>
      <w:r w:rsidR="00E209C1" w:rsidRPr="009935B0">
        <w:rPr>
          <w:rFonts w:ascii="Arial" w:hAnsi="Arial" w:cs="Arial"/>
          <w:sz w:val="22"/>
          <w:szCs w:val="22"/>
        </w:rPr>
        <w:t xml:space="preserve"> found that changing the hyper-parameters of a platform can profoundly influence performance, with intra-platform variance equal to or greater than inter-platform variance.</w:t>
      </w:r>
    </w:p>
    <w:p w14:paraId="44FA9126" w14:textId="387C4838" w:rsidR="00D971C6" w:rsidRPr="009935B0" w:rsidRDefault="00340DA0" w:rsidP="009935B0">
      <w:pPr>
        <w:spacing w:line="480" w:lineRule="auto"/>
        <w:jc w:val="both"/>
        <w:rPr>
          <w:rFonts w:ascii="Arial" w:hAnsi="Arial" w:cs="Arial"/>
          <w:sz w:val="22"/>
          <w:szCs w:val="22"/>
        </w:rPr>
      </w:pPr>
      <w:r w:rsidRPr="009935B0">
        <w:rPr>
          <w:rFonts w:ascii="Arial" w:hAnsi="Arial" w:cs="Arial"/>
          <w:sz w:val="22"/>
          <w:szCs w:val="22"/>
        </w:rPr>
        <w:tab/>
        <w:t>The most common approach to dimensional reduction is principal component analysis,</w:t>
      </w:r>
      <w:r w:rsidR="00B34379" w:rsidRPr="009935B0">
        <w:rPr>
          <w:rFonts w:ascii="Arial" w:hAnsi="Arial" w:cs="Arial"/>
          <w:sz w:val="22"/>
          <w:szCs w:val="22"/>
        </w:rPr>
        <w:t xml:space="preserve"> PCA,</w:t>
      </w:r>
      <w:r w:rsidRPr="009935B0">
        <w:rPr>
          <w:rFonts w:ascii="Arial" w:hAnsi="Arial" w:cs="Arial"/>
          <w:sz w:val="22"/>
          <w:szCs w:val="22"/>
        </w:rPr>
        <w:t xml:space="preserve"> which </w:t>
      </w:r>
      <w:r w:rsidR="00B34379" w:rsidRPr="009935B0">
        <w:rPr>
          <w:rFonts w:ascii="Arial" w:hAnsi="Arial" w:cs="Arial"/>
          <w:sz w:val="22"/>
          <w:szCs w:val="22"/>
        </w:rPr>
        <w:t xml:space="preserve">constructs linear combinations of variables to maximize the variance in the data explained by each such principal component. After PCA is </w:t>
      </w:r>
      <w:r w:rsidR="00F71AAF" w:rsidRPr="009935B0">
        <w:rPr>
          <w:rFonts w:ascii="Arial" w:hAnsi="Arial" w:cs="Arial"/>
          <w:sz w:val="22"/>
          <w:szCs w:val="22"/>
        </w:rPr>
        <w:t xml:space="preserve">performed, researchers must decide on the dimensionality of the data, i.e., how many principal components to retain for downstream calculations. Generally, somewhere between 5 and 25 PCs are retained. The question of how many </w:t>
      </w:r>
      <w:r w:rsidR="00F71AAF" w:rsidRPr="009935B0">
        <w:rPr>
          <w:rFonts w:ascii="Arial" w:hAnsi="Arial" w:cs="Arial"/>
          <w:sz w:val="22"/>
          <w:szCs w:val="22"/>
          <w:highlight w:val="yellow"/>
        </w:rPr>
        <w:t xml:space="preserve">principal component </w:t>
      </w:r>
      <w:r w:rsidR="00F71AAF" w:rsidRPr="009935B0">
        <w:rPr>
          <w:rFonts w:ascii="Arial" w:hAnsi="Arial" w:cs="Arial"/>
          <w:sz w:val="22"/>
          <w:szCs w:val="22"/>
        </w:rPr>
        <w:t xml:space="preserve">to retain is well researched, with the first such discussion appearing as far back as 1950 [M.S. Bartlett.] One common approach is to plot the variance explained by each PC against the principal component number. This is referred to as a scree plot, attributed to psychologist </w:t>
      </w:r>
      <w:r w:rsidR="00C04A85" w:rsidRPr="009935B0">
        <w:rPr>
          <w:rFonts w:ascii="Arial" w:hAnsi="Arial" w:cs="Arial"/>
          <w:sz w:val="22"/>
          <w:szCs w:val="22"/>
        </w:rPr>
        <w:t>Raymond Cattell in 1966</w:t>
      </w:r>
      <w:r w:rsidR="00F71AAF" w:rsidRPr="009935B0">
        <w:rPr>
          <w:rFonts w:ascii="Arial" w:hAnsi="Arial" w:cs="Arial"/>
          <w:sz w:val="22"/>
          <w:szCs w:val="22"/>
        </w:rPr>
        <w:t xml:space="preserve">. Several different approaches </w:t>
      </w:r>
      <w:r w:rsidR="00C04A85" w:rsidRPr="009935B0">
        <w:rPr>
          <w:rFonts w:ascii="Arial" w:hAnsi="Arial" w:cs="Arial"/>
          <w:sz w:val="22"/>
          <w:szCs w:val="22"/>
        </w:rPr>
        <w:t>take advantage of the</w:t>
      </w:r>
      <w:r w:rsidR="00F71AAF" w:rsidRPr="009935B0">
        <w:rPr>
          <w:rFonts w:ascii="Arial" w:hAnsi="Arial" w:cs="Arial"/>
          <w:sz w:val="22"/>
          <w:szCs w:val="22"/>
        </w:rPr>
        <w:t xml:space="preserve"> scree plot</w:t>
      </w:r>
      <w:r w:rsidR="00C04A85" w:rsidRPr="009935B0">
        <w:rPr>
          <w:rFonts w:ascii="Arial" w:hAnsi="Arial" w:cs="Arial"/>
          <w:sz w:val="22"/>
          <w:szCs w:val="22"/>
        </w:rPr>
        <w:t xml:space="preserve"> </w:t>
      </w:r>
      <w:r w:rsidR="00F71AAF" w:rsidRPr="009935B0">
        <w:rPr>
          <w:rFonts w:ascii="Arial" w:hAnsi="Arial" w:cs="Arial"/>
          <w:sz w:val="22"/>
          <w:szCs w:val="22"/>
        </w:rPr>
        <w:t xml:space="preserve">to automate principal component </w:t>
      </w:r>
      <w:r w:rsidR="00C04A85" w:rsidRPr="009935B0">
        <w:rPr>
          <w:rFonts w:ascii="Arial" w:hAnsi="Arial" w:cs="Arial"/>
          <w:sz w:val="22"/>
          <w:szCs w:val="22"/>
        </w:rPr>
        <w:t xml:space="preserve">retention. Despite the </w:t>
      </w:r>
      <w:r w:rsidR="00BC3B7E" w:rsidRPr="009935B0">
        <w:rPr>
          <w:rFonts w:ascii="Arial" w:hAnsi="Arial" w:cs="Arial"/>
          <w:sz w:val="22"/>
          <w:szCs w:val="22"/>
        </w:rPr>
        <w:t>large body</w:t>
      </w:r>
      <w:r w:rsidR="00C04A85" w:rsidRPr="009935B0">
        <w:rPr>
          <w:rFonts w:ascii="Arial" w:hAnsi="Arial" w:cs="Arial"/>
          <w:sz w:val="22"/>
          <w:szCs w:val="22"/>
        </w:rPr>
        <w:t xml:space="preserve"> of re</w:t>
      </w:r>
      <w:r w:rsidR="00D971C6" w:rsidRPr="009935B0">
        <w:rPr>
          <w:rFonts w:ascii="Arial" w:hAnsi="Arial" w:cs="Arial"/>
          <w:sz w:val="22"/>
          <w:szCs w:val="22"/>
        </w:rPr>
        <w:t xml:space="preserve">search </w:t>
      </w:r>
      <w:r w:rsidR="00BC3B7E" w:rsidRPr="009935B0">
        <w:rPr>
          <w:rFonts w:ascii="Arial" w:hAnsi="Arial" w:cs="Arial"/>
          <w:sz w:val="22"/>
          <w:szCs w:val="22"/>
        </w:rPr>
        <w:t>that addresses</w:t>
      </w:r>
      <w:r w:rsidR="00D971C6" w:rsidRPr="009935B0">
        <w:rPr>
          <w:rFonts w:ascii="Arial" w:hAnsi="Arial" w:cs="Arial"/>
          <w:sz w:val="22"/>
          <w:szCs w:val="22"/>
        </w:rPr>
        <w:t xml:space="preserve"> this </w:t>
      </w:r>
      <w:r w:rsidR="00BC3B7E" w:rsidRPr="009935B0">
        <w:rPr>
          <w:rFonts w:ascii="Arial" w:hAnsi="Arial" w:cs="Arial"/>
          <w:sz w:val="22"/>
          <w:szCs w:val="22"/>
        </w:rPr>
        <w:t>problem</w:t>
      </w:r>
      <w:r w:rsidR="00D971C6" w:rsidRPr="009935B0">
        <w:rPr>
          <w:rFonts w:ascii="Arial" w:hAnsi="Arial" w:cs="Arial"/>
          <w:sz w:val="22"/>
          <w:szCs w:val="22"/>
        </w:rPr>
        <w:t>, it’s not uncommon for new scRNA-seq analysis platforms to implement new methods of principal component retention without considering or comparing existing methods.</w:t>
      </w:r>
    </w:p>
    <w:p w14:paraId="11CF6E28" w14:textId="76F9843F" w:rsidR="00052428" w:rsidRPr="009935B0" w:rsidRDefault="00D971C6" w:rsidP="009935B0">
      <w:pPr>
        <w:spacing w:line="480" w:lineRule="auto"/>
        <w:jc w:val="both"/>
        <w:rPr>
          <w:rFonts w:ascii="Arial" w:eastAsia="Arial" w:hAnsi="Arial" w:cs="Arial"/>
          <w:sz w:val="22"/>
          <w:szCs w:val="22"/>
        </w:rPr>
      </w:pPr>
      <w:r w:rsidRPr="009935B0">
        <w:rPr>
          <w:rFonts w:ascii="Arial" w:hAnsi="Arial" w:cs="Arial"/>
          <w:sz w:val="22"/>
          <w:szCs w:val="22"/>
        </w:rPr>
        <w:tab/>
        <w:t xml:space="preserve"> </w:t>
      </w:r>
      <w:r w:rsidR="00BC3B7E" w:rsidRPr="009935B0">
        <w:rPr>
          <w:rFonts w:ascii="Arial" w:hAnsi="Arial" w:cs="Arial"/>
          <w:sz w:val="22"/>
          <w:szCs w:val="22"/>
        </w:rPr>
        <w:t xml:space="preserve">After the dimensionality of the data has been reduced </w:t>
      </w:r>
      <w:r w:rsidR="00435517" w:rsidRPr="009935B0">
        <w:rPr>
          <w:rFonts w:ascii="Arial" w:hAnsi="Arial" w:cs="Arial"/>
          <w:sz w:val="22"/>
          <w:szCs w:val="22"/>
        </w:rPr>
        <w:t>to the space defined by the retained principal components</w:t>
      </w:r>
      <w:r w:rsidR="00BC3B7E" w:rsidRPr="009935B0">
        <w:rPr>
          <w:rFonts w:ascii="Arial" w:hAnsi="Arial" w:cs="Arial"/>
          <w:sz w:val="22"/>
          <w:szCs w:val="22"/>
        </w:rPr>
        <w:t>, clustering the data becomes computationally feasible. Like principal component retention, t</w:t>
      </w:r>
      <w:r w:rsidR="00052428" w:rsidRPr="009935B0">
        <w:rPr>
          <w:rFonts w:ascii="Arial" w:hAnsi="Arial" w:cs="Arial"/>
          <w:sz w:val="22"/>
          <w:szCs w:val="22"/>
        </w:rPr>
        <w:t>he field of unsupervised clustering is well researched</w:t>
      </w:r>
      <w:r w:rsidR="00615C70" w:rsidRPr="009935B0">
        <w:rPr>
          <w:rFonts w:ascii="Arial" w:hAnsi="Arial" w:cs="Arial"/>
          <w:sz w:val="22"/>
          <w:szCs w:val="22"/>
        </w:rPr>
        <w:t>, and many different techniques have been developed to group n-dimensional data into clusters</w:t>
      </w:r>
      <w:r w:rsidR="00052428" w:rsidRPr="009935B0">
        <w:rPr>
          <w:rFonts w:ascii="Arial" w:hAnsi="Arial" w:cs="Arial"/>
          <w:sz w:val="22"/>
          <w:szCs w:val="22"/>
        </w:rPr>
        <w:t xml:space="preserve">. </w:t>
      </w:r>
      <w:r w:rsidR="00615C70" w:rsidRPr="009935B0">
        <w:rPr>
          <w:rFonts w:ascii="Arial" w:eastAsia="Arial" w:hAnsi="Arial" w:cs="Arial"/>
          <w:sz w:val="22"/>
          <w:szCs w:val="22"/>
        </w:rPr>
        <w:t xml:space="preserve">A number of generic clustering algorithms have been applied to scRNA-seq data (e.g. k-means and -medoids </w:t>
      </w:r>
      <w:r w:rsidR="00615C70" w:rsidRPr="009935B0">
        <w:rPr>
          <w:rFonts w:ascii="Arial" w:eastAsia="Arial" w:hAnsi="Arial" w:cs="Arial"/>
          <w:sz w:val="22"/>
          <w:szCs w:val="22"/>
        </w:rPr>
        <w:lastRenderedPageBreak/>
        <w:t>clustering</w:t>
      </w:r>
      <w:sdt>
        <w:sdtPr>
          <w:rPr>
            <w:rFonts w:ascii="Arial" w:eastAsia="Arial" w:hAnsi="Arial" w:cs="Arial"/>
            <w:sz w:val="22"/>
            <w:szCs w:val="22"/>
          </w:rPr>
          <w:id w:val="-315022692"/>
          <w:citation/>
        </w:sdtPr>
        <w:sdtEndPr/>
        <w:sdtContent>
          <w:r w:rsidR="00615C70" w:rsidRPr="009935B0">
            <w:rPr>
              <w:rFonts w:ascii="Arial" w:eastAsia="Arial" w:hAnsi="Arial" w:cs="Arial"/>
              <w:sz w:val="22"/>
              <w:szCs w:val="22"/>
            </w:rPr>
            <w:fldChar w:fldCharType="begin"/>
          </w:r>
          <w:r w:rsidR="00615C70" w:rsidRPr="009935B0">
            <w:rPr>
              <w:rFonts w:ascii="Arial" w:eastAsia="Arial" w:hAnsi="Arial" w:cs="Arial"/>
              <w:sz w:val="22"/>
              <w:szCs w:val="22"/>
            </w:rPr>
            <w:instrText xml:space="preserve"> CITATION Mac67 \l 1033  \m Kau90</w:instrText>
          </w:r>
          <w:r w:rsidR="00615C70" w:rsidRPr="009935B0">
            <w:rPr>
              <w:rFonts w:ascii="Arial" w:eastAsia="Arial" w:hAnsi="Arial" w:cs="Arial"/>
              <w:sz w:val="22"/>
              <w:szCs w:val="22"/>
            </w:rPr>
            <w:fldChar w:fldCharType="separate"/>
          </w:r>
          <w:r w:rsidR="00615C70" w:rsidRPr="009935B0">
            <w:rPr>
              <w:rFonts w:ascii="Arial" w:eastAsia="Arial" w:hAnsi="Arial" w:cs="Arial"/>
              <w:noProof/>
              <w:sz w:val="22"/>
              <w:szCs w:val="22"/>
            </w:rPr>
            <w:t xml:space="preserve"> [7, 8]</w:t>
          </w:r>
          <w:r w:rsidR="00615C70" w:rsidRPr="009935B0">
            <w:rPr>
              <w:rFonts w:ascii="Arial" w:eastAsia="Arial" w:hAnsi="Arial" w:cs="Arial"/>
              <w:sz w:val="22"/>
              <w:szCs w:val="22"/>
            </w:rPr>
            <w:fldChar w:fldCharType="end"/>
          </w:r>
        </w:sdtContent>
      </w:sdt>
      <w:r w:rsidR="00615C70" w:rsidRPr="009935B0">
        <w:rPr>
          <w:rFonts w:ascii="Arial" w:eastAsia="Arial" w:hAnsi="Arial" w:cs="Arial"/>
          <w:sz w:val="22"/>
          <w:szCs w:val="22"/>
        </w:rPr>
        <w:t>, density-based clustering</w:t>
      </w:r>
      <w:sdt>
        <w:sdtPr>
          <w:rPr>
            <w:rFonts w:ascii="Arial" w:eastAsia="Arial" w:hAnsi="Arial" w:cs="Arial"/>
            <w:sz w:val="22"/>
            <w:szCs w:val="22"/>
          </w:rPr>
          <w:id w:val="-608438520"/>
          <w:citation/>
        </w:sdtPr>
        <w:sdtEndPr/>
        <w:sdtContent>
          <w:r w:rsidR="00615C70" w:rsidRPr="009935B0">
            <w:rPr>
              <w:rFonts w:ascii="Arial" w:eastAsia="Arial" w:hAnsi="Arial" w:cs="Arial"/>
              <w:sz w:val="22"/>
              <w:szCs w:val="22"/>
            </w:rPr>
            <w:fldChar w:fldCharType="begin"/>
          </w:r>
          <w:r w:rsidR="00615C70" w:rsidRPr="009935B0">
            <w:rPr>
              <w:rFonts w:ascii="Arial" w:eastAsia="Arial" w:hAnsi="Arial" w:cs="Arial"/>
              <w:sz w:val="22"/>
              <w:szCs w:val="22"/>
            </w:rPr>
            <w:instrText xml:space="preserve"> CITATION Est96 \l 1033 </w:instrText>
          </w:r>
          <w:r w:rsidR="00615C70" w:rsidRPr="009935B0">
            <w:rPr>
              <w:rFonts w:ascii="Arial" w:eastAsia="Arial" w:hAnsi="Arial" w:cs="Arial"/>
              <w:sz w:val="22"/>
              <w:szCs w:val="22"/>
            </w:rPr>
            <w:fldChar w:fldCharType="separate"/>
          </w:r>
          <w:r w:rsidR="00615C70" w:rsidRPr="009935B0">
            <w:rPr>
              <w:rFonts w:ascii="Arial" w:eastAsia="Arial" w:hAnsi="Arial" w:cs="Arial"/>
              <w:noProof/>
              <w:sz w:val="22"/>
              <w:szCs w:val="22"/>
            </w:rPr>
            <w:t xml:space="preserve"> [9]</w:t>
          </w:r>
          <w:r w:rsidR="00615C70" w:rsidRPr="009935B0">
            <w:rPr>
              <w:rFonts w:ascii="Arial" w:eastAsia="Arial" w:hAnsi="Arial" w:cs="Arial"/>
              <w:sz w:val="22"/>
              <w:szCs w:val="22"/>
            </w:rPr>
            <w:fldChar w:fldCharType="end"/>
          </w:r>
        </w:sdtContent>
      </w:sdt>
      <w:r w:rsidR="00615C70" w:rsidRPr="009935B0">
        <w:rPr>
          <w:rFonts w:ascii="Arial" w:eastAsia="Arial" w:hAnsi="Arial" w:cs="Arial"/>
          <w:sz w:val="22"/>
          <w:szCs w:val="22"/>
        </w:rPr>
        <w:t>, graph-based clustering</w:t>
      </w:r>
      <w:sdt>
        <w:sdtPr>
          <w:rPr>
            <w:rFonts w:ascii="Arial" w:eastAsia="Arial" w:hAnsi="Arial" w:cs="Arial"/>
            <w:sz w:val="22"/>
            <w:szCs w:val="22"/>
          </w:rPr>
          <w:id w:val="-47224351"/>
          <w:citation/>
        </w:sdtPr>
        <w:sdtEndPr/>
        <w:sdtContent>
          <w:r w:rsidR="00615C70" w:rsidRPr="009935B0">
            <w:rPr>
              <w:rFonts w:ascii="Arial" w:eastAsia="Arial" w:hAnsi="Arial" w:cs="Arial"/>
              <w:sz w:val="22"/>
              <w:szCs w:val="22"/>
            </w:rPr>
            <w:fldChar w:fldCharType="begin"/>
          </w:r>
          <w:r w:rsidR="00615C70" w:rsidRPr="009935B0">
            <w:rPr>
              <w:rFonts w:ascii="Arial" w:eastAsia="Arial" w:hAnsi="Arial" w:cs="Arial"/>
              <w:sz w:val="22"/>
              <w:szCs w:val="22"/>
            </w:rPr>
            <w:instrText xml:space="preserve"> CITATION Blo08 \l 1033 </w:instrText>
          </w:r>
          <w:r w:rsidR="00615C70" w:rsidRPr="009935B0">
            <w:rPr>
              <w:rFonts w:ascii="Arial" w:eastAsia="Arial" w:hAnsi="Arial" w:cs="Arial"/>
              <w:sz w:val="22"/>
              <w:szCs w:val="22"/>
            </w:rPr>
            <w:fldChar w:fldCharType="separate"/>
          </w:r>
          <w:r w:rsidR="00615C70" w:rsidRPr="009935B0">
            <w:rPr>
              <w:rFonts w:ascii="Arial" w:eastAsia="Arial" w:hAnsi="Arial" w:cs="Arial"/>
              <w:noProof/>
              <w:sz w:val="22"/>
              <w:szCs w:val="22"/>
            </w:rPr>
            <w:t xml:space="preserve"> [10]</w:t>
          </w:r>
          <w:r w:rsidR="00615C70" w:rsidRPr="009935B0">
            <w:rPr>
              <w:rFonts w:ascii="Arial" w:eastAsia="Arial" w:hAnsi="Arial" w:cs="Arial"/>
              <w:sz w:val="22"/>
              <w:szCs w:val="22"/>
            </w:rPr>
            <w:fldChar w:fldCharType="end"/>
          </w:r>
        </w:sdtContent>
      </w:sdt>
      <w:r w:rsidR="00615C70" w:rsidRPr="009935B0">
        <w:rPr>
          <w:rFonts w:ascii="Arial" w:eastAsia="Arial" w:hAnsi="Arial" w:cs="Arial"/>
          <w:sz w:val="22"/>
          <w:szCs w:val="22"/>
        </w:rPr>
        <w:t>, and hierarchical clustering</w:t>
      </w:r>
      <w:sdt>
        <w:sdtPr>
          <w:rPr>
            <w:rFonts w:ascii="Arial" w:eastAsia="Arial" w:hAnsi="Arial" w:cs="Arial"/>
            <w:sz w:val="22"/>
            <w:szCs w:val="22"/>
          </w:rPr>
          <w:id w:val="1340731561"/>
          <w:citation/>
        </w:sdtPr>
        <w:sdtEndPr/>
        <w:sdtContent>
          <w:r w:rsidR="00615C70" w:rsidRPr="009935B0">
            <w:rPr>
              <w:rFonts w:ascii="Arial" w:eastAsia="Arial" w:hAnsi="Arial" w:cs="Arial"/>
              <w:sz w:val="22"/>
              <w:szCs w:val="22"/>
            </w:rPr>
            <w:fldChar w:fldCharType="begin"/>
          </w:r>
          <w:r w:rsidR="00615C70" w:rsidRPr="009935B0">
            <w:rPr>
              <w:rFonts w:ascii="Arial" w:eastAsia="Arial" w:hAnsi="Arial" w:cs="Arial"/>
              <w:sz w:val="22"/>
              <w:szCs w:val="22"/>
            </w:rPr>
            <w:instrText xml:space="preserve"> CITATION War63 \l 1033 </w:instrText>
          </w:r>
          <w:r w:rsidR="00615C70" w:rsidRPr="009935B0">
            <w:rPr>
              <w:rFonts w:ascii="Arial" w:eastAsia="Arial" w:hAnsi="Arial" w:cs="Arial"/>
              <w:sz w:val="22"/>
              <w:szCs w:val="22"/>
            </w:rPr>
            <w:fldChar w:fldCharType="separate"/>
          </w:r>
          <w:r w:rsidR="00615C70" w:rsidRPr="009935B0">
            <w:rPr>
              <w:rFonts w:ascii="Arial" w:eastAsia="Arial" w:hAnsi="Arial" w:cs="Arial"/>
              <w:noProof/>
              <w:sz w:val="22"/>
              <w:szCs w:val="22"/>
            </w:rPr>
            <w:t xml:space="preserve"> [11]</w:t>
          </w:r>
          <w:r w:rsidR="00615C70" w:rsidRPr="009935B0">
            <w:rPr>
              <w:rFonts w:ascii="Arial" w:eastAsia="Arial" w:hAnsi="Arial" w:cs="Arial"/>
              <w:sz w:val="22"/>
              <w:szCs w:val="22"/>
            </w:rPr>
            <w:fldChar w:fldCharType="end"/>
          </w:r>
        </w:sdtContent>
      </w:sdt>
      <w:r w:rsidR="00615C70" w:rsidRPr="009935B0">
        <w:rPr>
          <w:rFonts w:ascii="Arial" w:eastAsia="Arial" w:hAnsi="Arial" w:cs="Arial"/>
          <w:sz w:val="22"/>
          <w:szCs w:val="22"/>
        </w:rPr>
        <w:t>), and many more have been developed specifically for single-cell clustering (e.g. CIDR</w:t>
      </w:r>
      <w:sdt>
        <w:sdtPr>
          <w:rPr>
            <w:rFonts w:ascii="Arial" w:eastAsia="Arial" w:hAnsi="Arial" w:cs="Arial"/>
            <w:sz w:val="22"/>
            <w:szCs w:val="22"/>
          </w:rPr>
          <w:id w:val="-403678268"/>
          <w:citation/>
        </w:sdtPr>
        <w:sdtEndPr/>
        <w:sdtContent>
          <w:r w:rsidR="00615C70" w:rsidRPr="009935B0">
            <w:rPr>
              <w:rFonts w:ascii="Arial" w:eastAsia="Arial" w:hAnsi="Arial" w:cs="Arial"/>
              <w:sz w:val="22"/>
              <w:szCs w:val="22"/>
            </w:rPr>
            <w:fldChar w:fldCharType="begin"/>
          </w:r>
          <w:r w:rsidR="00615C70" w:rsidRPr="009935B0">
            <w:rPr>
              <w:rFonts w:ascii="Arial" w:eastAsia="Arial" w:hAnsi="Arial" w:cs="Arial"/>
              <w:sz w:val="22"/>
              <w:szCs w:val="22"/>
            </w:rPr>
            <w:instrText xml:space="preserve"> CITATION Lin172 \l 1033 </w:instrText>
          </w:r>
          <w:r w:rsidR="00615C70" w:rsidRPr="009935B0">
            <w:rPr>
              <w:rFonts w:ascii="Arial" w:eastAsia="Arial" w:hAnsi="Arial" w:cs="Arial"/>
              <w:sz w:val="22"/>
              <w:szCs w:val="22"/>
            </w:rPr>
            <w:fldChar w:fldCharType="separate"/>
          </w:r>
          <w:r w:rsidR="00615C70" w:rsidRPr="009935B0">
            <w:rPr>
              <w:rFonts w:ascii="Arial" w:eastAsia="Arial" w:hAnsi="Arial" w:cs="Arial"/>
              <w:noProof/>
              <w:sz w:val="22"/>
              <w:szCs w:val="22"/>
            </w:rPr>
            <w:t xml:space="preserve"> [12]</w:t>
          </w:r>
          <w:r w:rsidR="00615C70" w:rsidRPr="009935B0">
            <w:rPr>
              <w:rFonts w:ascii="Arial" w:eastAsia="Arial" w:hAnsi="Arial" w:cs="Arial"/>
              <w:sz w:val="22"/>
              <w:szCs w:val="22"/>
            </w:rPr>
            <w:fldChar w:fldCharType="end"/>
          </w:r>
        </w:sdtContent>
      </w:sdt>
      <w:r w:rsidR="00615C70" w:rsidRPr="009935B0">
        <w:rPr>
          <w:rFonts w:ascii="Arial" w:eastAsia="Arial" w:hAnsi="Arial" w:cs="Arial"/>
          <w:sz w:val="22"/>
          <w:szCs w:val="22"/>
        </w:rPr>
        <w:t xml:space="preserve">, </w:t>
      </w:r>
      <w:proofErr w:type="spellStart"/>
      <w:r w:rsidR="00615C70" w:rsidRPr="009935B0">
        <w:rPr>
          <w:rFonts w:ascii="Arial" w:eastAsia="Arial" w:hAnsi="Arial" w:cs="Arial"/>
          <w:sz w:val="22"/>
          <w:szCs w:val="22"/>
        </w:rPr>
        <w:t>BackSPIN</w:t>
      </w:r>
      <w:proofErr w:type="spellEnd"/>
      <w:sdt>
        <w:sdtPr>
          <w:rPr>
            <w:rFonts w:ascii="Arial" w:eastAsia="Arial" w:hAnsi="Arial" w:cs="Arial"/>
            <w:sz w:val="22"/>
            <w:szCs w:val="22"/>
          </w:rPr>
          <w:id w:val="-1499731975"/>
          <w:citation/>
        </w:sdtPr>
        <w:sdtEndPr/>
        <w:sdtContent>
          <w:r w:rsidR="00615C70" w:rsidRPr="009935B0">
            <w:rPr>
              <w:rFonts w:ascii="Arial" w:eastAsia="Arial" w:hAnsi="Arial" w:cs="Arial"/>
              <w:sz w:val="22"/>
              <w:szCs w:val="22"/>
            </w:rPr>
            <w:fldChar w:fldCharType="begin"/>
          </w:r>
          <w:r w:rsidR="00615C70" w:rsidRPr="009935B0">
            <w:rPr>
              <w:rFonts w:ascii="Arial" w:eastAsia="Arial" w:hAnsi="Arial" w:cs="Arial"/>
              <w:sz w:val="22"/>
              <w:szCs w:val="22"/>
            </w:rPr>
            <w:instrText xml:space="preserve"> CITATION Zei15 \l 1033 </w:instrText>
          </w:r>
          <w:r w:rsidR="00615C70" w:rsidRPr="009935B0">
            <w:rPr>
              <w:rFonts w:ascii="Arial" w:eastAsia="Arial" w:hAnsi="Arial" w:cs="Arial"/>
              <w:sz w:val="22"/>
              <w:szCs w:val="22"/>
            </w:rPr>
            <w:fldChar w:fldCharType="separate"/>
          </w:r>
          <w:r w:rsidR="00615C70" w:rsidRPr="009935B0">
            <w:rPr>
              <w:rFonts w:ascii="Arial" w:eastAsia="Arial" w:hAnsi="Arial" w:cs="Arial"/>
              <w:noProof/>
              <w:sz w:val="22"/>
              <w:szCs w:val="22"/>
            </w:rPr>
            <w:t xml:space="preserve"> [13]</w:t>
          </w:r>
          <w:r w:rsidR="00615C70" w:rsidRPr="009935B0">
            <w:rPr>
              <w:rFonts w:ascii="Arial" w:eastAsia="Arial" w:hAnsi="Arial" w:cs="Arial"/>
              <w:sz w:val="22"/>
              <w:szCs w:val="22"/>
            </w:rPr>
            <w:fldChar w:fldCharType="end"/>
          </w:r>
        </w:sdtContent>
      </w:sdt>
      <w:r w:rsidR="00615C70" w:rsidRPr="009935B0">
        <w:rPr>
          <w:rFonts w:ascii="Arial" w:eastAsia="Arial" w:hAnsi="Arial" w:cs="Arial"/>
          <w:sz w:val="22"/>
          <w:szCs w:val="22"/>
        </w:rPr>
        <w:t>, DIMM-SC</w:t>
      </w:r>
      <w:sdt>
        <w:sdtPr>
          <w:rPr>
            <w:rFonts w:ascii="Arial" w:eastAsia="Arial" w:hAnsi="Arial" w:cs="Arial"/>
            <w:sz w:val="22"/>
            <w:szCs w:val="22"/>
          </w:rPr>
          <w:id w:val="693504216"/>
          <w:citation/>
        </w:sdtPr>
        <w:sdtEndPr/>
        <w:sdtContent>
          <w:r w:rsidR="00615C70" w:rsidRPr="009935B0">
            <w:rPr>
              <w:rFonts w:ascii="Arial" w:eastAsia="Arial" w:hAnsi="Arial" w:cs="Arial"/>
              <w:sz w:val="22"/>
              <w:szCs w:val="22"/>
            </w:rPr>
            <w:fldChar w:fldCharType="begin"/>
          </w:r>
          <w:r w:rsidR="00615C70" w:rsidRPr="009935B0">
            <w:rPr>
              <w:rFonts w:ascii="Arial" w:eastAsia="Arial" w:hAnsi="Arial" w:cs="Arial"/>
              <w:sz w:val="22"/>
              <w:szCs w:val="22"/>
            </w:rPr>
            <w:instrText xml:space="preserve"> CITATION Sun184 \l 1033 </w:instrText>
          </w:r>
          <w:r w:rsidR="00615C70" w:rsidRPr="009935B0">
            <w:rPr>
              <w:rFonts w:ascii="Arial" w:eastAsia="Arial" w:hAnsi="Arial" w:cs="Arial"/>
              <w:sz w:val="22"/>
              <w:szCs w:val="22"/>
            </w:rPr>
            <w:fldChar w:fldCharType="separate"/>
          </w:r>
          <w:r w:rsidR="00615C70" w:rsidRPr="009935B0">
            <w:rPr>
              <w:rFonts w:ascii="Arial" w:eastAsia="Arial" w:hAnsi="Arial" w:cs="Arial"/>
              <w:noProof/>
              <w:sz w:val="22"/>
              <w:szCs w:val="22"/>
            </w:rPr>
            <w:t xml:space="preserve"> [14]</w:t>
          </w:r>
          <w:r w:rsidR="00615C70" w:rsidRPr="009935B0">
            <w:rPr>
              <w:rFonts w:ascii="Arial" w:eastAsia="Arial" w:hAnsi="Arial" w:cs="Arial"/>
              <w:sz w:val="22"/>
              <w:szCs w:val="22"/>
            </w:rPr>
            <w:fldChar w:fldCharType="end"/>
          </w:r>
        </w:sdtContent>
      </w:sdt>
      <w:r w:rsidR="00615C70" w:rsidRPr="009935B0">
        <w:rPr>
          <w:rFonts w:ascii="Arial" w:eastAsia="Arial" w:hAnsi="Arial" w:cs="Arial"/>
          <w:sz w:val="22"/>
          <w:szCs w:val="22"/>
        </w:rPr>
        <w:t>, and BAMM-SC</w:t>
      </w:r>
      <w:sdt>
        <w:sdtPr>
          <w:rPr>
            <w:rFonts w:ascii="Arial" w:eastAsia="Arial" w:hAnsi="Arial" w:cs="Arial"/>
            <w:sz w:val="22"/>
            <w:szCs w:val="22"/>
          </w:rPr>
          <w:id w:val="-291133538"/>
          <w:citation/>
        </w:sdtPr>
        <w:sdtEndPr/>
        <w:sdtContent>
          <w:r w:rsidR="00615C70" w:rsidRPr="009935B0">
            <w:rPr>
              <w:rFonts w:ascii="Arial" w:eastAsia="Arial" w:hAnsi="Arial" w:cs="Arial"/>
              <w:sz w:val="22"/>
              <w:szCs w:val="22"/>
            </w:rPr>
            <w:fldChar w:fldCharType="begin"/>
          </w:r>
          <w:r w:rsidR="00615C70" w:rsidRPr="009935B0">
            <w:rPr>
              <w:rFonts w:ascii="Arial" w:eastAsia="Arial" w:hAnsi="Arial" w:cs="Arial"/>
              <w:sz w:val="22"/>
              <w:szCs w:val="22"/>
            </w:rPr>
            <w:instrText xml:space="preserve"> CITATION Sun19 \l 1033 </w:instrText>
          </w:r>
          <w:r w:rsidR="00615C70" w:rsidRPr="009935B0">
            <w:rPr>
              <w:rFonts w:ascii="Arial" w:eastAsia="Arial" w:hAnsi="Arial" w:cs="Arial"/>
              <w:sz w:val="22"/>
              <w:szCs w:val="22"/>
            </w:rPr>
            <w:fldChar w:fldCharType="separate"/>
          </w:r>
          <w:r w:rsidR="00615C70" w:rsidRPr="009935B0">
            <w:rPr>
              <w:rFonts w:ascii="Arial" w:eastAsia="Arial" w:hAnsi="Arial" w:cs="Arial"/>
              <w:noProof/>
              <w:sz w:val="22"/>
              <w:szCs w:val="22"/>
            </w:rPr>
            <w:t xml:space="preserve"> [15]</w:t>
          </w:r>
          <w:r w:rsidR="00615C70" w:rsidRPr="009935B0">
            <w:rPr>
              <w:rFonts w:ascii="Arial" w:eastAsia="Arial" w:hAnsi="Arial" w:cs="Arial"/>
              <w:sz w:val="22"/>
              <w:szCs w:val="22"/>
            </w:rPr>
            <w:fldChar w:fldCharType="end"/>
          </w:r>
        </w:sdtContent>
      </w:sdt>
      <w:r w:rsidR="00615C70" w:rsidRPr="009935B0">
        <w:rPr>
          <w:rFonts w:ascii="Arial" w:eastAsia="Arial" w:hAnsi="Arial" w:cs="Arial"/>
          <w:sz w:val="22"/>
          <w:szCs w:val="22"/>
        </w:rPr>
        <w:t xml:space="preserve">). </w:t>
      </w:r>
      <w:r w:rsidR="00615C70" w:rsidRPr="009935B0">
        <w:rPr>
          <w:rFonts w:ascii="Arial" w:hAnsi="Arial" w:cs="Arial"/>
          <w:sz w:val="22"/>
          <w:szCs w:val="22"/>
        </w:rPr>
        <w:t xml:space="preserve">While these clustering algorithms differ substantially in their approach, </w:t>
      </w:r>
      <w:r w:rsidR="00615C70" w:rsidRPr="009935B0">
        <w:rPr>
          <w:rFonts w:ascii="Arial" w:eastAsia="Arial" w:hAnsi="Arial" w:cs="Arial"/>
          <w:sz w:val="22"/>
          <w:szCs w:val="22"/>
        </w:rPr>
        <w:t xml:space="preserve">all require some direct (e.g., k in k-means clustering) or indirect (e.g., resolution in Louvain community detection) estimate of the cluster number. </w:t>
      </w:r>
      <w:r w:rsidR="006162DC" w:rsidRPr="009935B0">
        <w:rPr>
          <w:rFonts w:ascii="Arial" w:eastAsia="Arial" w:hAnsi="Arial" w:cs="Arial"/>
          <w:sz w:val="22"/>
          <w:szCs w:val="22"/>
        </w:rPr>
        <w:t>Many algorithms require additional parameters (e.g., n in n-nearest neighbors) that influence cluster solutions in more subtle ways. The impact that these parameters have on the results of the analysis are often poorly understood, and as such, the increased performance that hyper-parameter optimization could afford goes unrealized.</w:t>
      </w:r>
    </w:p>
    <w:p w14:paraId="03A355B3" w14:textId="57919FC3" w:rsidR="006031D8" w:rsidRPr="009935B0" w:rsidRDefault="006031D8" w:rsidP="009935B0">
      <w:pPr>
        <w:spacing w:line="480" w:lineRule="auto"/>
        <w:jc w:val="both"/>
        <w:rPr>
          <w:rFonts w:ascii="Arial" w:hAnsi="Arial" w:cs="Arial"/>
          <w:sz w:val="22"/>
          <w:szCs w:val="22"/>
        </w:rPr>
      </w:pPr>
      <w:r w:rsidRPr="009935B0">
        <w:rPr>
          <w:rFonts w:ascii="Arial" w:hAnsi="Arial" w:cs="Arial"/>
          <w:sz w:val="22"/>
          <w:szCs w:val="22"/>
        </w:rPr>
        <w:tab/>
      </w:r>
      <w:r w:rsidR="00435517" w:rsidRPr="009935B0">
        <w:rPr>
          <w:rFonts w:ascii="Arial" w:hAnsi="Arial" w:cs="Arial"/>
          <w:sz w:val="22"/>
          <w:szCs w:val="22"/>
        </w:rPr>
        <w:t xml:space="preserve">In order to optimize these parameters and enhance the performance of clustering algorithms, it’s necessary to have some objective measure of quality of cluster solutions. Fortunately, many different clustering validation indices have been developed for just such a purpose. These clustering indices can be divided into two main types, external clustering validation indices (ECVIs) and internal clustering validation indices (ICVIs). External clustering validation indices work by comparing the cluster assignments of data points to a pre-existing classification of the data. While ECVIs are useful for benchmarking the performance of clustering algorithms on known, well-characterized datasets, they’re not applicable when clustering novel datasets. In the case of novel datasets, ICVIs provide a useful metric on which to rate cluster-solution quality. </w:t>
      </w:r>
    </w:p>
    <w:p w14:paraId="08AADF20" w14:textId="38AAC17D" w:rsidR="00435517" w:rsidRPr="009935B0" w:rsidRDefault="00435517" w:rsidP="009935B0">
      <w:pPr>
        <w:spacing w:line="480" w:lineRule="auto"/>
        <w:jc w:val="both"/>
        <w:rPr>
          <w:rFonts w:ascii="Arial" w:hAnsi="Arial" w:cs="Arial"/>
          <w:sz w:val="22"/>
          <w:szCs w:val="22"/>
        </w:rPr>
      </w:pPr>
      <w:r w:rsidRPr="009935B0">
        <w:rPr>
          <w:rFonts w:ascii="Arial" w:hAnsi="Arial" w:cs="Arial"/>
          <w:sz w:val="22"/>
          <w:szCs w:val="22"/>
        </w:rPr>
        <w:tab/>
        <w:t xml:space="preserve">There are many different ICVIs, all of which differ in the fine details of their implementation. </w:t>
      </w:r>
      <w:r w:rsidR="00DC06F7" w:rsidRPr="009935B0">
        <w:rPr>
          <w:rFonts w:ascii="Arial" w:hAnsi="Arial" w:cs="Arial"/>
          <w:sz w:val="22"/>
          <w:szCs w:val="22"/>
        </w:rPr>
        <w:t>They share several commonalities. ICVIs work by considering the position of datapoints within a n-dimensional space. These indices reward clustering solutions where different clusters are compact and well separated, i.e., where within-cluster variance is minimized, and between-cluster variance is maximized. Common ICVIs include the Calinski-Harabasz index (CHI), the Silhouette Index (SI), the Dunn Index (DI), and the Davies-Bouldin index (DB).</w:t>
      </w:r>
    </w:p>
    <w:p w14:paraId="45D480EF" w14:textId="411D8F24" w:rsidR="003C7027" w:rsidRPr="009935B0" w:rsidRDefault="00DC06F7" w:rsidP="009935B0">
      <w:pPr>
        <w:spacing w:line="480" w:lineRule="auto"/>
        <w:jc w:val="both"/>
        <w:rPr>
          <w:rFonts w:ascii="Arial" w:hAnsi="Arial" w:cs="Arial"/>
          <w:sz w:val="22"/>
          <w:szCs w:val="22"/>
        </w:rPr>
      </w:pPr>
      <w:r w:rsidRPr="009935B0">
        <w:rPr>
          <w:rFonts w:ascii="Arial" w:hAnsi="Arial" w:cs="Arial"/>
          <w:sz w:val="22"/>
          <w:szCs w:val="22"/>
        </w:rPr>
        <w:lastRenderedPageBreak/>
        <w:tab/>
        <w:t xml:space="preserve">Given a set of parameters to be optimized and an objective function that rates the performance of a set of parameters, it </w:t>
      </w:r>
      <w:r w:rsidR="003C7027" w:rsidRPr="009935B0">
        <w:rPr>
          <w:rFonts w:ascii="Arial" w:hAnsi="Arial" w:cs="Arial"/>
          <w:sz w:val="22"/>
          <w:szCs w:val="22"/>
        </w:rPr>
        <w:t>is</w:t>
      </w:r>
      <w:r w:rsidRPr="009935B0">
        <w:rPr>
          <w:rFonts w:ascii="Arial" w:hAnsi="Arial" w:cs="Arial"/>
          <w:sz w:val="22"/>
          <w:szCs w:val="22"/>
        </w:rPr>
        <w:t xml:space="preserve"> necessary to devise a rational strategy </w:t>
      </w:r>
      <w:r w:rsidR="003C7027" w:rsidRPr="009935B0">
        <w:rPr>
          <w:rFonts w:ascii="Arial" w:hAnsi="Arial" w:cs="Arial"/>
          <w:sz w:val="22"/>
          <w:szCs w:val="22"/>
        </w:rPr>
        <w:t xml:space="preserve">by which to approach optimization. Bayesian optimization is </w:t>
      </w:r>
      <w:r w:rsidR="00FF4F64" w:rsidRPr="009935B0">
        <w:rPr>
          <w:rFonts w:ascii="Arial" w:hAnsi="Arial" w:cs="Arial"/>
          <w:sz w:val="22"/>
          <w:szCs w:val="22"/>
        </w:rPr>
        <w:t xml:space="preserve">one such method. Bayesian optimization is an </w:t>
      </w:r>
      <w:r w:rsidR="003C7027" w:rsidRPr="009935B0">
        <w:rPr>
          <w:rFonts w:ascii="Arial" w:hAnsi="Arial" w:cs="Arial"/>
          <w:sz w:val="22"/>
          <w:szCs w:val="22"/>
        </w:rPr>
        <w:t>approach to</w:t>
      </w:r>
      <w:r w:rsidR="00FF4F64" w:rsidRPr="009935B0">
        <w:rPr>
          <w:rFonts w:ascii="Arial" w:hAnsi="Arial" w:cs="Arial"/>
          <w:sz w:val="22"/>
          <w:szCs w:val="22"/>
        </w:rPr>
        <w:t xml:space="preserve"> object</w:t>
      </w:r>
      <w:r w:rsidR="003C7027" w:rsidRPr="009935B0">
        <w:rPr>
          <w:rFonts w:ascii="Arial" w:hAnsi="Arial" w:cs="Arial"/>
          <w:sz w:val="22"/>
          <w:szCs w:val="22"/>
        </w:rPr>
        <w:t xml:space="preserve"> function optimization that is well suited to noisy</w:t>
      </w:r>
      <w:r w:rsidR="00FF4F64" w:rsidRPr="009935B0">
        <w:rPr>
          <w:rFonts w:ascii="Arial" w:hAnsi="Arial" w:cs="Arial"/>
          <w:sz w:val="22"/>
          <w:szCs w:val="22"/>
        </w:rPr>
        <w:t xml:space="preserve"> functions that are costly or time-consuming to evaluate. While the performance of Bayesian optimization decreases as the complexity of the optimization increases, it generally performs well when optimizing fewer than 20 parameters. Bayesian optimization is a commonly used when the function to be optimized is non-differentiable. </w:t>
      </w:r>
      <w:proofErr w:type="gramStart"/>
      <w:r w:rsidR="00FF4F64" w:rsidRPr="009935B0">
        <w:rPr>
          <w:rFonts w:ascii="Arial" w:hAnsi="Arial" w:cs="Arial"/>
          <w:sz w:val="22"/>
          <w:szCs w:val="22"/>
        </w:rPr>
        <w:t>All of</w:t>
      </w:r>
      <w:proofErr w:type="gramEnd"/>
      <w:r w:rsidR="00FF4F64" w:rsidRPr="009935B0">
        <w:rPr>
          <w:rFonts w:ascii="Arial" w:hAnsi="Arial" w:cs="Arial"/>
          <w:sz w:val="22"/>
          <w:szCs w:val="22"/>
        </w:rPr>
        <w:t xml:space="preserve"> these traits make Bayesian optimization </w:t>
      </w:r>
      <w:r w:rsidR="00FF4F64" w:rsidRPr="009935B0">
        <w:rPr>
          <w:rFonts w:ascii="Arial" w:hAnsi="Arial" w:cs="Arial"/>
          <w:sz w:val="22"/>
          <w:szCs w:val="22"/>
          <w:highlight w:val="yellow"/>
        </w:rPr>
        <w:t>ideally/uniquely</w:t>
      </w:r>
      <w:r w:rsidR="00FF4F64" w:rsidRPr="009935B0">
        <w:rPr>
          <w:rFonts w:ascii="Arial" w:hAnsi="Arial" w:cs="Arial"/>
          <w:sz w:val="22"/>
          <w:szCs w:val="22"/>
        </w:rPr>
        <w:t xml:space="preserve"> suited to the optimization of clustering algorithms. Briefly, Bayesian optimization works as follows: The objective function is sampled at </w:t>
      </w:r>
      <w:r w:rsidR="006939BF" w:rsidRPr="009935B0">
        <w:rPr>
          <w:rFonts w:ascii="Arial" w:hAnsi="Arial" w:cs="Arial"/>
          <w:i/>
          <w:iCs/>
          <w:sz w:val="22"/>
          <w:szCs w:val="22"/>
        </w:rPr>
        <w:t>n</w:t>
      </w:r>
      <w:r w:rsidR="00FF4F64" w:rsidRPr="009935B0">
        <w:rPr>
          <w:rFonts w:ascii="Arial" w:hAnsi="Arial" w:cs="Arial"/>
          <w:sz w:val="22"/>
          <w:szCs w:val="22"/>
        </w:rPr>
        <w:t xml:space="preserve"> randomly chosen, evenly spaced points falling on the parameter space to be searched. Then, a gaussian process </w:t>
      </w:r>
      <w:r w:rsidR="006939BF" w:rsidRPr="009935B0">
        <w:rPr>
          <w:rFonts w:ascii="Arial" w:hAnsi="Arial" w:cs="Arial"/>
          <w:sz w:val="22"/>
          <w:szCs w:val="22"/>
        </w:rPr>
        <w:t xml:space="preserve">is fit over the n selected points. (A gaussian process is a multivariate normal distribution, where each of the n observations is modelled as a separate gaussian, or normal, distribution). Then, using this gaussian process, a new point in the domain of the parameter space is sampled </w:t>
      </w:r>
      <w:proofErr w:type="gramStart"/>
      <w:r w:rsidR="006939BF" w:rsidRPr="009935B0">
        <w:rPr>
          <w:rFonts w:ascii="Arial" w:hAnsi="Arial" w:cs="Arial"/>
          <w:sz w:val="22"/>
          <w:szCs w:val="22"/>
        </w:rPr>
        <w:t>in an attempt to</w:t>
      </w:r>
      <w:proofErr w:type="gramEnd"/>
      <w:r w:rsidR="006939BF" w:rsidRPr="009935B0">
        <w:rPr>
          <w:rFonts w:ascii="Arial" w:hAnsi="Arial" w:cs="Arial"/>
          <w:sz w:val="22"/>
          <w:szCs w:val="22"/>
        </w:rPr>
        <w:t xml:space="preserve"> maximize the object function. After each point is sampled, the gaussian process is updated, and the process repeats until no further improvement is possible, or a set number of iterations is reached. When using Bayesian optimization in the context of cluster-solution optimization, an ICVI would represent the objective function, and the k for k-means and n in n-neighbors represent two possible parameters to be optimized. </w:t>
      </w:r>
    </w:p>
    <w:p w14:paraId="03C84B25" w14:textId="6AC4A343" w:rsidR="008B6B9C" w:rsidRDefault="006939BF" w:rsidP="009935B0">
      <w:pPr>
        <w:pBdr>
          <w:top w:val="nil"/>
          <w:left w:val="nil"/>
          <w:bottom w:val="nil"/>
          <w:right w:val="nil"/>
          <w:between w:val="nil"/>
        </w:pBdr>
        <w:spacing w:line="480" w:lineRule="auto"/>
        <w:jc w:val="both"/>
        <w:rPr>
          <w:rFonts w:ascii="Arial" w:eastAsia="Arial" w:hAnsi="Arial" w:cs="Arial"/>
          <w:sz w:val="22"/>
          <w:szCs w:val="22"/>
        </w:rPr>
      </w:pPr>
      <w:r w:rsidRPr="009935B0">
        <w:rPr>
          <w:rFonts w:ascii="Arial" w:hAnsi="Arial" w:cs="Arial"/>
          <w:sz w:val="22"/>
          <w:szCs w:val="22"/>
        </w:rPr>
        <w:tab/>
      </w:r>
      <w:r w:rsidR="008B6B9C" w:rsidRPr="009935B0">
        <w:rPr>
          <w:rFonts w:ascii="Arial" w:eastAsia="Arial" w:hAnsi="Arial" w:cs="Arial"/>
          <w:sz w:val="22"/>
          <w:szCs w:val="22"/>
        </w:rPr>
        <w:t>We contend that potential gains in the analysis of scRNA-seq data have been left unrealized for want of a well-defined framework in which to optimize these analysis.</w:t>
      </w:r>
      <w:r w:rsidR="008B6B9C" w:rsidRPr="009935B0">
        <w:rPr>
          <w:rFonts w:ascii="Arial" w:eastAsia="Arial" w:hAnsi="Arial" w:cs="Arial"/>
          <w:sz w:val="22"/>
          <w:szCs w:val="22"/>
        </w:rPr>
        <w:t xml:space="preserve"> </w:t>
      </w:r>
      <w:r w:rsidR="008B6B9C" w:rsidRPr="009935B0">
        <w:rPr>
          <w:rFonts w:ascii="Arial" w:eastAsia="Arial" w:hAnsi="Arial" w:cs="Arial"/>
          <w:sz w:val="22"/>
          <w:szCs w:val="22"/>
        </w:rPr>
        <w:t>There exists</w:t>
      </w:r>
      <w:r w:rsidR="008B6B9C" w:rsidRPr="009935B0">
        <w:rPr>
          <w:rFonts w:ascii="Arial" w:eastAsia="Arial" w:hAnsi="Arial" w:cs="Arial"/>
          <w:sz w:val="22"/>
          <w:szCs w:val="22"/>
        </w:rPr>
        <w:t xml:space="preserve"> an unmet need for a rigorously benchmarked computational tool to automate the selection of parameters in single-cell clustering. To address this need, we have developed AutoClustR, a computational tool for automated and unbiased single-cell clustering, through rigorous and systematic comparison of </w:t>
      </w:r>
      <w:r w:rsidR="008B6B9C" w:rsidRPr="009935B0">
        <w:rPr>
          <w:rFonts w:ascii="Arial" w:eastAsia="Arial" w:hAnsi="Arial" w:cs="Arial"/>
          <w:sz w:val="22"/>
          <w:szCs w:val="22"/>
        </w:rPr>
        <w:t>principal component retention methods and internal cluster validation indices</w:t>
      </w:r>
      <w:r w:rsidR="008B6B9C" w:rsidRPr="009935B0">
        <w:rPr>
          <w:rFonts w:ascii="Arial" w:eastAsia="Arial" w:hAnsi="Arial" w:cs="Arial"/>
          <w:sz w:val="22"/>
          <w:szCs w:val="22"/>
        </w:rPr>
        <w:t xml:space="preserve">. AutoClustR is built on top of Seurat, allowing users to </w:t>
      </w:r>
      <w:r w:rsidR="008B6B9C" w:rsidRPr="009935B0">
        <w:rPr>
          <w:rFonts w:ascii="Arial" w:eastAsia="Arial" w:hAnsi="Arial" w:cs="Arial"/>
          <w:sz w:val="22"/>
          <w:szCs w:val="22"/>
        </w:rPr>
        <w:t xml:space="preserve">combine Bayesian optimization </w:t>
      </w:r>
      <w:r w:rsidR="008B6B9C" w:rsidRPr="009935B0">
        <w:rPr>
          <w:rFonts w:ascii="Arial" w:eastAsia="Arial" w:hAnsi="Arial" w:cs="Arial"/>
          <w:sz w:val="22"/>
          <w:szCs w:val="22"/>
        </w:rPr>
        <w:lastRenderedPageBreak/>
        <w:t xml:space="preserve">and </w:t>
      </w:r>
      <w:r w:rsidR="008B6B9C" w:rsidRPr="009935B0">
        <w:rPr>
          <w:rFonts w:ascii="Arial" w:eastAsia="Arial" w:hAnsi="Arial" w:cs="Arial"/>
          <w:sz w:val="22"/>
          <w:szCs w:val="22"/>
        </w:rPr>
        <w:t>well-established clustering workflow</w:t>
      </w:r>
      <w:r w:rsidR="008B6B9C" w:rsidRPr="009935B0">
        <w:rPr>
          <w:rFonts w:ascii="Arial" w:eastAsia="Arial" w:hAnsi="Arial" w:cs="Arial"/>
          <w:sz w:val="22"/>
          <w:szCs w:val="22"/>
        </w:rPr>
        <w:t xml:space="preserve">, enabling the </w:t>
      </w:r>
      <w:r w:rsidR="008B6B9C" w:rsidRPr="009935B0">
        <w:rPr>
          <w:rFonts w:ascii="Arial" w:eastAsia="Arial" w:hAnsi="Arial" w:cs="Arial"/>
          <w:sz w:val="22"/>
          <w:szCs w:val="22"/>
        </w:rPr>
        <w:t>determin</w:t>
      </w:r>
      <w:r w:rsidR="008B6B9C" w:rsidRPr="009935B0">
        <w:rPr>
          <w:rFonts w:ascii="Arial" w:eastAsia="Arial" w:hAnsi="Arial" w:cs="Arial"/>
          <w:sz w:val="22"/>
          <w:szCs w:val="22"/>
        </w:rPr>
        <w:t>ation of</w:t>
      </w:r>
      <w:r w:rsidR="008B6B9C" w:rsidRPr="009935B0">
        <w:rPr>
          <w:rFonts w:ascii="Arial" w:eastAsia="Arial" w:hAnsi="Arial" w:cs="Arial"/>
          <w:sz w:val="22"/>
          <w:szCs w:val="22"/>
        </w:rPr>
        <w:t xml:space="preserve"> optimal clustering solutions. We demonstrate that AutoClustR either matches or exceeds the performance of SC3, RaceID3, default Seurat, CIDR, IKAP, and CellFindR across 20 published and synthetic scRNA-seq datasets. Finally, we </w:t>
      </w:r>
      <w:r w:rsidR="008B6B9C" w:rsidRPr="009935B0">
        <w:rPr>
          <w:rFonts w:ascii="Arial" w:eastAsia="Arial" w:hAnsi="Arial" w:cs="Arial"/>
          <w:sz w:val="22"/>
          <w:szCs w:val="22"/>
        </w:rPr>
        <w:t xml:space="preserve">demonstrate </w:t>
      </w:r>
      <w:r w:rsidR="008B6B9C" w:rsidRPr="009935B0">
        <w:rPr>
          <w:rFonts w:ascii="Arial" w:eastAsia="Arial" w:hAnsi="Arial" w:cs="Arial"/>
          <w:sz w:val="22"/>
          <w:szCs w:val="22"/>
        </w:rPr>
        <w:t>AutoClustR</w:t>
      </w:r>
      <w:r w:rsidR="008B6B9C" w:rsidRPr="009935B0">
        <w:rPr>
          <w:rFonts w:ascii="Arial" w:eastAsia="Arial" w:hAnsi="Arial" w:cs="Arial"/>
          <w:sz w:val="22"/>
          <w:szCs w:val="22"/>
        </w:rPr>
        <w:t xml:space="preserve">’s utility by evaluating a novel, real-world dataset – scRNA-seq </w:t>
      </w:r>
      <w:r w:rsidR="008B6B9C" w:rsidRPr="009935B0">
        <w:rPr>
          <w:rFonts w:ascii="Arial" w:eastAsia="Arial" w:hAnsi="Arial" w:cs="Arial"/>
          <w:sz w:val="22"/>
          <w:szCs w:val="22"/>
        </w:rPr>
        <w:t>of inner ear organoids</w:t>
      </w:r>
      <w:r w:rsidR="008B6B9C" w:rsidRPr="009935B0">
        <w:rPr>
          <w:rFonts w:ascii="Arial" w:eastAsia="Arial" w:hAnsi="Arial" w:cs="Arial"/>
          <w:sz w:val="22"/>
          <w:szCs w:val="22"/>
        </w:rPr>
        <w:t xml:space="preserve"> – to</w:t>
      </w:r>
      <w:r w:rsidR="008B6B9C" w:rsidRPr="009935B0">
        <w:rPr>
          <w:rFonts w:ascii="Arial" w:eastAsia="Arial" w:hAnsi="Arial" w:cs="Arial"/>
          <w:sz w:val="22"/>
          <w:szCs w:val="22"/>
        </w:rPr>
        <w:t xml:space="preserve"> reveal </w:t>
      </w:r>
      <w:r w:rsidR="008B6B9C" w:rsidRPr="009935B0">
        <w:rPr>
          <w:rFonts w:ascii="Arial" w:eastAsia="Arial" w:hAnsi="Arial" w:cs="Arial"/>
          <w:sz w:val="22"/>
          <w:szCs w:val="22"/>
        </w:rPr>
        <w:t>a heretofore unappreciated diversity of cell types.</w:t>
      </w:r>
    </w:p>
    <w:p w14:paraId="14B82226" w14:textId="77777777" w:rsidR="009935B0" w:rsidRPr="009935B0" w:rsidRDefault="009935B0" w:rsidP="009935B0">
      <w:pPr>
        <w:pBdr>
          <w:top w:val="nil"/>
          <w:left w:val="nil"/>
          <w:bottom w:val="nil"/>
          <w:right w:val="nil"/>
          <w:between w:val="nil"/>
        </w:pBdr>
        <w:spacing w:line="480" w:lineRule="auto"/>
        <w:jc w:val="both"/>
        <w:rPr>
          <w:rFonts w:ascii="Arial" w:eastAsia="Arial" w:hAnsi="Arial" w:cs="Arial"/>
          <w:sz w:val="22"/>
          <w:szCs w:val="22"/>
        </w:rPr>
      </w:pPr>
    </w:p>
    <w:p w14:paraId="5CC47A6B" w14:textId="789936BB" w:rsidR="00437A47" w:rsidRDefault="00437A47" w:rsidP="008B6B9C">
      <w:pPr>
        <w:pBdr>
          <w:top w:val="nil"/>
          <w:left w:val="nil"/>
          <w:bottom w:val="nil"/>
          <w:right w:val="nil"/>
          <w:between w:val="nil"/>
        </w:pBdr>
        <w:spacing w:line="480" w:lineRule="auto"/>
        <w:jc w:val="both"/>
        <w:rPr>
          <w:rFonts w:ascii="Arial" w:eastAsia="Arial" w:hAnsi="Arial" w:cs="Arial"/>
          <w:sz w:val="22"/>
          <w:szCs w:val="22"/>
        </w:rPr>
      </w:pPr>
    </w:p>
    <w:p w14:paraId="28D5984D" w14:textId="77777777" w:rsidR="00437A47" w:rsidRPr="00023AC0" w:rsidRDefault="00437A47" w:rsidP="008B6B9C">
      <w:pPr>
        <w:pBdr>
          <w:top w:val="nil"/>
          <w:left w:val="nil"/>
          <w:bottom w:val="nil"/>
          <w:right w:val="nil"/>
          <w:between w:val="nil"/>
        </w:pBdr>
        <w:spacing w:line="480" w:lineRule="auto"/>
        <w:jc w:val="both"/>
        <w:rPr>
          <w:rFonts w:ascii="Arial" w:eastAsia="Arial" w:hAnsi="Arial" w:cs="Arial"/>
          <w:sz w:val="22"/>
          <w:szCs w:val="22"/>
        </w:rPr>
      </w:pPr>
    </w:p>
    <w:p w14:paraId="2609379D" w14:textId="35F7700E" w:rsidR="006939BF" w:rsidRPr="006939BF" w:rsidRDefault="006939BF" w:rsidP="00FF4F64">
      <w:pPr>
        <w:spacing w:line="360" w:lineRule="auto"/>
        <w:rPr>
          <w:rFonts w:ascii="Arial" w:hAnsi="Arial" w:cs="Arial"/>
        </w:rPr>
      </w:pPr>
    </w:p>
    <w:sectPr w:rsidR="006939BF" w:rsidRPr="00693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2B2"/>
    <w:rsid w:val="00052428"/>
    <w:rsid w:val="0009041E"/>
    <w:rsid w:val="00340DA0"/>
    <w:rsid w:val="003C7027"/>
    <w:rsid w:val="00435517"/>
    <w:rsid w:val="00437A47"/>
    <w:rsid w:val="005C6F03"/>
    <w:rsid w:val="006031D8"/>
    <w:rsid w:val="00615C70"/>
    <w:rsid w:val="006162DC"/>
    <w:rsid w:val="006939BF"/>
    <w:rsid w:val="00711186"/>
    <w:rsid w:val="0071707C"/>
    <w:rsid w:val="00730C4C"/>
    <w:rsid w:val="007B562B"/>
    <w:rsid w:val="00834C94"/>
    <w:rsid w:val="008B6B9C"/>
    <w:rsid w:val="009437AD"/>
    <w:rsid w:val="00992746"/>
    <w:rsid w:val="009935B0"/>
    <w:rsid w:val="00A64265"/>
    <w:rsid w:val="00A96D91"/>
    <w:rsid w:val="00B34379"/>
    <w:rsid w:val="00BC3B7E"/>
    <w:rsid w:val="00C04A85"/>
    <w:rsid w:val="00C93F83"/>
    <w:rsid w:val="00CB12B2"/>
    <w:rsid w:val="00D27697"/>
    <w:rsid w:val="00D971C6"/>
    <w:rsid w:val="00DC06F7"/>
    <w:rsid w:val="00DD31DE"/>
    <w:rsid w:val="00E209C1"/>
    <w:rsid w:val="00EE4F5C"/>
    <w:rsid w:val="00F564AA"/>
    <w:rsid w:val="00F71AAF"/>
    <w:rsid w:val="00FF4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D3A909"/>
  <w15:chartTrackingRefBased/>
  <w15:docId w15:val="{762B954A-0BFA-8E48-AE51-FDF0B8E8C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Mac67</b:Tag>
    <b:SourceType>JournalArticle</b:SourceType>
    <b:Guid>{8933C135-FFEF-4CF9-AC33-003DA73256EF}</b:Guid>
    <b:Title>Some methods for classification and analysis of multivariate observations</b:Title>
    <b:JournalName>Proceedings of the Fifth Berkeley Symposium on Mathematical Statistics and Probability</b:JournalName>
    <b:Year>1967</b:Year>
    <b:Pages>281-297</b:Pages>
    <b:Volume>1</b:Volume>
    <b:Author>
      <b:Author>
        <b:NameList>
          <b:Person>
            <b:Last>MacQueen</b:Last>
            <b:First>J</b:First>
          </b:Person>
        </b:NameList>
      </b:Author>
    </b:Author>
    <b:RefOrder>7</b:RefOrder>
  </b:Source>
  <b:Source>
    <b:Tag>Kau90</b:Tag>
    <b:SourceType>BookSection</b:SourceType>
    <b:Guid>{60E6D486-A3AD-49D3-8DB7-F5430E57ED09}</b:Guid>
    <b:Title>Partitioning around medioids (Program PAM)</b:Title>
    <b:Year>1990</b:Year>
    <b:BookTitle>Finding Groups in Data: An Introduction to Cluster Analysis</b:BookTitle>
    <b:City>Hoboken</b:City>
    <b:Publisher>Wiley</b:Publisher>
    <b:Author>
      <b:Author>
        <b:NameList>
          <b:Person>
            <b:Last>Kaufman</b:Last>
            <b:First>L</b:First>
          </b:Person>
          <b:Person>
            <b:Last>Rousseeuw</b:Last>
            <b:First>P</b:First>
          </b:Person>
        </b:NameList>
      </b:Author>
    </b:Author>
    <b:RefOrder>8</b:RefOrder>
  </b:Source>
  <b:Source>
    <b:Tag>Est96</b:Tag>
    <b:SourceType>JournalArticle</b:SourceType>
    <b:Guid>{0C1E5342-A435-47D2-856E-80EDA1021B7A}</b:Guid>
    <b:Title>A density-based algorithm for discovering clusters in large spatial databases with noise</b:Title>
    <b:JournalName>KDD'96: Proceedings of the Second International Conference on Knowledge Discovery and Data Mining</b:JournalName>
    <b:Year>1996</b:Year>
    <b:Pages>226-231</b:Pages>
    <b:Author>
      <b:Author>
        <b:NameList>
          <b:Person>
            <b:Last>Ester</b:Last>
            <b:First>M</b:First>
          </b:Person>
          <b:Person>
            <b:Last>Kriegel</b:Last>
            <b:Middle>P</b:Middle>
            <b:First>H</b:First>
          </b:Person>
          <b:Person>
            <b:Last>Sander</b:Last>
            <b:First>J</b:First>
          </b:Person>
          <b:Person>
            <b:Last>Xu</b:Last>
            <b:First>X</b:First>
          </b:Person>
        </b:NameList>
      </b:Author>
    </b:Author>
    <b:RefOrder>9</b:RefOrder>
  </b:Source>
  <b:Source>
    <b:Tag>Blo08</b:Tag>
    <b:SourceType>JournalArticle</b:SourceType>
    <b:Guid>{A72A0841-F521-4BEC-92E2-66BEA24E0DE2}</b:Guid>
    <b:Title>Fast unfolding of communities in large networks</b:Title>
    <b:Year>2008</b:Year>
    <b:Pages>P10008</b:Pages>
    <b:Author>
      <b:Author>
        <b:NameList>
          <b:Person>
            <b:Last>Blondel</b:Last>
            <b:Middle>D</b:Middle>
            <b:First>V</b:First>
          </b:Person>
          <b:Person>
            <b:Last>Guillaume</b:Last>
            <b:Middle>L</b:Middle>
            <b:First>J</b:First>
          </b:Person>
          <b:Person>
            <b:Last>Lambiotte</b:Last>
            <b:First>R</b:First>
          </b:Person>
          <b:Person>
            <b:Last>Lefebvre</b:Last>
            <b:First>E</b:First>
          </b:Person>
        </b:NameList>
      </b:Author>
    </b:Author>
    <b:JournalName>J Stat Mech</b:JournalName>
    <b:RefOrder>10</b:RefOrder>
  </b:Source>
  <b:Source>
    <b:Tag>War63</b:Tag>
    <b:SourceType>JournalArticle</b:SourceType>
    <b:Guid>{D083630F-5DD3-4157-BE08-4D3DE5EF2FCB}</b:Guid>
    <b:Title>Hierarchical grouping to optimize an objective function</b:Title>
    <b:JournalName>J Am Stat Assoc</b:JournalName>
    <b:Year>1963</b:Year>
    <b:Pages>236-244</b:Pages>
    <b:Volume>58</b:Volume>
    <b:Issue>301</b:Issue>
    <b:Author>
      <b:Author>
        <b:NameList>
          <b:Person>
            <b:Last>Ward</b:Last>
            <b:Middle>H</b:Middle>
            <b:First>J</b:First>
          </b:Person>
        </b:NameList>
      </b:Author>
    </b:Author>
    <b:RefOrder>11</b:RefOrder>
  </b:Source>
  <b:Source>
    <b:Tag>Lin172</b:Tag>
    <b:SourceType>JournalArticle</b:SourceType>
    <b:Guid>{D0FA1E2D-F770-4AEC-A6E6-6CEE88D68197}</b:Guid>
    <b:Title>CIDR: Ultrafast and accurate clustering through imputation for single-cell RNA-seq data</b:Title>
    <b:JournalName>Genome Biol</b:JournalName>
    <b:Year>2017</b:Year>
    <b:Pages>59</b:Pages>
    <b:Volume>18</b:Volume>
    <b:Issue>1</b:Issue>
    <b:Author>
      <b:Author>
        <b:NameList>
          <b:Person>
            <b:Last>Lin</b:Last>
            <b:First>P</b:First>
          </b:Person>
          <b:Person>
            <b:Last>Troup</b:Last>
            <b:First>M</b:First>
          </b:Person>
          <b:Person>
            <b:Last>Ho</b:Last>
            <b:Middle>W K</b:Middle>
            <b:First>J</b:First>
          </b:Person>
        </b:NameList>
      </b:Author>
    </b:Author>
    <b:RefOrder>12</b:RefOrder>
  </b:Source>
  <b:Source>
    <b:Tag>Zei15</b:Tag>
    <b:SourceType>JournalArticle</b:SourceType>
    <b:Guid>{0B300800-BDBC-423B-B013-C0339DD4FB75}</b:Guid>
    <b:Title>Cell types in the mouse cortex and hippocampus revealed by single-cell RNA-seq</b:Title>
    <b:JournalName>Science</b:JournalName>
    <b:Year>2015</b:Year>
    <b:Pages>1138-1142</b:Pages>
    <b:Volume>347</b:Volume>
    <b:Issue>6226</b:Issue>
    <b:Author>
      <b:Author>
        <b:NameList>
          <b:Person>
            <b:Last>Zeisel</b:Last>
            <b:First>A</b:First>
          </b:Person>
          <b:Person>
            <b:Last>Muñoz-Manchado</b:Last>
            <b:First>A</b:First>
            <b:Middle>B</b:Middle>
          </b:Person>
          <b:Person>
            <b:Last>Codeluppi</b:Last>
            <b:First>S</b:First>
          </b:Person>
          <b:Person>
            <b:Last>Lönnerberg</b:Last>
            <b:First>P</b:First>
          </b:Person>
          <b:Person>
            <b:Last>La Manno</b:Last>
            <b:First>G</b:First>
          </b:Person>
          <b:Person>
            <b:Last>Juréus</b:Last>
            <b:First>A</b:First>
          </b:Person>
          <b:Person>
            <b:Last>Marques</b:Last>
            <b:First>S</b:First>
          </b:Person>
          <b:Person>
            <b:Last>Munguba</b:Last>
            <b:First>H</b:First>
          </b:Person>
          <b:Person>
            <b:Last>He</b:Last>
            <b:First>L</b:First>
          </b:Person>
          <b:Person>
            <b:Last>Betsholtz</b:Last>
            <b:First>C</b:First>
          </b:Person>
          <b:Person>
            <b:Last>Rolny</b:Last>
            <b:First>C</b:First>
          </b:Person>
          <b:Person>
            <b:Last>Castelo-Branco</b:Last>
            <b:First>G</b:First>
          </b:Person>
          <b:Person>
            <b:Last>Hjerling-Leffler</b:Last>
            <b:First>J</b:First>
          </b:Person>
          <b:Person>
            <b:Last>Linnarsson</b:Last>
            <b:First>S</b:First>
          </b:Person>
        </b:NameList>
      </b:Author>
    </b:Author>
    <b:RefOrder>13</b:RefOrder>
  </b:Source>
  <b:Source>
    <b:Tag>Sun184</b:Tag>
    <b:SourceType>JournalArticle</b:SourceType>
    <b:Guid>{BA425ADE-8646-4171-BEF2-C1A9EF3E2C9D}</b:Guid>
    <b:Title>DIMM-SC: A Dirichlet mixture model for clustering droplet-based single cell transcriptomic data</b:Title>
    <b:JournalName>Bioinformatics</b:JournalName>
    <b:Year>2018</b:Year>
    <b:Pages>139-146</b:Pages>
    <b:Volume>34</b:Volume>
    <b:Issue>1</b:Issue>
    <b:Author>
      <b:Author>
        <b:NameList>
          <b:Person>
            <b:Last>Sun</b:Last>
            <b:First>Z</b:First>
          </b:Person>
          <b:Person>
            <b:Last>Wang</b:Last>
            <b:First>T</b:First>
          </b:Person>
          <b:Person>
            <b:Last>Deng</b:Last>
            <b:First>K</b:First>
          </b:Person>
          <b:Person>
            <b:Last>Wang</b:Last>
            <b:Middle>F</b:Middle>
            <b:First>X</b:First>
          </b:Person>
          <b:Person>
            <b:Last>Lafyatis</b:Last>
            <b:First>R</b:First>
          </b:Person>
          <b:Person>
            <b:Last>Ding</b:Last>
            <b:First>Y</b:First>
          </b:Person>
          <b:Person>
            <b:Last>Hu</b:Last>
            <b:First>M</b:First>
          </b:Person>
          <b:Person>
            <b:Last>Chen</b:Last>
            <b:First>W</b:First>
          </b:Person>
        </b:NameList>
      </b:Author>
    </b:Author>
    <b:RefOrder>14</b:RefOrder>
  </b:Source>
  <b:Source>
    <b:Tag>Sun19</b:Tag>
    <b:SourceType>JournalArticle</b:SourceType>
    <b:Guid>{E44F83F1-FDE9-489B-A930-98320561C474}</b:Guid>
    <b:Title>A Bayesian mixture model for clustering droplet-based single-cell transcriptomic data from population studies</b:Title>
    <b:JournalName>Nat Commun</b:JournalName>
    <b:Year>2019</b:Year>
    <b:Pages>1649</b:Pages>
    <b:Volume>10</b:Volume>
    <b:Author>
      <b:Author>
        <b:NameList>
          <b:Person>
            <b:Last>Sun</b:Last>
            <b:First>Z</b:First>
          </b:Person>
          <b:Person>
            <b:Last>Chen</b:Last>
            <b:First>L</b:First>
          </b:Person>
          <b:Person>
            <b:Last>Xin</b:Last>
            <b:First>H</b:First>
          </b:Person>
          <b:Person>
            <b:Last>Jiang</b:Last>
            <b:First>Y</b:First>
          </b:Person>
          <b:Person>
            <b:Last>Huang</b:Last>
            <b:First>Q</b:First>
          </b:Person>
          <b:Person>
            <b:Last>Cillo</b:Last>
            <b:Middle>R</b:Middle>
            <b:First>A</b:First>
          </b:Person>
          <b:Person>
            <b:Last>Tabib</b:Last>
            <b:First>T</b:First>
          </b:Person>
          <b:Person>
            <b:Last>Kolls</b:Last>
            <b:Middle>K</b:Middle>
            <b:First>J</b:First>
          </b:Person>
          <b:Person>
            <b:Last>Bruno</b:Last>
            <b:Middle>C</b:Middle>
            <b:First>T</b:First>
          </b:Person>
          <b:Person>
            <b:Last>Lafyatis</b:Last>
            <b:First>R</b:First>
          </b:Person>
          <b:Person>
            <b:Last>Vignali</b:Last>
            <b:Middle>A A</b:Middle>
            <b:First>D</b:First>
          </b:Person>
          <b:Person>
            <b:Last>Chen</b:Last>
            <b:First>K</b:First>
          </b:Person>
          <b:Person>
            <b:Last>Ding</b:Last>
            <b:First>Y</b:First>
          </b:Person>
          <b:Person>
            <b:Last>Hu</b:Last>
            <b:First>M</b:First>
          </b:Person>
          <b:Person>
            <b:Last>Chen</b:Last>
            <b:First>W</b:First>
          </b:Person>
        </b:NameList>
      </b:Author>
    </b:Author>
    <b:RefOrder>15</b:RefOrder>
  </b:Source>
</b:Sources>
</file>

<file path=customXml/itemProps1.xml><?xml version="1.0" encoding="utf-8"?>
<ds:datastoreItem xmlns:ds="http://schemas.openxmlformats.org/officeDocument/2006/customXml" ds:itemID="{B899AAE8-5C66-274F-8966-054505D0C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6</Pages>
  <Words>1679</Words>
  <Characters>9572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Solivais, Alex</dc:creator>
  <cp:keywords/>
  <dc:description/>
  <cp:lastModifiedBy>Solivais, Alex</cp:lastModifiedBy>
  <cp:revision>12</cp:revision>
  <dcterms:created xsi:type="dcterms:W3CDTF">2021-08-20T15:07:00Z</dcterms:created>
  <dcterms:modified xsi:type="dcterms:W3CDTF">2021-09-12T16:52:00Z</dcterms:modified>
</cp:coreProperties>
</file>