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color w:val="0F6FA8"/>
          <w:sz w:val="26"/>
          <w:szCs w:val="26"/>
        </w:rPr>
        <w:t xml:space="preserve">Pontificia Universidad Javeriana · Bogotá</w:t>
      </w:r>
      <w:r>
        <w:rPr>
          <w:color w:val="0F6FA8"/>
          <w:sz w:val="26"/>
          <w:szCs w:val="26"/>
        </w:rPr>
        <w:br/>
        <w:t xml:space="preserve"/>
      </w:r>
      <w:r>
        <w:rPr>
          <w:color w:val="0F6FA8"/>
          <w:sz w:val="26"/>
          <w:szCs w:val="26"/>
        </w:rPr>
        <w:t xml:space="preserve">Fundamentos de Ingeniería de Software (12946)</w:t>
      </w:r>
    </w:p>
    <w:p>
      <w:pPr>
        <w:spacing w:before="3600"/>
      </w:pPr>
    </w:p>
    <w:p>
      <w:pPr>
        <w:jc w:val="center"/>
      </w:pPr>
      <w:r>
        <w:rPr>
          <w:b/>
          <w:bCs/>
          <w:color w:val="0E2235"/>
          <w:sz w:val="52"/>
          <w:szCs w:val="52"/>
        </w:rPr>
        <w:t xml:space="preserve">Taller de Diseño en Software</w:t>
      </w:r>
    </w:p>
    <w:p>
      <w:pPr>
        <w:jc w:val="center"/>
      </w:pPr>
      <w:r>
        <w:rPr>
          <w:color w:val="0F6FA8"/>
          <w:sz w:val="28"/>
          <w:szCs w:val="28"/>
        </w:rPr>
        <w:t xml:space="preserve">Parquivo — Sistema de gestión para parqueaderos</w:t>
      </w:r>
    </w:p>
    <w:p>
      <w:pPr>
        <w:spacing w:before="3600"/>
      </w:pPr>
    </w:p>
    <w:p>
      <w:pPr>
        <w:spacing w:line="360"/>
        <w:jc w:val="center"/>
      </w:pPr>
      <w:r>
        <w:rPr>
          <w:b/>
          <w:bCs/>
          <w:sz w:val="22"/>
          <w:szCs w:val="22"/>
        </w:rPr>
        <w:t xml:space="preserve">Integrantes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 Cristian Quevedo · Sergio Alexander Lara Bonilla · Jacob Riveros · Santiago Arias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Docente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Ing. Kerwin de Jesús Barros Somerson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 Repositorio: github.com/Alexander-hub-co/Fundamentos_Ing_SW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 Octubre de 2026 </w:t>
      </w:r>
    </w:p>
    <w:p>
      <w:pPr>
        <w:sectPr>
          <w:footerReference w:type="default" r:id="rId6"/>
          <w:pgSz w:w="11906" w:h="16838" w:orient="portrait"/>
          <w:pgMar w:top="1247" w:right="1134" w:bottom="1134" w:left="1134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1. Introducción</w:t>
      </w:r>
    </w:p>
    <w:p>
      <w:pPr>
        <w:jc w:val="both"/>
      </w:pPr>
      <w:r>
        <w:rPr>
          <w:b/>
          <w:bCs/>
        </w:rPr>
        <w:t xml:space="preserve">Parquivo</w:t>
      </w:r>
      <w:r>
        <w:t xml:space="preserve"> es una aplicación web para administrar parqueaderos. Cada establecimiento declara sus tarifas, convenios y horarios, y el operario de la caseta registra la entrada y la salida de los vehículos escribiendo únicamente la placa: el sistema deduce si el vehículo es carro o moto, decide si se trata de una entrada o de una salida y, al salir, calcula el cobro mostrando cómo llegó a ese valor. Varios parqueaderos comparten la plataforma con sus datos aislados entre sí.</w:t>
      </w:r>
    </w:p>
    <w:p>
      <w:pPr>
        <w:jc w:val="both"/>
      </w:pPr>
      <w:r>
        <w:t xml:space="preserve">Está construida con Next.js 16 y React 19 sobre Node.js, con PostgreSQL 16 como base de datos, Drizzle como capa de acceso a datos y Better Auth para las sesiones. El aislamiento entre establecimientos se garantiza en la propia base mediante seguridad por filas (RLS).</w:t>
      </w:r>
    </w:p>
    <w:p>
      <w:pPr>
        <w:jc w:val="both"/>
      </w:pPr>
      <w:r>
        <w:t xml:space="preserve">Este informe presenta el modelo de diseño del sistema mediante cuatro diagramas UML —análisis (ECB), clases, componentes y despliegue— construidos a partir de las tres historias de usuario más críticas del backlog: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"/>
        <w:gridCol w:w="2654"/>
        <w:gridCol w:w="723"/>
        <w:gridCol w:w="723"/>
        <w:gridCol w:w="4815"/>
      </w:tblGrid>
      <w:tr>
        <w:trPr>
          <w:cantSplit/>
          <w:tblHeader/>
        </w:trPr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265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Prioridad</w:t>
            </w:r>
          </w:p>
        </w:tc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Puntos</w:t>
            </w:r>
          </w:p>
        </w:tc>
        <w:tc>
          <w:tcPr>
            <w:tcW w:type="dxa" w:w="481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Por qué es crítica</w:t>
            </w:r>
          </w:p>
        </w:tc>
      </w:tr>
      <w:tr>
        <w:trPr>
          <w:cantSplit/>
          <w:tblHeader w:val="false"/>
        </w:trPr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#31</w:t>
            </w:r>
          </w:p>
        </w:tc>
        <w:tc>
          <w:tcPr>
            <w:tcW w:type="dxa" w:w="265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HU-008 · Determinar entrada o salida según placa</w:t>
            </w:r>
            <w:r>
              <w:rPr>
                <w:sz w:val="19"/>
                <w:szCs w:val="19"/>
              </w:rPr>
              <w:t xml:space="preserve"> (principal)</w:t>
            </w:r>
          </w:p>
        </w:tc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81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 la operación que el operario repite todo el día; sin ella no entra ni sale ningún vehículo.</w:t>
            </w:r>
          </w:p>
        </w:tc>
      </w:tr>
      <w:tr>
        <w:trPr>
          <w:cantSplit/>
          <w:tblHeader w:val="false"/>
        </w:trPr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#27</w:t>
            </w:r>
          </w:p>
        </w:tc>
        <w:tc>
          <w:tcPr>
            <w:tcW w:type="dxa" w:w="265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HU-004 · Snapshot de tarifa y convenio al momento del cobro</w:t>
            </w:r>
          </w:p>
        </w:tc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81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Garantiza que un cobro hecho no cambie aunque después cambien las tarifas: es la base de la confianza en el dinero.</w:t>
            </w:r>
          </w:p>
        </w:tc>
      </w:tr>
      <w:tr>
        <w:trPr>
          <w:cantSplit/>
          <w:tblHeader w:val="false"/>
        </w:trPr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#30</w:t>
            </w:r>
          </w:p>
        </w:tc>
        <w:tc>
          <w:tcPr>
            <w:tcW w:type="dxa" w:w="265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HU-007 · Detalle del cálculo del cobro</w:t>
            </w:r>
          </w:p>
        </w:tc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2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1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Hace que cada cobro se pueda explicar al cliente, que es la propuesta de valor del producto.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Juntas cubren el ciclo completo de un vehículo: entra, el sistema calcula cuánto debe y, al salir, el cobro queda guardado tal como se hizo.</w:t>
      </w:r>
    </w:p>
    <w:p>
      <w:pPr>
        <w:pStyle w:val="Heading1"/>
      </w:pPr>
      <w:r>
        <w:t xml:space="preserve">2. Gestión del trabajo: issues y commits</w:t>
      </w:r>
    </w:p>
    <w:p>
      <w:pPr>
        <w:jc w:val="both"/>
      </w:pPr>
      <w:r>
        <w:t xml:space="preserve">Se creó un sub-issue por diagrama, vinculado a la historia principal </w:t>
      </w:r>
      <w:r>
        <w:rPr>
          <w:b/>
          <w:bCs/>
        </w:rPr>
        <w:t xml:space="preserve">HU-008 (#31)</w:t>
      </w:r>
      <w:r>
        <w:t xml:space="preserve"> en el tablero </w:t>
      </w:r>
      <w:r>
        <w:rPr>
          <w:i/>
          <w:iCs/>
        </w:rPr>
        <w:t xml:space="preserve">KAMBAN_FIS_2630_G#</w:t>
      </w:r>
      <w:r>
        <w:t xml:space="preserve">. Cada diagrama se cargó en la carpeta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docs/diagramas</w:t>
      </w:r>
      <w:r>
        <w:t xml:space="preserve"> del repositorio mediante su propio commit, que referencia el sub-issue correspondiente.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1345"/>
        <w:gridCol w:w="3380"/>
        <w:gridCol w:w="2861"/>
      </w:tblGrid>
      <w:tr>
        <w:trPr>
          <w:cantSplit/>
          <w:tblHeader/>
        </w:trPr>
        <w:tc>
          <w:tcPr>
            <w:tcW w:type="dxa" w:w="205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Sub-issue</w:t>
            </w:r>
          </w:p>
        </w:tc>
        <w:tc>
          <w:tcPr>
            <w:tcW w:type="dxa" w:w="134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Asignado</w:t>
            </w:r>
          </w:p>
        </w:tc>
        <w:tc>
          <w:tcPr>
            <w:tcW w:type="dxa" w:w="338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Etiquetas</w:t>
            </w:r>
          </w:p>
        </w:tc>
        <w:tc>
          <w:tcPr>
            <w:tcW w:type="dxa" w:w="286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Commit asociado</w:t>
            </w:r>
          </w:p>
        </w:tc>
      </w:tr>
      <w:tr>
        <w:trPr>
          <w:cantSplit/>
          <w:tblHeader w:val="false"/>
        </w:trPr>
        <w:tc>
          <w:tcPr>
            <w:tcW w:type="dxa" w:w="205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#62 · Diagrama de análisis (ECB)</w:t>
            </w:r>
          </w:p>
        </w:tc>
        <w:tc>
          <w:tcPr>
            <w:tcW w:type="dxa" w:w="134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Cristian Quevedo</w:t>
            </w:r>
          </w:p>
        </w:tc>
        <w:tc>
          <w:tcPr>
            <w:tcW w:type="dxa" w:w="338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Tasks · Diseño · prioridad: alta · M4 · taquilla</w:t>
            </w:r>
          </w:p>
        </w:tc>
        <w:tc>
          <w:tcPr>
            <w:tcW w:type="dxa" w:w="286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docs(diagramas): diagrama de análisis ECB</w:t>
            </w:r>
          </w:p>
        </w:tc>
      </w:tr>
      <w:tr>
        <w:trPr>
          <w:cantSplit/>
          <w:tblHeader w:val="false"/>
        </w:trPr>
        <w:tc>
          <w:tcPr>
            <w:tcW w:type="dxa" w:w="205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#63 · Diagrama de clases</w:t>
            </w:r>
          </w:p>
        </w:tc>
        <w:tc>
          <w:tcPr>
            <w:tcW w:type="dxa" w:w="134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Sergio Alexander Lara Bonilla</w:t>
            </w:r>
          </w:p>
        </w:tc>
        <w:tc>
          <w:tcPr>
            <w:tcW w:type="dxa" w:w="338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Tasks · Diseño · prioridad: alta · M4 · taquilla</w:t>
            </w:r>
          </w:p>
        </w:tc>
        <w:tc>
          <w:tcPr>
            <w:tcW w:type="dxa" w:w="286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docs(diagramas): diagrama de clases</w:t>
            </w:r>
          </w:p>
        </w:tc>
      </w:tr>
      <w:tr>
        <w:trPr>
          <w:cantSplit/>
          <w:tblHeader w:val="false"/>
        </w:trPr>
        <w:tc>
          <w:tcPr>
            <w:tcW w:type="dxa" w:w="205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#65 · Diagrama de componentes</w:t>
            </w:r>
          </w:p>
        </w:tc>
        <w:tc>
          <w:tcPr>
            <w:tcW w:type="dxa" w:w="134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Jacob Riveros</w:t>
            </w:r>
          </w:p>
        </w:tc>
        <w:tc>
          <w:tcPr>
            <w:tcW w:type="dxa" w:w="338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Tasks · Diseño · prioridad: alta · M4 · taquilla</w:t>
            </w:r>
          </w:p>
        </w:tc>
        <w:tc>
          <w:tcPr>
            <w:tcW w:type="dxa" w:w="286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docs(diagramas): diagrama de componentes</w:t>
            </w:r>
          </w:p>
        </w:tc>
      </w:tr>
      <w:tr>
        <w:trPr>
          <w:cantSplit/>
          <w:tblHeader w:val="false"/>
        </w:trPr>
        <w:tc>
          <w:tcPr>
            <w:tcW w:type="dxa" w:w="205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#67 · Diagrama de despliegue</w:t>
            </w:r>
          </w:p>
        </w:tc>
        <w:tc>
          <w:tcPr>
            <w:tcW w:type="dxa" w:w="134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Santiago Arias</w:t>
            </w:r>
          </w:p>
        </w:tc>
        <w:tc>
          <w:tcPr>
            <w:tcW w:type="dxa" w:w="338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Tasks · Diseño · prioridad: alta · M4 · taquilla</w:t>
            </w:r>
          </w:p>
        </w:tc>
        <w:tc>
          <w:tcPr>
            <w:tcW w:type="dxa" w:w="286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docs(diagramas): diagrama de despliegue</w:t>
            </w:r>
          </w:p>
        </w:tc>
      </w:tr>
    </w:tbl>
    <w:p>
      <w:pPr>
        <w:spacing w:after="60"/>
      </w:pPr>
    </w:p>
    <w:p>
      <w:pPr>
        <w:sectPr>
          <w:footerReference w:type="default" r:id="rId7"/>
          <w:pgSz w:w="11906" w:h="16838" w:orient="portrait"/>
          <w:pgMar w:top="1247" w:right="1134" w:bottom="1134" w:left="1134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Diagrama de Análisis (ECB)</w:t>
      </w:r>
    </w:p>
    <w:p>
      <w:pPr>
        <w:jc w:val="both"/>
      </w:pPr>
      <w:r>
        <w:t xml:space="preserve">El diagrama separa el sistema en las tres clases de análisis: los </w:t>
      </w:r>
      <w:r>
        <w:rPr>
          <w:b/>
          <w:bCs/>
        </w:rPr>
        <w:t xml:space="preserve">límites</w:t>
      </w:r>
      <w:r>
        <w:t xml:space="preserve"> (boundary) son lo que tocan los actores; los </w:t>
      </w:r>
      <w:r>
        <w:rPr>
          <w:b/>
          <w:bCs/>
        </w:rPr>
        <w:t xml:space="preserve">controles</w:t>
      </w:r>
      <w:r>
        <w:t xml:space="preserve"> (control) contienen la lógica y orquestan; las </w:t>
      </w:r>
      <w:r>
        <w:rPr>
          <w:b/>
          <w:bCs/>
        </w:rPr>
        <w:t xml:space="preserve">entidades</w:t>
      </w:r>
      <w:r>
        <w:t xml:space="preserve"> (entity) son los datos que persisten. Los actores sólo hablan con límites y sólo los controles tocan las entidades.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7"/>
        <w:gridCol w:w="8221"/>
      </w:tblGrid>
      <w:tr>
        <w:trPr>
          <w:cantSplit/>
          <w:tblHeader/>
        </w:trPr>
        <w:tc>
          <w:tcPr>
            <w:tcW w:type="dxa" w:w="14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822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Elementos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Actores</w:t>
            </w:r>
          </w:p>
        </w:tc>
        <w:tc>
          <w:tcPr>
            <w:tcW w:type="dxa" w:w="822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Operario de taquilla, Administrador de parqueadero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«boundary»</w:t>
            </w:r>
          </w:p>
        </w:tc>
        <w:tc>
          <w:tcPr>
            <w:tcW w:type="dxa" w:w="822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CampoPlaca</w:t>
            </w:r>
            <w:r>
              <w:rPr>
                <w:sz w:val="19"/>
                <w:szCs w:val="19"/>
              </w:rPr>
              <w:t xml:space="preserve"> (el único campo de la taquilla),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PanelSalida</w:t>
            </w:r>
            <w:r>
              <w:rPr>
                <w:sz w:val="19"/>
                <w:szCs w:val="19"/>
              </w:rPr>
              <w:t xml:space="preserve"> (tiempo, tramos y convenios),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ComprobanteImpreso</w:t>
            </w:r>
            <w:r>
              <w:rPr>
                <w:sz w:val="19"/>
                <w:szCs w:val="19"/>
              </w:rPr>
              <w:t xml:space="preserve"> (tiquete térmico),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FormularioTarifa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«control»</w:t>
            </w:r>
          </w:p>
        </w:tc>
        <w:tc>
          <w:tcPr>
            <w:tcW w:type="dxa" w:w="822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ResolverPlacaCtrl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RegistrarEntradaCtrl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CalcularCobroCtrl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RegistrarSalidaCtrl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DeclararTarifaCtrl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«entity»</w:t>
            </w:r>
          </w:p>
        </w:tc>
        <w:tc>
          <w:tcPr>
            <w:tcW w:type="dxa" w:w="8221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Movimiento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TipoVehiculo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Convenio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PoliticaCobro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SesionTurno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Recorrido por historia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HU-008.</w:t>
      </w:r>
      <w:r>
        <w:t xml:space="preserve"> El operario escribe la placa en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CampoPlaca</w:t>
      </w:r>
      <w:r>
        <w:t xml:space="preserve">.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ResolverPlacaCtrl</w:t>
      </w:r>
      <w:r>
        <w:t xml:space="preserve"> la clasifica según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TipoVehiculo</w:t>
      </w:r>
      <w:r>
        <w:t xml:space="preserve"> y busca un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Movimiento</w:t>
      </w:r>
      <w:r>
        <w:t xml:space="preserve"> abierto con esa placa: si no existe, deriva a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RegistrarEntradaCtrl</w:t>
      </w:r>
      <w:r>
        <w:t xml:space="preserve">, que crea el movimiento y lo atribuye a la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SesionTurno</w:t>
      </w:r>
      <w:r>
        <w:t xml:space="preserve">; si existe, deriva a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CalcularCobroCtrl</w:t>
      </w:r>
      <w:r>
        <w:t xml:space="preserve">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HU-007.</w:t>
      </w:r>
      <w:r>
        <w:t xml:space="preserve">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CalcularCobroCtrl</w:t>
      </w:r>
      <w:r>
        <w:t xml:space="preserve"> toma la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Tarifa</w:t>
      </w:r>
      <w:r>
        <w:t xml:space="preserve"> vigente, aplica los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Convenio</w:t>
      </w:r>
      <w:r>
        <w:t xml:space="preserve"> y la regla de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PoliticaCobro</w:t>
      </w:r>
      <w:r>
        <w:t xml:space="preserve">, y entrega el desglose por tramos a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PanelSalida</w:t>
      </w:r>
      <w:r>
        <w:t xml:space="preserve">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HU-004.</w:t>
      </w:r>
      <w:r>
        <w:t xml:space="preserve"> Al confirmar,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RegistrarSalidaCtrl</w:t>
      </w:r>
      <w:r>
        <w:t xml:space="preserve"> recalcula en el instante de salida, cierra el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Movimiento</w:t>
      </w:r>
      <w:r>
        <w:t xml:space="preserve"> guardando una copia del cobro y emite el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ComprobanteImpreso</w:t>
      </w:r>
      <w:r>
        <w:t xml:space="preserve">. Cuando el administrador declara una tarifa nueva,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DeclararTarifaCtrl</w:t>
      </w:r>
      <w:r>
        <w:t xml:space="preserve"> crea otra versión y los movimientos cerrados no cambian.</w:t>
      </w:r>
    </w:p>
    <w:p>
      <w:pPr>
        <w:sectPr>
          <w:footerReference w:type="default" r:id="rId8"/>
          <w:pgSz w:w="11906" w:h="16838" w:orient="portrait"/>
          <w:pgMar w:top="1247" w:right="1134" w:bottom="1134" w:left="1134" w:header="708" w:footer="708" w:gutter="0"/>
          <w:pgNumType/>
          <w:titlePg w:val="false"/>
          <w:docGrid w:linePitch="360"/>
        </w:sectPr>
      </w:pPr>
    </w:p>
    <w:p>
      <w:pPr>
        <w:jc w:val="center"/>
      </w:pPr>
      <w:r>
        <w:drawing>
          <wp:inline distT="0" distB="0" distL="0" distR="0">
            <wp:extent cx="95250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"/>
      </w:pPr>
      <w:r>
        <w:t xml:space="preserve">Figura 1. Diagrama de Análisis (ECB) — docs/diagramas/diagrama-ecb.md</w:t>
      </w:r>
    </w:p>
    <w:p>
      <w:pPr>
        <w:sectPr>
          <w:footerReference w:type="default" r:id="rId9"/>
          <w:pgSz w:w="16838" w:h="11906" w:orient="landscape"/>
          <w:pgMar w:top="794" w:right="794" w:bottom="794" w:left="79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Diagrama de Clases</w:t>
      </w:r>
    </w:p>
    <w:p>
      <w:pPr>
        <w:jc w:val="both"/>
      </w:pPr>
      <w:r>
        <w:t xml:space="preserve">El modelo tiene tres grupos. Los </w:t>
      </w:r>
      <w:r>
        <w:rPr>
          <w:b/>
          <w:bCs/>
        </w:rPr>
        <w:t xml:space="preserve">servicios</w:t>
      </w:r>
      <w:r>
        <w:t xml:space="preserve"> (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ServicioTaquilla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CalculadoraCobro</w:t>
      </w:r>
      <w:r>
        <w:t xml:space="preserve">) contienen la lógica de negocio; las </w:t>
      </w:r>
      <w:r>
        <w:rPr>
          <w:b/>
          <w:bCs/>
        </w:rPr>
        <w:t xml:space="preserve">interfaces</w:t>
      </w:r>
      <w:r>
        <w:t xml:space="preserve"> (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ICalculadoraCobro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IRepositorioMovimientos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IRepositorioTarifas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IRepositorioConvenios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IAutorizador</w:t>
      </w:r>
      <w:r>
        <w:t xml:space="preserve">) son los contratos de los que dependen; y el </w:t>
      </w:r>
      <w:r>
        <w:rPr>
          <w:b/>
          <w:bCs/>
        </w:rPr>
        <w:t xml:space="preserve">dominio</w:t>
      </w:r>
      <w:r>
        <w:t xml:space="preserve"> (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Parqueadero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Movimiento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Tarifa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Convenio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Cobro</w:t>
      </w:r>
      <w:r>
        <w:t xml:space="preserve">…) son los datos del negocio. Cada clase lleva sus atributos con tipo y visibilidad (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-</w:t>
      </w:r>
      <w:r>
        <w:t xml:space="preserve"> privado,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#</w:t>
      </w:r>
      <w:r>
        <w:t xml:space="preserve"> protegido,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+</w:t>
      </w:r>
      <w:r>
        <w:t xml:space="preserve"> público) y sus métodos con parámetros y tipo de retorno.</w:t>
      </w:r>
    </w:p>
    <w:p>
      <w:pPr>
        <w:pStyle w:val="Heading3"/>
        <w:keepNext/>
      </w:pPr>
      <w:r>
        <w:t xml:space="preserve">Relaciones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3192"/>
        <w:gridCol w:w="988"/>
        <w:gridCol w:w="4470"/>
      </w:tblGrid>
      <w:tr>
        <w:trPr>
          <w:cantSplit/>
          <w:tblHeader/>
        </w:trPr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19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Entre</w:t>
            </w:r>
          </w:p>
        </w:tc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Multiplicidad</w:t>
            </w:r>
          </w:p>
        </w:tc>
        <w:tc>
          <w:tcPr>
            <w:tcW w:type="dxa" w:w="447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Justificación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Herencia</w:t>
            </w:r>
          </w:p>
        </w:tc>
        <w:tc>
          <w:tcPr>
            <w:tcW w:type="dxa" w:w="319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TarifaPorMinuto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TarifaPorIntervalo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TarifaPrimeraHoraYFraccion</w:t>
            </w:r>
          </w:p>
        </w:tc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7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tres modelos de cobro comparten la tarifa plena y su vigencia; cada uno calcula a su manera.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Realización</w:t>
            </w:r>
          </w:p>
        </w:tc>
        <w:tc>
          <w:tcPr>
            <w:tcW w:type="dxa" w:w="319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CalculadoraCobro</w:t>
            </w:r>
            <w:r>
              <w:rPr>
                <w:sz w:val="19"/>
                <w:szCs w:val="19"/>
              </w:rPr>
              <w:t xml:space="preserve"> implementa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ICalculadoraCobro</w:t>
            </w:r>
          </w:p>
        </w:tc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7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taquilla depende del contrato, no de la implementación.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Composición</w:t>
            </w:r>
          </w:p>
        </w:tc>
        <w:tc>
          <w:tcPr>
            <w:tcW w:type="dxa" w:w="319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Movimiento</w:t>
            </w:r>
            <w:r>
              <w:rPr>
                <w:sz w:val="19"/>
                <w:szCs w:val="19"/>
              </w:rPr>
              <w:t xml:space="preserve"> ◆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Cobro</w:t>
            </w:r>
          </w:p>
        </w:tc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— 0..1</w:t>
            </w:r>
          </w:p>
        </w:tc>
        <w:tc>
          <w:tcPr>
            <w:tcW w:type="dxa" w:w="447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cobro es la copia de HU-004: nace al cerrar el movimiento y no existe sin él.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Composición</w:t>
            </w:r>
          </w:p>
        </w:tc>
        <w:tc>
          <w:tcPr>
            <w:tcW w:type="dxa" w:w="319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Cobro</w:t>
            </w:r>
            <w:r>
              <w:rPr>
                <w:sz w:val="19"/>
                <w:szCs w:val="19"/>
              </w:rPr>
              <w:t xml:space="preserve"> ◆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TramoCobrado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BeneficioAplicado</w:t>
            </w:r>
          </w:p>
        </w:tc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— 1..* / 1 — 0..*</w:t>
            </w:r>
          </w:p>
        </w:tc>
        <w:tc>
          <w:tcPr>
            <w:tcW w:type="dxa" w:w="447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desglose de HU-007 es parte del cobro.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Composición</w:t>
            </w:r>
          </w:p>
        </w:tc>
        <w:tc>
          <w:tcPr>
            <w:tcW w:type="dxa" w:w="319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Movimiento</w:t>
            </w:r>
            <w:r>
              <w:rPr>
                <w:sz w:val="19"/>
                <w:szCs w:val="19"/>
              </w:rPr>
              <w:t xml:space="preserve"> ◆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Placa</w:t>
            </w:r>
          </w:p>
        </w:tc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— 1</w:t>
            </w:r>
          </w:p>
        </w:tc>
        <w:tc>
          <w:tcPr>
            <w:tcW w:type="dxa" w:w="447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placa normalizada pertenece al movimiento.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Agregación</w:t>
            </w:r>
          </w:p>
        </w:tc>
        <w:tc>
          <w:tcPr>
            <w:tcW w:type="dxa" w:w="319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Parqueadero</w:t>
            </w:r>
            <w:r>
              <w:rPr>
                <w:sz w:val="19"/>
                <w:szCs w:val="19"/>
              </w:rPr>
              <w:t xml:space="preserve"> ◇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Convenio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Movimiento</w:t>
            </w:r>
          </w:p>
        </w:tc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— 0..*</w:t>
            </w:r>
          </w:p>
        </w:tc>
        <w:tc>
          <w:tcPr>
            <w:tcW w:type="dxa" w:w="447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establecimiento agrupa lo que declara y registra.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Asociación</w:t>
            </w:r>
          </w:p>
        </w:tc>
        <w:tc>
          <w:tcPr>
            <w:tcW w:type="dxa" w:w="319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Movimiento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TipoVehiculo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Usuario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SesionTurno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TipoVehiculo</w:t>
            </w:r>
          </w:p>
        </w:tc>
        <w:tc>
          <w:tcPr>
            <w:tcW w:type="dxa" w:w="988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0..* — 1 (turno 0..1)</w:t>
            </w:r>
          </w:p>
        </w:tc>
        <w:tc>
          <w:tcPr>
            <w:tcW w:type="dxa" w:w="447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Referencias entre objetos que viven por separado.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Principios SOLID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9"/>
        <w:gridCol w:w="7909"/>
      </w:tblGrid>
      <w:tr>
        <w:trPr>
          <w:cantSplit/>
          <w:tblHeader/>
        </w:trPr>
        <w:tc>
          <w:tcPr>
            <w:tcW w:type="dxa" w:w="172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Principio</w:t>
            </w:r>
          </w:p>
        </w:tc>
        <w:tc>
          <w:tcPr>
            <w:tcW w:type="dxa" w:w="790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Cómo se aplica en el diseño</w:t>
            </w:r>
          </w:p>
        </w:tc>
      </w:tr>
      <w:tr>
        <w:trPr>
          <w:cantSplit/>
          <w:tblHeader w:val="false"/>
        </w:trPr>
        <w:tc>
          <w:tcPr>
            <w:tcW w:type="dxa" w:w="172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</w:t>
            </w:r>
            <w:r>
              <w:rPr>
                <w:sz w:val="19"/>
                <w:szCs w:val="19"/>
              </w:rPr>
              <w:t xml:space="preserve"> — Responsabilidad única</w:t>
            </w:r>
          </w:p>
        </w:tc>
        <w:tc>
          <w:tcPr>
            <w:tcW w:type="dxa" w:w="790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clase tiene un solo motivo de cambio: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Placa</w:t>
            </w:r>
            <w:r>
              <w:rPr>
                <w:sz w:val="19"/>
                <w:szCs w:val="19"/>
              </w:rPr>
              <w:t xml:space="preserve"> normaliza y clasifica,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PoliticaCobro</w:t>
            </w:r>
            <w:r>
              <w:rPr>
                <w:sz w:val="19"/>
                <w:szCs w:val="19"/>
              </w:rPr>
              <w:t xml:space="preserve"> sólo redondea,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CalculadoraCobro</w:t>
            </w:r>
            <w:r>
              <w:rPr>
                <w:sz w:val="19"/>
                <w:szCs w:val="19"/>
              </w:rPr>
              <w:t xml:space="preserve"> sólo calcula y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ServicioTaquilla</w:t>
            </w:r>
            <w:r>
              <w:rPr>
                <w:sz w:val="19"/>
                <w:szCs w:val="19"/>
              </w:rPr>
              <w:t xml:space="preserve"> sólo orquesta. En el código son módulos separados (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vehiculos/placa.ts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cobro/redondeo.ts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tarifas/calcular.ts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taquilla/resolver.ts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72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</w:t>
            </w:r>
            <w:r>
              <w:rPr>
                <w:sz w:val="19"/>
                <w:szCs w:val="19"/>
              </w:rPr>
              <w:t xml:space="preserve"> — Abierto/cerrado</w:t>
            </w:r>
          </w:p>
        </w:tc>
        <w:tc>
          <w:tcPr>
            <w:tcW w:type="dxa" w:w="790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modelo de cobro nuevo se agrega como otra subclase de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</w:t>
            </w:r>
            <w:r>
              <w:rPr>
                <w:sz w:val="19"/>
                <w:szCs w:val="19"/>
              </w:rPr>
              <w:t xml:space="preserve"> sin modificar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CalculadoraCobro</w:t>
            </w:r>
            <w:r>
              <w:rPr>
                <w:sz w:val="19"/>
                <w:szCs w:val="19"/>
              </w:rPr>
              <w:t xml:space="preserve"> ni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ServicioTaquilla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72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</w:t>
            </w:r>
            <w:r>
              <w:rPr>
                <w:sz w:val="19"/>
                <w:szCs w:val="19"/>
              </w:rPr>
              <w:t xml:space="preserve"> — Sustitución de Liskov</w:t>
            </w:r>
          </w:p>
        </w:tc>
        <w:tc>
          <w:tcPr>
            <w:tcW w:type="dxa" w:w="790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Cualquier subclase de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</w:t>
            </w:r>
            <w:r>
              <w:rPr>
                <w:sz w:val="19"/>
                <w:szCs w:val="19"/>
              </w:rPr>
              <w:t xml:space="preserve"> sirve donde se espera una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Tarifa</w:t>
            </w:r>
            <w:r>
              <w:rPr>
                <w:sz w:val="19"/>
                <w:szCs w:val="19"/>
              </w:rPr>
              <w:t xml:space="preserve">: todas cumplen el mismo contrato de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calcular(minutos)</w:t>
            </w:r>
            <w:r>
              <w:rPr>
                <w:sz w:val="19"/>
                <w:szCs w:val="19"/>
              </w:rPr>
              <w:t xml:space="preserve">, que devuelve un importe entero, no negativo y que nunca supera la tarifa plena. La base lo refuerza con restricciones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CHECK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72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</w:t>
            </w:r>
            <w:r>
              <w:rPr>
                <w:sz w:val="19"/>
                <w:szCs w:val="19"/>
              </w:rPr>
              <w:t xml:space="preserve"> — Segregación de interfaces</w:t>
            </w:r>
          </w:p>
        </w:tc>
        <w:tc>
          <w:tcPr>
            <w:tcW w:type="dxa" w:w="790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Hay interfaces pequeñas en lugar de un repositorio general: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ServicioTaquilla</w:t>
            </w:r>
            <w:r>
              <w:rPr>
                <w:sz w:val="19"/>
                <w:szCs w:val="19"/>
              </w:rPr>
              <w:t xml:space="preserve"> sólo conoce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IRepositorioMovimientos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IAutorizador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CalculadoraCobro</w:t>
            </w:r>
            <w:r>
              <w:rPr>
                <w:sz w:val="19"/>
                <w:szCs w:val="19"/>
              </w:rPr>
              <w:t xml:space="preserve"> sólo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IRepositorioTarifas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IRepositorioConvenios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72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  <w:r>
              <w:rPr>
                <w:sz w:val="19"/>
                <w:szCs w:val="19"/>
              </w:rPr>
              <w:t xml:space="preserve"> — Inversión de dependencias</w:t>
            </w:r>
          </w:p>
        </w:tc>
        <w:tc>
          <w:tcPr>
            <w:tcW w:type="dxa" w:w="790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ServicioTaquilla</w:t>
            </w:r>
            <w:r>
              <w:rPr>
                <w:sz w:val="19"/>
                <w:szCs w:val="19"/>
              </w:rPr>
              <w:t xml:space="preserve"> depende de la abstracción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ICalculadoraCobro</w:t>
            </w:r>
            <w:r>
              <w:rPr>
                <w:sz w:val="19"/>
                <w:szCs w:val="19"/>
              </w:rPr>
              <w:t xml:space="preserve">, no de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CalculadoraCobro</w:t>
            </w:r>
            <w:r>
              <w:rPr>
                <w:sz w:val="19"/>
                <w:szCs w:val="19"/>
              </w:rPr>
              <w:t xml:space="preserve">. Los servicios piden los datos a repositorios por su interfaz y no conocen PostgreSQL.</w:t>
            </w:r>
          </w:p>
        </w:tc>
      </w:tr>
    </w:tbl>
    <w:p>
      <w:pPr>
        <w:spacing w:after="60"/>
      </w:pPr>
    </w:p>
    <w:p>
      <w:pPr>
        <w:sectPr>
          <w:footerReference w:type="default" r:id="rId10"/>
          <w:pgSz w:w="11906" w:h="16838" w:orient="portrait"/>
          <w:pgMar w:top="1247" w:right="1134" w:bottom="1134" w:left="1134" w:header="708" w:footer="708" w:gutter="0"/>
          <w:pgNumType/>
          <w:titlePg w:val="false"/>
          <w:docGrid w:linePitch="360"/>
        </w:sectPr>
      </w:pPr>
    </w:p>
    <w:p>
      <w:pPr>
        <w:jc w:val="center"/>
      </w:pPr>
      <w:r>
        <w:drawing>
          <wp:inline distT="0" distB="0" distL="0" distR="0">
            <wp:extent cx="952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"/>
      </w:pPr>
      <w:r>
        <w:t xml:space="preserve">Figura 2. Diagrama de Clases — docs/diagramas/diagrama-clases.md</w:t>
      </w:r>
    </w:p>
    <w:p>
      <w:pPr>
        <w:sectPr>
          <w:footerReference w:type="default" r:id="rId11"/>
          <w:pgSz w:w="16838" w:h="11906" w:orient="landscape"/>
          <w:pgMar w:top="794" w:right="794" w:bottom="794" w:left="79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Diagrama de Componentes</w:t>
      </w:r>
    </w:p>
    <w:p>
      <w:pPr>
        <w:jc w:val="both"/>
      </w:pPr>
      <w:r>
        <w:t xml:space="preserve">Parquivo se organiza en siete componentes internos, cada uno con sus subcomponentes, y tres elementos externos que el diagrama distingue en otro color. El círculo marca la interfaz </w:t>
      </w:r>
      <w:r>
        <w:rPr>
          <w:b/>
          <w:bCs/>
        </w:rPr>
        <w:t xml:space="preserve">provista</w:t>
      </w:r>
      <w:r>
        <w:t xml:space="preserve"> por un componente y el semicírculo la interfaz que otro </w:t>
      </w:r>
      <w:r>
        <w:rPr>
          <w:b/>
          <w:bCs/>
        </w:rPr>
        <w:t xml:space="preserve">requiere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5"/>
        <w:gridCol w:w="6443"/>
      </w:tblGrid>
      <w:tr>
        <w:trPr>
          <w:cantSplit/>
          <w:tblHeader/>
        </w:trPr>
        <w:tc>
          <w:tcPr>
            <w:tcW w:type="dxa" w:w="319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644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Subcomponentes</w:t>
            </w:r>
          </w:p>
        </w:tc>
      </w:tr>
      <w:tr>
        <w:trPr>
          <w:cantSplit/>
          <w:tblHeader w:val="false"/>
        </w:trPr>
        <w:tc>
          <w:tcPr>
            <w:tcW w:type="dxa" w:w="319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Interfaz de Taquilla</w:t>
            </w:r>
          </w:p>
        </w:tc>
        <w:tc>
          <w:tcPr>
            <w:tcW w:type="dxa" w:w="644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CampoPlaca, PanelSalida, Impresión</w:t>
            </w:r>
          </w:p>
        </w:tc>
      </w:tr>
      <w:tr>
        <w:trPr>
          <w:cantSplit/>
          <w:tblHeader w:val="false"/>
        </w:trPr>
        <w:tc>
          <w:tcPr>
            <w:tcW w:type="dxa" w:w="319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Interfaz de Configuración</w:t>
            </w:r>
          </w:p>
        </w:tc>
        <w:tc>
          <w:tcPr>
            <w:tcW w:type="dxa" w:w="644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FormularioTarifa, ProbadorCálculo</w:t>
            </w:r>
          </w:p>
        </w:tc>
      </w:tr>
      <w:tr>
        <w:trPr>
          <w:cantSplit/>
          <w:tblHeader w:val="false"/>
        </w:trPr>
        <w:tc>
          <w:tcPr>
            <w:tcW w:type="dxa" w:w="319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Taquilla</w:t>
            </w:r>
          </w:p>
        </w:tc>
        <w:tc>
          <w:tcPr>
            <w:tcW w:type="dxa" w:w="644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ResolverPlaca, RegistrarMovimiento, Comprobante</w:t>
            </w:r>
          </w:p>
        </w:tc>
      </w:tr>
      <w:tr>
        <w:trPr>
          <w:cantSplit/>
          <w:tblHeader w:val="false"/>
        </w:trPr>
        <w:tc>
          <w:tcPr>
            <w:tcW w:type="dxa" w:w="319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Tarifas</w:t>
            </w:r>
          </w:p>
        </w:tc>
        <w:tc>
          <w:tcPr>
            <w:tcW w:type="dxa" w:w="644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DeclararTarifa, TarifaVigente, CalcularImporte</w:t>
            </w:r>
          </w:p>
        </w:tc>
      </w:tr>
      <w:tr>
        <w:trPr>
          <w:cantSplit/>
          <w:tblHeader w:val="false"/>
        </w:trPr>
        <w:tc>
          <w:tcPr>
            <w:tcW w:type="dxa" w:w="319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Cobro y Convenios</w:t>
            </w:r>
          </w:p>
        </w:tc>
        <w:tc>
          <w:tcPr>
            <w:tcW w:type="dxa" w:w="644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AplicarConvenios, PolíticaRedondeo</w:t>
            </w:r>
          </w:p>
        </w:tc>
      </w:tr>
      <w:tr>
        <w:trPr>
          <w:cantSplit/>
          <w:tblHeader w:val="false"/>
        </w:trPr>
        <w:tc>
          <w:tcPr>
            <w:tcW w:type="dxa" w:w="319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Autenticación y Autorización</w:t>
            </w:r>
          </w:p>
        </w:tc>
        <w:tc>
          <w:tcPr>
            <w:tcW w:type="dxa" w:w="644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Sesión, Permisos</w:t>
            </w:r>
          </w:p>
        </w:tc>
      </w:tr>
      <w:tr>
        <w:trPr>
          <w:cantSplit/>
          <w:tblHeader w:val="false"/>
        </w:trPr>
        <w:tc>
          <w:tcPr>
            <w:tcW w:type="dxa" w:w="3195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Persistencia</w:t>
            </w:r>
          </w:p>
        </w:tc>
        <w:tc>
          <w:tcPr>
            <w:tcW w:type="dxa" w:w="6443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ConÁmbito (RLS), Esquema Drizzle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1466"/>
        <w:gridCol w:w="2234"/>
        <w:gridCol w:w="4472"/>
      </w:tblGrid>
      <w:tr>
        <w:trPr>
          <w:cantSplit/>
          <w:tblHeader/>
        </w:trPr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Interfaz</w:t>
            </w:r>
          </w:p>
        </w:tc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 provee</w:t>
            </w:r>
          </w:p>
        </w:tc>
        <w:tc>
          <w:tcPr>
            <w:tcW w:type="dxa" w:w="223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 requiere</w:t>
            </w:r>
          </w:p>
        </w:tc>
        <w:tc>
          <w:tcPr>
            <w:tcW w:type="dxa" w:w="447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Contrato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ITaquilla</w:t>
            </w:r>
          </w:p>
        </w:tc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Taquilla</w:t>
            </w:r>
          </w:p>
        </w:tc>
        <w:tc>
          <w:tcPr>
            <w:tcW w:type="dxa" w:w="223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Interfaz de Taquilla</w:t>
            </w:r>
          </w:p>
        </w:tc>
        <w:tc>
          <w:tcPr>
            <w:tcW w:type="dxa" w:w="447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Resolver una placa, registrar entrada y salida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IConfigTarifas</w:t>
            </w:r>
          </w:p>
        </w:tc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Tarifas</w:t>
            </w:r>
          </w:p>
        </w:tc>
        <w:tc>
          <w:tcPr>
            <w:tcW w:type="dxa" w:w="223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Interfaz de Configuración</w:t>
            </w:r>
          </w:p>
        </w:tc>
        <w:tc>
          <w:tcPr>
            <w:tcW w:type="dxa" w:w="447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Declarar una tarifa y probar el cálculo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ICalculoCobro</w:t>
            </w:r>
          </w:p>
        </w:tc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Cobro y Convenios</w:t>
            </w:r>
          </w:p>
        </w:tc>
        <w:tc>
          <w:tcPr>
            <w:tcW w:type="dxa" w:w="223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Taquilla</w:t>
            </w:r>
          </w:p>
        </w:tc>
        <w:tc>
          <w:tcPr>
            <w:tcW w:type="dxa" w:w="447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Calcular el cobro con convenios y redondeo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ITarifaVigente</w:t>
            </w:r>
          </w:p>
        </w:tc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Tarifas</w:t>
            </w:r>
          </w:p>
        </w:tc>
        <w:tc>
          <w:tcPr>
            <w:tcW w:type="dxa" w:w="223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Cobro y Convenios</w:t>
            </w:r>
          </w:p>
        </w:tc>
        <w:tc>
          <w:tcPr>
            <w:tcW w:type="dxa" w:w="447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Entregar la tarifa vigente en una fecha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IContexto</w:t>
            </w:r>
          </w:p>
        </w:tc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23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Taquilla, Tarifas</w:t>
            </w:r>
          </w:p>
        </w:tc>
        <w:tc>
          <w:tcPr>
            <w:tcW w:type="dxa" w:w="447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Usuario, rol y establecimiento de la sesión</w:t>
            </w:r>
          </w:p>
        </w:tc>
      </w:tr>
      <w:tr>
        <w:trPr>
          <w:cantSplit/>
          <w:tblHeader w:val="false"/>
        </w:trPr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IAmbito</w:t>
            </w:r>
          </w:p>
        </w:tc>
        <w:tc>
          <w:tcPr>
            <w:tcW w:type="dxa" w:w="1466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Persistencia</w:t>
            </w:r>
          </w:p>
        </w:tc>
        <w:tc>
          <w:tcPr>
            <w:tcW w:type="dxa" w:w="223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Taquilla, Cobro, Autenticación</w:t>
            </w:r>
          </w:p>
        </w:tc>
        <w:tc>
          <w:tcPr>
            <w:tcW w:type="dxa" w:w="4472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Transacción limitada al establecimiento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/>
          <w:bCs/>
        </w:rPr>
        <w:t xml:space="preserve">Externos:</w:t>
      </w:r>
      <w:r>
        <w:t xml:space="preserve"> PostgreSQL 16 (base de datos, por SQL sobre TCP 5432), Better Auth (librería de sesiones y contraseñas) y la impresora térmica (dispositivo al que se imprime por el spooler del sistema operativo). Ningún componente accede a la base directamente: todo pasa por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IAmbito</w:t>
      </w:r>
      <w:r>
        <w:t xml:space="preserve">, que fija el establecimiento antes de cualquier consulta para que la seguridad por filas aísle los datos de cada parqueadero.</w:t>
      </w:r>
    </w:p>
    <w:p>
      <w:pPr>
        <w:sectPr>
          <w:footerReference w:type="default" r:id="rId12"/>
          <w:pgSz w:w="11906" w:h="16838" w:orient="portrait"/>
          <w:pgMar w:top="1247" w:right="1134" w:bottom="1134" w:left="1134" w:header="708" w:footer="708" w:gutter="0"/>
          <w:pgNumType/>
          <w:titlePg w:val="false"/>
          <w:docGrid w:linePitch="360"/>
        </w:sectPr>
      </w:pPr>
    </w:p>
    <w:p>
      <w:pPr>
        <w:jc w:val="center"/>
      </w:pPr>
      <w:r>
        <w:drawing>
          <wp:inline distT="0" distB="0" distL="0" distR="0">
            <wp:extent cx="67818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"/>
      </w:pPr>
      <w:r>
        <w:t xml:space="preserve">Figura 3. Diagrama de Componentes — docs/diagramas/diagrama-componentes.md</w:t>
      </w:r>
    </w:p>
    <w:p>
      <w:pPr>
        <w:sectPr>
          <w:footerReference w:type="default" r:id="rId13"/>
          <w:pgSz w:w="16838" w:h="11906" w:orient="landscape"/>
          <w:pgMar w:top="794" w:right="794" w:bottom="794" w:left="79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Diagrama de Despliegue</w:t>
      </w:r>
    </w:p>
    <w:p>
      <w:pPr>
        <w:jc w:val="both"/>
      </w:pPr>
      <w:r>
        <w:t xml:space="preserve">El sistema se despliega en cinco nodos. Los equipos del local (la PC de taquilla con su impresora térmica y la PC del administrador) usan un navegador; la aplicación corre en un servidor Node.js en una plataforma gestionada, y los datos viven en un servidor PostgreSQL.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4"/>
        <w:gridCol w:w="2317"/>
        <w:gridCol w:w="4437"/>
      </w:tblGrid>
      <w:tr>
        <w:trPr>
          <w:cantSplit/>
          <w:tblHeader/>
        </w:trPr>
        <w:tc>
          <w:tcPr>
            <w:tcW w:type="dxa" w:w="288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Nodo «device»</w:t>
            </w:r>
          </w:p>
        </w:tc>
        <w:tc>
          <w:tcPr>
            <w:tcW w:type="dxa" w:w="23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Entorno de ejecución</w:t>
            </w:r>
          </w:p>
        </w:tc>
        <w:tc>
          <w:tcPr>
            <w:tcW w:type="dxa" w:w="443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Artefactos «artifact»</w:t>
            </w:r>
          </w:p>
        </w:tc>
      </w:tr>
      <w:tr>
        <w:trPr>
          <w:cantSplit/>
          <w:tblHeader w:val="false"/>
        </w:trPr>
        <w:tc>
          <w:tcPr>
            <w:tcW w:type="dxa" w:w="288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PC de taquilla</w:t>
            </w:r>
          </w:p>
        </w:tc>
        <w:tc>
          <w:tcPr>
            <w:tcW w:type="dxa" w:w="23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Chromium en modo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--kiosk-printing</w:t>
            </w:r>
          </w:p>
        </w:tc>
        <w:tc>
          <w:tcPr>
            <w:tcW w:type="dxa" w:w="443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bundle-frontend.js</w:t>
            </w:r>
            <w:r>
              <w:rPr>
                <w:sz w:val="19"/>
                <w:szCs w:val="19"/>
              </w:rPr>
              <w:t xml:space="preserve"> (React 19 y CSS)</w:t>
            </w:r>
          </w:p>
        </w:tc>
      </w:tr>
      <w:tr>
        <w:trPr>
          <w:cantSplit/>
          <w:tblHeader w:val="false"/>
        </w:trPr>
        <w:tc>
          <w:tcPr>
            <w:tcW w:type="dxa" w:w="288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Impresora térmica 80 mm</w:t>
            </w:r>
          </w:p>
        </w:tc>
        <w:tc>
          <w:tcPr>
            <w:tcW w:type="dxa" w:w="23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43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comprobante.html</w:t>
            </w:r>
          </w:p>
        </w:tc>
      </w:tr>
      <w:tr>
        <w:trPr>
          <w:cantSplit/>
          <w:tblHeader w:val="false"/>
        </w:trPr>
        <w:tc>
          <w:tcPr>
            <w:tcW w:type="dxa" w:w="288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PC del administrador</w:t>
            </w:r>
          </w:p>
        </w:tc>
        <w:tc>
          <w:tcPr>
            <w:tcW w:type="dxa" w:w="23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Navegador web</w:t>
            </w:r>
          </w:p>
        </w:tc>
        <w:tc>
          <w:tcPr>
            <w:tcW w:type="dxa" w:w="443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bundle-frontend.js</w:t>
            </w:r>
          </w:p>
        </w:tc>
      </w:tr>
      <w:tr>
        <w:trPr>
          <w:cantSplit/>
          <w:tblHeader w:val="false"/>
        </w:trPr>
        <w:tc>
          <w:tcPr>
            <w:tcW w:type="dxa" w:w="288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Servidor de aplicación</w:t>
            </w:r>
          </w:p>
        </w:tc>
        <w:tc>
          <w:tcPr>
            <w:tcW w:type="dxa" w:w="23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Node.js ≥ 20.9</w:t>
            </w:r>
          </w:p>
        </w:tc>
        <w:tc>
          <w:tcPr>
            <w:tcW w:type="dxa" w:w="443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parquivo-next</w:t>
            </w:r>
            <w:r>
              <w:rPr>
                <w:sz w:val="19"/>
                <w:szCs w:val="19"/>
              </w:rPr>
              <w:t xml:space="preserve"> (compilación de Next.js 16),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migrar.js</w:t>
            </w:r>
          </w:p>
        </w:tc>
      </w:tr>
      <w:tr>
        <w:trPr>
          <w:cantSplit/>
          <w:tblHeader w:val="false"/>
        </w:trPr>
        <w:tc>
          <w:tcPr>
            <w:tcW w:type="dxa" w:w="2884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Servidor de base de datos</w:t>
            </w:r>
          </w:p>
        </w:tc>
        <w:tc>
          <w:tcPr>
            <w:tcW w:type="dxa" w:w="231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437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Esquema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parqueadero</w:t>
            </w:r>
            <w:r>
              <w:rPr>
                <w:sz w:val="19"/>
                <w:szCs w:val="19"/>
              </w:rPr>
              <w:t xml:space="preserve"> con RLS, </w:t>
            </w:r>
            <w:r>
              <w:rPr>
                <w:rFonts w:ascii="Consolas" w:cs="Consolas" w:eastAsia="Consolas" w:hAnsi="Consolas"/>
                <w:color w:val="0E2235"/>
                <w:sz w:val="18"/>
                <w:szCs w:val="18"/>
              </w:rPr>
              <w:t xml:space="preserve">roles.sql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9"/>
        <w:gridCol w:w="4410"/>
        <w:gridCol w:w="1569"/>
      </w:tblGrid>
      <w:tr>
        <w:trPr>
          <w:cantSplit/>
          <w:tblHeader/>
        </w:trPr>
        <w:tc>
          <w:tcPr>
            <w:tcW w:type="dxa" w:w="365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Comunicación</w:t>
            </w:r>
          </w:p>
        </w:tc>
        <w:tc>
          <w:tcPr>
            <w:tcW w:type="dxa" w:w="441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Protocolo</w:t>
            </w:r>
          </w:p>
        </w:tc>
        <w:tc>
          <w:tcPr>
            <w:tcW w:type="dxa" w:w="156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shd w:fill="7CCB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Puerto</w:t>
            </w:r>
          </w:p>
        </w:tc>
      </w:tr>
      <w:tr>
        <w:trPr>
          <w:cantSplit/>
          <w:tblHeader w:val="false"/>
        </w:trPr>
        <w:tc>
          <w:tcPr>
            <w:tcW w:type="dxa" w:w="365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Navegadores → Servidor de aplicación</w:t>
            </w:r>
          </w:p>
        </w:tc>
        <w:tc>
          <w:tcPr>
            <w:tcW w:type="dxa" w:w="441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 (Server Actions y React Server Components)</w:t>
            </w:r>
          </w:p>
        </w:tc>
        <w:tc>
          <w:tcPr>
            <w:tcW w:type="dxa" w:w="156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443</w:t>
            </w:r>
          </w:p>
        </w:tc>
      </w:tr>
      <w:tr>
        <w:trPr>
          <w:cantSplit/>
          <w:tblHeader w:val="false"/>
        </w:trPr>
        <w:tc>
          <w:tcPr>
            <w:tcW w:type="dxa" w:w="365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Servidor de aplicación → Base de datos</w:t>
            </w:r>
          </w:p>
        </w:tc>
        <w:tc>
          <w:tcPr>
            <w:tcW w:type="dxa" w:w="441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Protocolo PostgreSQL sobre TCP con TLS</w:t>
            </w:r>
          </w:p>
        </w:tc>
        <w:tc>
          <w:tcPr>
            <w:tcW w:type="dxa" w:w="156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5432</w:t>
            </w:r>
          </w:p>
        </w:tc>
      </w:tr>
      <w:tr>
        <w:trPr>
          <w:cantSplit/>
          <w:tblHeader w:val="false"/>
        </w:trPr>
        <w:tc>
          <w:tcPr>
            <w:tcW w:type="dxa" w:w="365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PC de taquilla → Impresora</w:t>
            </w:r>
          </w:p>
        </w:tc>
        <w:tc>
          <w:tcPr>
            <w:tcW w:type="dxa" w:w="4410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Spooler del SO: USB, TCP RAW o Bluetooth</w:t>
            </w:r>
          </w:p>
        </w:tc>
        <w:tc>
          <w:tcPr>
            <w:tcW w:type="dxa" w:w="1569"/>
            <w:tcBorders>
              <w:top w:val="single" w:color="9BB8CC" w:sz="4"/>
              <w:left w:val="single" w:color="9BB8CC" w:sz="4"/>
              <w:bottom w:val="single" w:color="9BB8CC" w:sz="4"/>
              <w:right w:val="single" w:color="9BB8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9100 (en red)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Infraestructura y hardware necesarios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Caseta:</w:t>
      </w:r>
      <w:r>
        <w:t xml:space="preserve"> un equipo capaz de ejecutar Chromium y una impresora térmica de 80 mm configurada como predeterminada.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Servidor de aplicación:</w:t>
      </w:r>
      <w:r>
        <w:t xml:space="preserve"> plataforma gestionada con Node.js 20.9 o superior y certificado TLS para el dominio.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Base de datos:</w:t>
      </w:r>
      <w:r>
        <w:t xml:space="preserve"> PostgreSQL 16 o superior con permiso para crear roles con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BYPASSRLS</w:t>
      </w:r>
      <w:r>
        <w:t xml:space="preserve">, porque el aislamiento usa tres roles (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app_migrator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app_platform</w:t>
      </w:r>
      <w:r>
        <w:t xml:space="preserve">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app_tenant</w:t>
      </w:r>
      <w:r>
        <w:t xml:space="preserve">). Si la plataforma usa agrupador de conexiones, debe estar en modo transacción.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Configuración:</w:t>
      </w:r>
      <w:r>
        <w:t xml:space="preserve"> cinco variables de entorno: las tres cadenas de conexión,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AUTH_SECRET</w:t>
      </w:r>
      <w:r>
        <w:t xml:space="preserve"> y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APP_URL</w:t>
      </w:r>
      <w:r>
        <w:t xml:space="preserve">.</w:t>
      </w:r>
    </w:p>
    <w:p>
      <w:pPr>
        <w:jc w:val="both"/>
      </w:pPr>
      <w:r>
        <w:t xml:space="preserve">La impresión no pasa por el servidor: una impresora del local tiene dirección privada y el servidor no la alcanza, así que el tiquete sale desde el navegador de la caseta.</w:t>
      </w:r>
    </w:p>
    <w:p>
      <w:pPr>
        <w:sectPr>
          <w:footerReference w:type="default" r:id="rId14"/>
          <w:pgSz w:w="11906" w:h="16838" w:orient="portrait"/>
          <w:pgMar w:top="1247" w:right="1134" w:bottom="1134" w:left="1134" w:header="708" w:footer="708" w:gutter="0"/>
          <w:pgNumType/>
          <w:titlePg w:val="false"/>
          <w:docGrid w:linePitch="360"/>
        </w:sectPr>
      </w:pPr>
    </w:p>
    <w:p>
      <w:pPr>
        <w:jc w:val="center"/>
      </w:pPr>
      <w:r>
        <w:drawing>
          <wp:inline distT="0" distB="0" distL="0" distR="0">
            <wp:extent cx="95250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ie"/>
      </w:pPr>
      <w:r>
        <w:t xml:space="preserve">Figura 4. Diagrama de Despliegue — docs/diagramas/diagrama-despliegue.md</w:t>
      </w:r>
    </w:p>
    <w:p>
      <w:pPr>
        <w:sectPr>
          <w:footerReference w:type="default" r:id="rId15"/>
          <w:pgSz w:w="16838" w:h="11906" w:orient="landscape"/>
          <w:pgMar w:top="794" w:right="794" w:bottom="794" w:left="79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7. Conclusiones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El modelado obligó a separar decisiones que en el código estaban juntas.</w:t>
      </w:r>
      <w:r>
        <w:t xml:space="preserve"> Al dibujar el ECB quedó claro que «decidir si es entrada o salida» y «calcular cuánto se cobra» son controles distintos; eso permite cambiar las reglas de cobro sin tocar el flujo de la taquilla.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El diagrama de clases hizo visible el requisito más delicado.</w:t>
      </w:r>
      <w:r>
        <w:t xml:space="preserve"> Modelar el cobro como una composición del movimiento expresa HU-004 sin ambigüedad: el cobro es una copia que vive con el movimiento, no una referencia a una tarifa que puede cambiar. En un sistema que maneja dinero, esa diferencia evita reportes que no cuadran.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Las interfaces explican la arquitectura mejor que la estructura de carpetas.</w:t>
      </w:r>
      <w:r>
        <w:t xml:space="preserve"> El diagrama de componentes muestra que todo acceso a datos pasa por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IAmbito</w:t>
      </w:r>
      <w:r>
        <w:t xml:space="preserve">: es el punto único donde se garantiza que un parqueadero no ve los datos de otro.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El despliegue reveló restricciones que no son de código.</w:t>
      </w:r>
      <w:r>
        <w:t xml:space="preserve"> La impresora sólo es alcanzable desde la caseta y la base necesita permisos para crear roles; ambas condiciones limitan qué proveedores sirven y deben verificarse antes de elegir uno.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Los principios SOLID dejaron de ser teoría.</w:t>
      </w:r>
      <w:r>
        <w:t xml:space="preserve"> La jerarquía de tarifas (abierto/cerrado y Liskov) y la dependencia de la taquilla en </w:t>
      </w:r>
      <w:r>
        <w:rPr>
          <w:rFonts w:ascii="Consolas" w:cs="Consolas" w:eastAsia="Consolas" w:hAnsi="Consolas"/>
          <w:color w:val="0E2235"/>
          <w:sz w:val="18"/>
          <w:szCs w:val="18"/>
        </w:rPr>
        <w:t xml:space="preserve">ICalculadoraCobro</w:t>
      </w:r>
      <w:r>
        <w:t xml:space="preserve"> (inversión de dependencias) son las piezas que permiten agregar un modelo de cobro nuevo sin reescribir lo que ya funciona.</w:t>
      </w:r>
    </w:p>
    <w:p>
      <w:pPr>
        <w:jc w:val="both"/>
      </w:pPr>
      <w:r>
        <w:t xml:space="preserve">En conjunto, los cuatro diagramas dan una vista del sistema que un integrante nuevo puede recorrer sin leer el código: qué hace cada historia (ECB), cómo se estructura el dominio (clases), cómo se dividen las responsabilidades (componentes) y dónde corre cada pieza (despliegue).</w:t>
      </w:r>
    </w:p>
    <w:sectPr>
      <w:footerReference w:type="default" r:id="rId16"/>
      <w:pgSz w:w="11906" w:h="16838" w:orient="portrait"/>
      <w:pgMar w:top="1247" w:right="1134" w:bottom="1134" w:left="1134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CBF2" w:sz="12" w:space="4"/>
      </w:pBdr>
      <w:spacing w:before="240" w:after="160"/>
      <w:outlineLvl w:val="0"/>
    </w:pPr>
    <w:rPr>
      <w:b/>
      <w:bCs/>
      <w:color w:val="0F6FA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0F6F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Pie">
    <w:name w:val="Pie de figura"/>
    <w:basedOn w:val="Normal"/>
    <w:pPr>
      <w:jc w:val="center"/>
    </w:pPr>
    <w:rPr>
      <w:i/>
      <w:iCs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image" Target="media/9b199e0b8345f35d8687b3b2a6301f4eddcb44ee.png"/><Relationship Id="rId18" Type="http://schemas.openxmlformats.org/officeDocument/2006/relationships/image" Target="media/a09118bd4c021703c74d366b4a7ded363d9da6da.png"/><Relationship Id="rId19" Type="http://schemas.openxmlformats.org/officeDocument/2006/relationships/image" Target="media/d8f668be13a939c6e442e0e1c97cc579e95870d3.png"/><Relationship Id="rId20" Type="http://schemas.openxmlformats.org/officeDocument/2006/relationships/image" Target="media/8585ea5f1819f33b30313a98de521b7195d16d88.png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Diseño en Software — Parquivo</dc:title>
  <dc:creator>Equipo Parquivo</dc:creator>
  <cp:lastModifiedBy>Un-named</cp:lastModifiedBy>
  <cp:revision>1</cp:revision>
  <dcterms:created xsi:type="dcterms:W3CDTF">2026-10-21T00:35:54.411Z</dcterms:created>
  <dcterms:modified xsi:type="dcterms:W3CDTF">2026-10-21T00:35:54.412Z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