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9B5E8"/>
          <w:sz w:val="22"/>
        </w:rPr>
        <w:t>SNOWFLAKE</w:t>
      </w:r>
    </w:p>
    <w:p>
      <w:pPr>
        <w:spacing w:before="480"/>
        <w:jc w:val="center"/>
      </w:pPr>
      <w:r>
        <w:rPr>
          <w:b/>
          <w:color w:val="11567F"/>
          <w:sz w:val="60"/>
        </w:rPr>
        <w:t>Site Feasibility, End to End</w:t>
      </w:r>
    </w:p>
    <w:p>
      <w:pPr>
        <w:jc w:val="center"/>
      </w:pPr>
      <w:r>
        <w:rPr>
          <w:color w:val="5A6B7C"/>
          <w:sz w:val="28"/>
        </w:rPr>
        <w:t>AstraZeneca hands-on lab</w:t>
      </w:r>
    </w:p>
    <w:p>
      <w:pPr>
        <w:spacing w:before="600"/>
        <w:jc w:val="center"/>
      </w:pPr>
      <w:r>
        <w:rPr>
          <w:i/>
          <w:color w:val="5A6B7C"/>
          <w:sz w:val="22"/>
        </w:rPr>
        <w:t>From 10 survey PDFs to a working application, in one hour</w:t>
      </w:r>
    </w:p>
    <w:p>
      <w:r>
        <w:br w:type="page"/>
      </w:r>
    </w:p>
    <w:p>
      <w:pPr>
        <w:spacing w:before="400" w:after="160"/>
      </w:pPr>
      <w:r>
        <w:rPr>
          <w:b/>
          <w:color w:val="11567F"/>
          <w:sz w:val="38"/>
        </w:rPr>
        <w:t>Before you start</w:t>
      </w:r>
    </w:p>
    <w:p>
      <w:r>
        <w:rPr>
          <w:b w:val="0"/>
          <w:i w:val="0"/>
        </w:rPr>
        <w:t>You should have received a Snowflake account URL, a username and a password. Sign in and leave the browser tab open. Everything in this lab happens in that one tab. There is nothing to install.</w:t>
      </w:r>
    </w:p>
    <w:p>
      <w:r>
        <w:rPr>
          <w:b w:val="0"/>
          <w:i w:val="0"/>
        </w:rPr>
        <w:t xml:space="preserve">All data in this lab is </w:t>
      </w:r>
      <w:r>
        <w:rPr>
          <w:b/>
          <w:i w:val="0"/>
        </w:rPr>
        <w:t>synthetic</w:t>
      </w:r>
      <w:r>
        <w:rPr>
          <w:b w:val="0"/>
          <w:i w:val="0"/>
        </w:rPr>
        <w:t>. Every site, investigator, institution and study code is fictional. No AstraZeneca data of any kind is present in these accounts.</w:t>
      </w:r>
    </w:p>
    <w:p>
      <w:pPr>
        <w:spacing w:before="280" w:after="100"/>
      </w:pPr>
      <w:r>
        <w:rPr>
          <w:b/>
          <w:color w:val="11567F"/>
          <w:sz w:val="26"/>
        </w:rPr>
        <w:t>The problem we are solving</w:t>
      </w:r>
    </w:p>
    <w:p>
      <w:r>
        <w:rPr>
          <w:b w:val="0"/>
          <w:i w:val="0"/>
        </w:rPr>
        <w:t>Before a study can open at an investigator site, somebody has to read that site's feasibility survey and decide whether the site can actually run the protocol. Can they perform a cardiac MRI on site? Do they have a minus 70 freezer? Is there an on-site pharmacy?</w:t>
      </w:r>
    </w:p>
    <w:p>
      <w:r>
        <w:rPr>
          <w:b w:val="0"/>
          <w:i w:val="0"/>
        </w:rPr>
        <w:t>Those surveys arrive as PDFs. Today a person reads each one, cross-references the protocol requirements and types the answers into a spreadsheet. For a study with a few hundred candidate sites that is weeks of work, the result has no audit trail back to the source page, and the spreadsheet is out of date the moment a new survey arrives.</w:t>
      </w:r>
    </w:p>
    <w:p>
      <w:r>
        <w:rPr>
          <w:b w:val="0"/>
          <w:i w:val="0"/>
        </w:rPr>
        <w:t>In the next hour you will replace that with a pipeline that runs in seconds and keeps the evidence attached to every number.</w:t>
      </w:r>
    </w:p>
    <w:p>
      <w:pPr>
        <w:spacing w:before="280" w:after="100"/>
      </w:pPr>
      <w:r>
        <w:rPr>
          <w:b/>
          <w:color w:val="11567F"/>
          <w:sz w:val="26"/>
        </w:rPr>
        <w:t>How this session works</w:t>
      </w:r>
    </w:p>
    <w:p>
      <w:r>
        <w:rPr>
          <w:b w:val="0"/>
          <w:i w:val="0"/>
        </w:rPr>
        <w:t>This is a walkthrough, not a self-directed lab. Every cell is pre-written: you click the play button, read the result, and listen to the explanation. There is nothing to edit and nothing you can break.</w:t>
      </w:r>
    </w:p>
    <w:p>
      <w:r>
        <w:rPr>
          <w:b w:val="0"/>
          <w:i w:val="0"/>
        </w:rPr>
        <w:t>Each step has short explainer sections before the cell that demonstrates the idea, so you can re-read them afterwards without needing the commentary.</w:t>
      </w:r>
    </w:p>
    <w:p>
      <w:r>
        <w:rPr>
          <w:b w:val="0"/>
          <w:i w:val="0"/>
        </w:rPr>
        <w:t xml:space="preserve">Each step ends with a </w:t>
      </w:r>
      <w:r>
        <w:rPr>
          <w:b/>
          <w:i w:val="0"/>
        </w:rPr>
        <w:t>checkpoint</w:t>
      </w:r>
      <w:r>
        <w:rPr>
          <w:b w:val="0"/>
          <w:i w:val="0"/>
        </w:rPr>
        <w:t xml:space="preserve"> cell that prints PASS. If a checkpoint does not pass, raise a hand - do not spend time debugging. Every step reads from a prepared fallback table, so a problem in one step will not stop you completing the next.</w:t>
      </w:r>
    </w:p>
    <w:p>
      <w:pPr>
        <w:spacing w:before="280" w:after="100"/>
      </w:pPr>
      <w:r>
        <w:rPr>
          <w:b/>
          <w:color w:val="11567F"/>
          <w:sz w:val="26"/>
        </w:rPr>
        <w:t>What you will have built by the end</w:t>
      </w:r>
    </w:p>
    <w:p>
      <w:pPr>
        <w:pStyle w:val="ListBullet"/>
        <w:spacing w:after="60"/>
        <w:ind w:left="403"/>
      </w:pPr>
      <w:r>
        <w:rPr>
          <w:b w:val="0"/>
        </w:rPr>
        <w:t>A pipeline that extracts structured capability data directly from survey PDFs</w:t>
      </w:r>
    </w:p>
    <w:p>
      <w:pPr>
        <w:pStyle w:val="ListBullet"/>
        <w:spacing w:after="60"/>
        <w:ind w:left="403"/>
      </w:pPr>
      <w:r>
        <w:rPr>
          <w:b w:val="0"/>
        </w:rPr>
        <w:t>A scored accuracy measurement against ground truth, not a guess</w:t>
      </w:r>
    </w:p>
    <w:p>
      <w:pPr>
        <w:pStyle w:val="ListBullet"/>
        <w:spacing w:after="60"/>
        <w:ind w:left="403"/>
      </w:pPr>
      <w:r>
        <w:rPr>
          <w:b w:val="0"/>
        </w:rPr>
        <w:t>A semantic view that answers questions asked in English</w:t>
      </w:r>
    </w:p>
    <w:p>
      <w:pPr>
        <w:pStyle w:val="ListBullet"/>
        <w:spacing w:after="60"/>
        <w:ind w:left="403"/>
      </w:pPr>
      <w:r>
        <w:rPr>
          <w:b w:val="0"/>
        </w:rPr>
        <w:t>An agent that chooses between structured query, document search and writing its own Python</w:t>
      </w:r>
    </w:p>
    <w:p>
      <w:pPr>
        <w:pStyle w:val="ListBullet"/>
        <w:spacing w:after="60"/>
        <w:ind w:left="403"/>
      </w:pPr>
      <w:r>
        <w:rPr>
          <w:b w:val="0"/>
        </w:rPr>
        <w:t>An application running on Snowpark Container Services that you have modified</w:t>
      </w:r>
    </w:p>
    <w:p>
      <w:r>
        <w:br w:type="page"/>
      </w:r>
    </w:p>
    <w:p>
      <w:pPr>
        <w:spacing w:before="400" w:after="160"/>
      </w:pPr>
      <w:r>
        <w:rPr>
          <w:b/>
          <w:color w:val="11567F"/>
          <w:sz w:val="38"/>
        </w:rPr>
        <w:t>Step 0: Orientation</w:t>
      </w:r>
    </w:p>
    <w:p>
      <w:r>
        <w:rPr>
          <w:b/>
          <w:i w:val="0"/>
        </w:rPr>
        <w:t>About 3 minutes.</w:t>
      </w:r>
    </w:p>
    <w:p>
      <w:pPr>
        <w:pStyle w:val="ListNumber"/>
        <w:spacing w:after="60"/>
        <w:ind w:left="403"/>
      </w:pPr>
      <w:r>
        <w:rPr>
          <w:b w:val="0"/>
        </w:rPr>
        <w:t xml:space="preserve">In the left-hand navigation open </w:t>
      </w:r>
      <w:r>
        <w:rPr>
          <w:b/>
        </w:rPr>
        <w:t>Projects</w:t>
      </w:r>
      <w:r>
        <w:rPr>
          <w:b w:val="0"/>
        </w:rPr>
        <w:t xml:space="preserve">, then </w:t>
      </w:r>
      <w:r>
        <w:rPr>
          <w:b/>
        </w:rPr>
        <w:t>Workspaces</w:t>
      </w:r>
      <w:r>
        <w:rPr>
          <w:b w:val="0"/>
        </w:rPr>
        <w:t>.</w:t>
      </w:r>
    </w:p>
    <w:p>
      <w:pPr>
        <w:pStyle w:val="ListNumber"/>
        <w:spacing w:after="60"/>
        <w:ind w:left="403"/>
      </w:pPr>
      <w:r>
        <w:rPr>
          <w:b w:val="0"/>
        </w:rPr>
        <w:t xml:space="preserve">Open the </w:t>
      </w:r>
      <w:r>
        <w:rPr>
          <w:b/>
        </w:rPr>
        <w:t>AZ_FEASIBILITY_LAB</w:t>
      </w:r>
      <w:r>
        <w:rPr>
          <w:b w:val="0"/>
        </w:rPr>
        <w:t xml:space="preserve"> workspace, then open </w:t>
      </w:r>
      <w:r>
        <w:rPr>
          <w:b/>
        </w:rPr>
        <w:t>az_feasibility_lab.ipynb</w:t>
      </w:r>
      <w:r>
        <w:rPr>
          <w:b w:val="0"/>
        </w:rPr>
        <w:t>.</w:t>
      </w:r>
    </w:p>
    <w:p>
      <w:pPr>
        <w:pStyle w:val="ListNumber"/>
        <w:spacing w:after="60"/>
        <w:ind w:left="403"/>
      </w:pPr>
      <w:r>
        <w:rPr>
          <w:b w:val="0"/>
        </w:rPr>
        <w:t>Run the first cell. It sets your role, warehouse and database, and turns off result caching so every query below does genuine work rather than replaying a cached answer.</w:t>
      </w:r>
    </w:p>
    <w:p>
      <w:pPr>
        <w:pStyle w:val="ListNumber"/>
        <w:spacing w:after="60"/>
        <w:ind w:left="403"/>
      </w:pPr>
      <w:r>
        <w:rPr>
          <w:b w:val="0"/>
        </w:rPr>
        <w:t>Run the next cell to list the survey PDFs already on your stage.</w:t>
      </w:r>
    </w:p>
    <w:p>
      <w:r>
        <w:rPr>
          <w:b w:val="0"/>
          <w:i w:val="0"/>
        </w:rPr>
        <w:t>Nobody has to upload anything. The 10 surveys were placed on a stage in your account when it was provisioned.</w:t>
      </w:r>
    </w:p>
    <w:p>
      <w:pPr>
        <w:spacing w:before="220" w:after="60"/>
      </w:pPr>
      <w:r>
        <w:rPr>
          <w:b/>
          <w:color w:val="1A2430"/>
          <w:sz w:val="22"/>
        </w:rPr>
        <w:t>Open a document and look at it</w:t>
      </w:r>
    </w:p>
    <w:p>
      <w:r>
        <w:rPr>
          <w:b w:val="0"/>
          <w:i w:val="0"/>
        </w:rPr>
        <w:t xml:space="preserve">In the left navigation go to </w:t>
      </w:r>
      <w:r>
        <w:rPr>
          <w:b/>
          <w:i w:val="0"/>
        </w:rPr>
        <w:t>Data</w:t>
      </w:r>
      <w:r>
        <w:rPr>
          <w:b w:val="0"/>
          <w:i w:val="0"/>
        </w:rPr>
        <w:t xml:space="preserve">, then </w:t>
      </w:r>
      <w:r>
        <w:rPr>
          <w:b/>
          <w:i w:val="0"/>
        </w:rPr>
        <w:t>Databases</w:t>
      </w:r>
      <w:r>
        <w:rPr>
          <w:b w:val="0"/>
          <w:i w:val="0"/>
        </w:rPr>
        <w:t xml:space="preserve">, then AZ_FEASIBILITY_DEMO, then RAW, then </w:t>
      </w:r>
      <w:r>
        <w:rPr>
          <w:b/>
          <w:i w:val="0"/>
        </w:rPr>
        <w:t>Stages</w:t>
      </w:r>
      <w:r>
        <w:rPr>
          <w:b w:val="0"/>
          <w:i w:val="0"/>
        </w:rPr>
        <w:t>, then SURVEYS. Click any PDF.</w:t>
      </w:r>
    </w:p>
    <w:p>
      <w:r>
        <w:rPr>
          <w:b w:val="0"/>
          <w:i w:val="0"/>
        </w:rPr>
        <w:t>Find the site capabilities question. Notice that in some documents each item has a checkbox that is either ticked or empty, and in others the survey simply lists the items the site has, with no boxes at all. Both are real formats and the pipeline has to handle both. That difference matters in step 2.</w:t>
      </w:r>
    </w:p>
    <w:tbl>
      <w:tblPr>
        <w:tblW w:type="auto" w:w="0"/>
        <w:tblLook w:firstColumn="1" w:firstRow="1" w:lastColumn="0" w:lastRow="0" w:noHBand="0" w:noVBand="1" w:val="04A0"/>
      </w:tblPr>
      <w:tblGrid>
        <w:gridCol w:w="9360"/>
      </w:tblGrid>
      <w:tr>
        <w:tc>
          <w:tcPr>
            <w:tcW w:type="dxa" w:w="9360"/>
            <w:shd w:fill="FFF4E5"/>
          </w:tcPr>
          <w:p>
            <w:pPr>
              <w:spacing w:after="0"/>
            </w:pPr>
            <w:r/>
            <w:r>
              <w:rPr>
                <w:b/>
                <w:sz w:val="20"/>
              </w:rPr>
              <w:t xml:space="preserve">Worth knowing  </w:t>
            </w:r>
            <w:r>
              <w:rPr>
                <w:b w:val="0"/>
                <w:sz w:val="20"/>
              </w:rPr>
              <w:t xml:space="preserve">The stage holding these PDFs was created with </w:t>
            </w:r>
            <w:r>
              <w:rPr>
                <w:b/>
                <w:sz w:val="20"/>
              </w:rPr>
              <w:t>ENCRYPTION = (TYPE = 'SNOWFLAKE_SSE')</w:t>
            </w:r>
            <w:r>
              <w:rPr>
                <w:b w:val="0"/>
                <w:sz w:val="20"/>
              </w:rPr>
              <w:t>. Internal stages default to client-side encryption, and a client-side encrypted PDF cannot be read by AI_EXTRACT. The upload succeeds, the file lists normally, and extraction silently returns nothing. The encryption type cannot be changed after the stage is created.</w:t>
            </w:r>
          </w:p>
        </w:tc>
      </w:tr>
    </w:tbl>
    <w:p>
      <w:pPr>
        <w:spacing w:after="40"/>
      </w:pPr>
    </w:p>
    <w:p>
      <w:r>
        <w:br w:type="page"/>
      </w:r>
    </w:p>
    <w:p>
      <w:pPr>
        <w:spacing w:before="400" w:after="160"/>
      </w:pPr>
      <w:r>
        <w:rPr>
          <w:b/>
          <w:color w:val="11567F"/>
          <w:sz w:val="38"/>
        </w:rPr>
        <w:t>Step 1: Extract</w:t>
      </w:r>
    </w:p>
    <w:p>
      <w:r>
        <w:rPr>
          <w:b/>
          <w:i w:val="0"/>
        </w:rPr>
        <w:t>About 9 minutes.</w:t>
      </w:r>
    </w:p>
    <w:p>
      <w:pPr>
        <w:spacing w:before="280" w:after="100"/>
      </w:pPr>
      <w:r>
        <w:rPr>
          <w:b/>
          <w:color w:val="11567F"/>
          <w:sz w:val="26"/>
        </w:rPr>
        <w:t>AI_EXTRACT reads the PDF directly</w:t>
      </w:r>
    </w:p>
    <w:p>
      <w:r>
        <w:rPr>
          <w:b w:val="0"/>
          <w:i w:val="0"/>
        </w:rPr>
        <w:t>There is no parsing step. AI_EXTRACT takes a file and returns structured JSON:</w:t>
      </w:r>
    </w:p>
    <w:tbl>
      <w:tblPr>
        <w:tblW w:type="auto" w:w="0"/>
        <w:jc w:val="center"/>
        <w:tblLook w:firstColumn="1" w:firstRow="1" w:lastColumn="0" w:lastRow="0" w:noHBand="0" w:noVBand="1" w:val="04A0"/>
      </w:tblPr>
      <w:tblGrid>
        <w:gridCol w:w="9360"/>
      </w:tblGrid>
      <w:tr>
        <w:tc>
          <w:tcPr>
            <w:tcW w:type="dxa" w:w="9360"/>
            <w:shd w:fill="F4F6F8"/>
          </w:tcPr>
          <w:p>
            <w:pPr>
              <w:spacing w:after="0" w:line="240" w:lineRule="auto"/>
            </w:pPr>
            <w:r/>
            <w:r>
              <w:rPr>
                <w:rFonts w:ascii="Consolas" w:hAnsi="Consolas"/>
                <w:sz w:val="17"/>
              </w:rPr>
              <w:t>AI_EXTRACT(file =&gt; TO_FILE('@stage', relative_path), responseFormat =&gt; {...})</w:t>
            </w:r>
          </w:p>
        </w:tc>
      </w:tr>
    </w:tbl>
    <w:p>
      <w:pPr>
        <w:spacing w:after="40"/>
      </w:pPr>
    </w:p>
    <w:p>
      <w:r>
        <w:rPr>
          <w:b w:val="0"/>
          <w:i w:val="0"/>
        </w:rPr>
        <w:t xml:space="preserve">That matters more than it looks. AI_EXTRACT runs on </w:t>
      </w:r>
      <w:r>
        <w:rPr>
          <w:b/>
          <w:i w:val="0"/>
        </w:rPr>
        <w:t>arctic-extract</w:t>
      </w:r>
      <w:r>
        <w:rPr>
          <w:b w:val="0"/>
          <w:i w:val="0"/>
        </w:rPr>
        <w:t>, a vision model that reads the page image, so it can see a tick inside a checkbox. If you flattened the document to text first, the tick would become nothing at all - exactly the signal you need, gone.</w:t>
      </w:r>
    </w:p>
    <w:p>
      <w:pPr>
        <w:spacing w:before="220" w:after="60"/>
      </w:pPr>
      <w:r>
        <w:rPr>
          <w:b/>
          <w:color w:val="1A2430"/>
          <w:sz w:val="22"/>
        </w:rPr>
        <w:t>RUN the extraction cell</w:t>
      </w:r>
    </w:p>
    <w:p>
      <w:r>
        <w:rPr>
          <w:b w:val="0"/>
          <w:i w:val="0"/>
        </w:rPr>
        <w:t>It processes all 10 PDFs and takes roughly 15 to 20 seconds. Two things about the schema in that cell are worth pausing on.</w:t>
      </w:r>
    </w:p>
    <w:p>
      <w:pPr>
        <w:spacing w:before="220" w:after="60"/>
      </w:pPr>
      <w:r>
        <w:rPr>
          <w:b/>
          <w:color w:val="1A2430"/>
          <w:sz w:val="22"/>
        </w:rPr>
        <w:t>It asks for a table, not two lists</w:t>
      </w:r>
    </w:p>
    <w:p>
      <w:r>
        <w:rPr>
          <w:b w:val="0"/>
          <w:i w:val="0"/>
        </w:rPr>
        <w:t xml:space="preserve">The first version of this lab asked for ticked_items and unticked_items as two separate arrays. The ticked list was perfect. The unticked list pulled in options from a completely different question. Asking instead for one row per item with a yes/no flag scored </w:t>
      </w:r>
      <w:r>
        <w:rPr>
          <w:b/>
          <w:i w:val="0"/>
        </w:rPr>
        <w:t>8 of 8</w:t>
      </w:r>
      <w:r>
        <w:rPr>
          <w:b w:val="0"/>
          <w:i w:val="0"/>
        </w:rPr>
        <w:t xml:space="preserve"> where the two-list version scored partially, and confidence rose from 0.76 to </w:t>
      </w:r>
      <w:r>
        <w:rPr>
          <w:b/>
          <w:i w:val="0"/>
        </w:rPr>
        <w:t>0.96</w:t>
      </w:r>
      <w:r>
        <w:rPr>
          <w:b w:val="0"/>
          <w:i w:val="0"/>
        </w:rPr>
        <w:t>.</w:t>
      </w:r>
    </w:p>
    <w:tbl>
      <w:tblPr>
        <w:tblW w:type="auto" w:w="0"/>
        <w:tblLook w:firstColumn="1" w:firstRow="1" w:lastColumn="0" w:lastRow="0" w:noHBand="0" w:noVBand="1" w:val="04A0"/>
      </w:tblPr>
      <w:tblGrid>
        <w:gridCol w:w="9360"/>
      </w:tblGrid>
      <w:tr>
        <w:tc>
          <w:tcPr>
            <w:tcW w:type="dxa" w:w="9360"/>
            <w:shd w:fill="E8F5EC"/>
          </w:tcPr>
          <w:p>
            <w:pPr>
              <w:spacing w:after="0"/>
            </w:pPr>
            <w:r/>
            <w:r>
              <w:rPr>
                <w:b/>
                <w:sz w:val="20"/>
              </w:rPr>
              <w:t xml:space="preserve">Rule of thumb  </w:t>
            </w:r>
            <w:r>
              <w:rPr>
                <w:b w:val="0"/>
                <w:sz w:val="20"/>
              </w:rPr>
              <w:t xml:space="preserve">Never ask a model for the set of things that were </w:t>
            </w:r>
            <w:r>
              <w:rPr>
                <w:b/>
                <w:sz w:val="20"/>
              </w:rPr>
              <w:t>not</w:t>
            </w:r>
            <w:r>
              <w:rPr>
                <w:b w:val="0"/>
                <w:sz w:val="20"/>
              </w:rPr>
              <w:t xml:space="preserve"> chosen. Ask for every option and a flag on each one.</w:t>
            </w:r>
          </w:p>
        </w:tc>
      </w:tr>
    </w:tbl>
    <w:p>
      <w:pPr>
        <w:spacing w:after="40"/>
      </w:pPr>
    </w:p>
    <w:p>
      <w:pPr>
        <w:spacing w:before="220" w:after="60"/>
      </w:pPr>
      <w:r>
        <w:rPr>
          <w:b/>
          <w:color w:val="1A2430"/>
          <w:sz w:val="22"/>
        </w:rPr>
        <w:t>scores =&gt; TRUE returns a confidence per field</w:t>
      </w:r>
    </w:p>
    <w:p>
      <w:r>
        <w:rPr>
          <w:b w:val="0"/>
          <w:i w:val="0"/>
        </w:rPr>
        <w:t>It costs nothing extra and you will use it in step 2.</w:t>
      </w:r>
    </w:p>
    <w:p>
      <w:r>
        <w:rPr>
          <w:b w:val="0"/>
          <w:i w:val="0"/>
        </w:rPr>
        <w:t xml:space="preserve">A facilitator note on the score, because this is the question that always comes up. </w:t>
      </w:r>
      <w:r>
        <w:rPr>
          <w:b/>
          <w:i w:val="0"/>
        </w:rPr>
        <w:t>How it is produced:</w:t>
      </w:r>
      <w:r>
        <w:rPr>
          <w:b w:val="0"/>
          <w:i w:val="0"/>
        </w:rPr>
        <w:t xml:space="preserve"> the lab runs the GA behaviour - the model returns the number in the same pass as the answer, with no second call, calibrated against measured accuracy first because models tend to be overconfident. A different method is coming in private preview, so if an attendee has read about a second scoring call, that is the newer approach and not what is running here. That is all the lab says about it, deliberately - the score is a tool here, not a topic.</w:t>
      </w:r>
    </w:p>
    <w:tbl>
      <w:tblPr>
        <w:tblW w:type="auto" w:w="0"/>
        <w:tblLook w:firstColumn="1" w:firstRow="1" w:lastColumn="0" w:lastRow="0" w:noHBand="0" w:noVBand="1" w:val="04A0"/>
      </w:tblPr>
      <w:tblGrid>
        <w:gridCol w:w="9360"/>
      </w:tblGrid>
      <w:tr>
        <w:tc>
          <w:tcPr>
            <w:tcW w:type="dxa" w:w="9360"/>
            <w:shd w:fill="FFF4E5"/>
          </w:tcPr>
          <w:p>
            <w:pPr>
              <w:spacing w:after="0"/>
            </w:pPr>
            <w:r/>
            <w:r>
              <w:rPr>
                <w:b/>
                <w:sz w:val="20"/>
              </w:rPr>
              <w:t xml:space="preserve">If someone asks about scoring lists  </w:t>
            </w:r>
            <w:r>
              <w:rPr>
                <w:b w:val="0"/>
                <w:sz w:val="20"/>
              </w:rPr>
              <w:t>Every individual field carries its own score, but a list or a table gets one score for the whole structure - in this survey all the capability rows share a single capabilities score. Per-element scoring is a known gap on the roadmap. The workaround is AI_COMPLETE as an LLM judge, scoring each row independently, which also gives a check that is separate from the extraction rather than one model marking its own homework. This is cut from the notebook on purpose - answer it if asked, do not volunteer it.</w:t>
            </w:r>
          </w:p>
        </w:tc>
      </w:tr>
    </w:tbl>
    <w:p>
      <w:pPr>
        <w:spacing w:after="40"/>
      </w:pPr>
    </w:p>
    <w:p>
      <w:pPr>
        <w:spacing w:before="220" w:after="60"/>
      </w:pPr>
      <w:r>
        <w:rPr>
          <w:b/>
          <w:color w:val="1A2430"/>
          <w:sz w:val="22"/>
        </w:rPr>
        <w:t>RUN the inspection cell</w:t>
      </w:r>
    </w:p>
    <w:p>
      <w:r>
        <w:rPr>
          <w:b w:val="0"/>
          <w:i w:val="0"/>
        </w:rPr>
        <w:t>Compare the output against the PDF you opened in step 0. Look at the confidence score on each field.</w:t>
      </w:r>
    </w:p>
    <w:p>
      <w:pPr>
        <w:spacing w:before="280" w:after="100"/>
      </w:pPr>
      <w:r>
        <w:rPr>
          <w:b/>
          <w:color w:val="11567F"/>
          <w:sz w:val="26"/>
        </w:rPr>
        <w:t>Confidence scores are honest</w:t>
      </w:r>
    </w:p>
    <w:p>
      <w:r>
        <w:rPr>
          <w:b w:val="0"/>
          <w:i w:val="0"/>
        </w:rPr>
        <w:t>While this lab was being built, AI_EXTRACT was asked for a study code on a survey and returned D576AC00003. The correct answer was D516AC00003 - it misread a 1 as a 7.</w:t>
      </w:r>
    </w:p>
    <w:p>
      <w:r>
        <w:rPr>
          <w:b w:val="0"/>
          <w:i w:val="0"/>
        </w:rPr>
        <w:t xml:space="preserve">It scored that field </w:t>
      </w:r>
      <w:r>
        <w:rPr>
          <w:b/>
          <w:i w:val="0"/>
        </w:rPr>
        <w:t>0.32</w:t>
      </w:r>
      <w:r>
        <w:rPr>
          <w:b w:val="0"/>
          <w:i w:val="0"/>
        </w:rPr>
        <w:t>. Every field it got right scored 0.65 or higher.</w:t>
      </w:r>
    </w:p>
    <w:p>
      <w:r>
        <w:rPr>
          <w:b w:val="0"/>
          <w:i w:val="0"/>
        </w:rPr>
        <w:t xml:space="preserve">The model was accurate about its own uncertainty on the single field it got wrong. That is why the review threshold later in this lab is 0.70 rather than a number somebody chose. It is also why the study code in this pipeline comes from the </w:t>
      </w:r>
      <w:r>
        <w:rPr>
          <w:b/>
          <w:i w:val="0"/>
        </w:rPr>
        <w:t>filename</w:t>
      </w:r>
      <w:r>
        <w:rPr>
          <w:b w:val="0"/>
          <w:i w:val="0"/>
        </w:rPr>
        <w:t xml:space="preserve"> rather than from extraction: it is a join key, and a silently misread join key corrupts everything downstream.</w:t>
      </w:r>
    </w:p>
    <w:p>
      <w:pPr>
        <w:spacing w:before="220" w:after="60"/>
      </w:pPr>
      <w:r>
        <w:rPr>
          <w:b/>
          <w:color w:val="1A2430"/>
          <w:sz w:val="22"/>
        </w:rPr>
        <w:t>The schema is the contract</w:t>
      </w:r>
    </w:p>
    <w:p>
      <w:r>
        <w:rPr>
          <w:b w:val="0"/>
          <w:i w:val="0"/>
        </w:rPr>
        <w:t>The responseFormat argument is a JSON schema listing the fields you want, and those are the fields you get back. Nothing is inferred about what you might have wanted. Adding a line for pi_last_name would return that too - you are not limited to what somebody else thought to ask for.</w:t>
      </w:r>
    </w:p>
    <w:p>
      <w:r>
        <w:rPr>
          <w:b w:val="0"/>
          <w:i w:val="0"/>
        </w:rPr>
        <w:t>Two details worth pointing out in the output. scores =&gt; TRUE returns a calibrated confidence per field, at no extra cost. And every value comes back as a string, even the numbers - deliberately, so a messy answer like “about 20” is preserved rather than silently coerced into something wrong.</w:t>
      </w:r>
    </w:p>
    <w:p>
      <w:pPr>
        <w:spacing w:before="220" w:after="60"/>
      </w:pPr>
      <w:r>
        <w:rPr>
          <w:b/>
          <w:color w:val="1A2430"/>
          <w:sz w:val="22"/>
        </w:rPr>
        <w:t>RUN the flatten cell</w:t>
      </w:r>
    </w:p>
    <w:p>
      <w:r>
        <w:rPr>
          <w:b w:val="0"/>
          <w:i w:val="0"/>
        </w:rPr>
        <w:t>This gives one row per capability item. Look at the not_available column: seven documents show zero and three show one or two.</w:t>
      </w:r>
    </w:p>
    <w:p>
      <w:r>
        <w:rPr>
          <w:b w:val="0"/>
          <w:i w:val="0"/>
        </w:rPr>
        <w:t xml:space="preserve">That is not a bug. The three with explicit noes are the checkbox surveys, where an empty box is a visible answer. The other seven simply </w:t>
      </w:r>
      <w:r>
        <w:rPr>
          <w:b/>
          <w:i w:val="0"/>
        </w:rPr>
        <w:t>list what the site has</w:t>
      </w:r>
      <w:r>
        <w:rPr>
          <w:b w:val="0"/>
          <w:i w:val="0"/>
        </w:rPr>
        <w:t>, so an item the site lacks is absent from the page entirely. Absence is the answer in those documents. Step 2 deals with it.</w:t>
      </w:r>
    </w:p>
    <w:tbl>
      <w:tblPr>
        <w:tblW w:type="auto" w:w="0"/>
        <w:tblLook w:firstColumn="1" w:firstRow="1" w:lastColumn="0" w:lastRow="0" w:noHBand="0" w:noVBand="1" w:val="04A0"/>
      </w:tblPr>
      <w:tblGrid>
        <w:gridCol w:w="9360"/>
      </w:tblGrid>
      <w:tr>
        <w:tc>
          <w:tcPr>
            <w:tcW w:type="dxa" w:w="9360"/>
            <w:shd w:fill="E8F5EC"/>
          </w:tcPr>
          <w:p>
            <w:pPr>
              <w:spacing w:after="0"/>
            </w:pPr>
            <w:r/>
            <w:r>
              <w:rPr>
                <w:b/>
                <w:sz w:val="20"/>
              </w:rPr>
              <w:t xml:space="preserve">Checkpoint 1  </w:t>
            </w:r>
            <w:r>
              <w:rPr>
                <w:b w:val="0"/>
                <w:sz w:val="20"/>
              </w:rPr>
              <w:t>Run the checkpoint cell. It should print PASS with 10 documents.</w:t>
            </w:r>
          </w:p>
        </w:tc>
      </w:tr>
    </w:tbl>
    <w:p>
      <w:pPr>
        <w:spacing w:after="40"/>
      </w:pPr>
    </w:p>
    <w:p>
      <w:r>
        <w:br w:type="page"/>
      </w:r>
    </w:p>
    <w:p>
      <w:pPr>
        <w:spacing w:before="400" w:after="160"/>
      </w:pPr>
      <w:r>
        <w:rPr>
          <w:b/>
          <w:color w:val="11567F"/>
          <w:sz w:val="38"/>
        </w:rPr>
        <w:t>Step 2: Normalise and score</w:t>
      </w:r>
    </w:p>
    <w:p>
      <w:r>
        <w:rPr>
          <w:b/>
          <w:i w:val="0"/>
        </w:rPr>
        <w:t>About 7 minutes.</w:t>
      </w:r>
    </w:p>
    <w:p>
      <w:pPr>
        <w:spacing w:before="280" w:after="100"/>
      </w:pPr>
      <w:r>
        <w:rPr>
          <w:b/>
          <w:color w:val="11567F"/>
          <w:sz w:val="26"/>
        </w:rPr>
        <w:t>The names do not match anything</w:t>
      </w:r>
    </w:p>
    <w:p>
      <w:r>
        <w:rPr>
          <w:b w:val="0"/>
          <w:i w:val="0"/>
        </w:rPr>
        <w:t>Site staff type free text. Your controlled vocabulary says CT Scan; the survey says CT scan. The vocabulary says 12-Lead ECG; the survey says 12 Lead ECG. One survey in this set says Tumor biopsy where the taxonomy says Tumour Biopsy - American spelling against British.</w:t>
      </w:r>
    </w:p>
    <w:p>
      <w:r>
        <w:rPr>
          <w:b w:val="0"/>
          <w:i w:val="0"/>
        </w:rPr>
        <w:t>Match on exact strings and you lose roughly a third of your data. RUN the mismatch cell to see how much.</w:t>
      </w:r>
    </w:p>
    <w:p>
      <w:pPr>
        <w:spacing w:before="280" w:after="100"/>
      </w:pPr>
      <w:r>
        <w:rPr>
          <w:b/>
          <w:color w:val="11567F"/>
          <w:sz w:val="26"/>
        </w:rPr>
        <w:t>Fix it with one join, not a service</w:t>
      </w:r>
    </w:p>
    <w:p>
      <w:r>
        <w:rPr>
          <w:b w:val="0"/>
          <w:i w:val="0"/>
        </w:rPr>
        <w:t>The obvious reach here is a search service with a reranker. That is three moving parts, a wait for indexing, an LLM call per candidate, and a different answer on different runs.</w:t>
      </w:r>
    </w:p>
    <w:p>
      <w:r>
        <w:rPr>
          <w:b w:val="0"/>
          <w:i w:val="0"/>
        </w:rPr>
        <w:t>This is a fuzzy match against a known 40-row list. One SQL statement does it, identically every time:</w:t>
      </w:r>
    </w:p>
    <w:tbl>
      <w:tblPr>
        <w:tblW w:type="auto" w:w="0"/>
        <w:jc w:val="center"/>
        <w:tblLook w:firstColumn="1" w:firstRow="1" w:lastColumn="0" w:lastRow="0" w:noHBand="0" w:noVBand="1" w:val="04A0"/>
      </w:tblPr>
      <w:tblGrid>
        <w:gridCol w:w="9360"/>
      </w:tblGrid>
      <w:tr>
        <w:tc>
          <w:tcPr>
            <w:tcW w:type="dxa" w:w="9360"/>
            <w:shd w:fill="F4F6F8"/>
          </w:tcPr>
          <w:p>
            <w:pPr>
              <w:spacing w:after="0" w:line="240" w:lineRule="auto"/>
            </w:pPr>
            <w:r/>
            <w:r>
              <w:rPr>
                <w:rFonts w:ascii="Consolas" w:hAnsi="Consolas"/>
                <w:sz w:val="17"/>
              </w:rPr>
              <w:t>JOIN taxonomy t ON VECTOR_COSINE_SIMILARITY(i.emb, t.emb) &gt;= 0.85</w:t>
            </w:r>
          </w:p>
          <w:p>
            <w:pPr>
              <w:spacing w:after="0" w:line="240" w:lineRule="auto"/>
            </w:pPr>
            <w:r>
              <w:rPr>
                <w:rFonts w:ascii="Consolas" w:hAnsi="Consolas"/>
                <w:sz w:val="17"/>
              </w:rPr>
              <w:t>QUALIFY ROW_NUMBER() OVER (PARTITION BY document_id, item_name</w:t>
            </w:r>
          </w:p>
          <w:p>
            <w:pPr>
              <w:spacing w:after="0" w:line="240" w:lineRule="auto"/>
            </w:pPr>
            <w:r>
              <w:rPr>
                <w:rFonts w:ascii="Consolas" w:hAnsi="Consolas"/>
                <w:sz w:val="17"/>
              </w:rPr>
              <w:t xml:space="preserve">                           ORDER BY name_similarity DESC) = 1</w:t>
            </w:r>
          </w:p>
        </w:tc>
      </w:tr>
    </w:tbl>
    <w:p>
      <w:pPr>
        <w:spacing w:after="40"/>
      </w:pPr>
    </w:p>
    <w:p>
      <w:r>
        <w:rPr>
          <w:b w:val="0"/>
          <w:i w:val="0"/>
        </w:rPr>
        <w:t>The threshold is not arbitrary. Measured on this vocabulary:</w:t>
      </w:r>
    </w:p>
    <w:tbl>
      <w:tblPr>
        <w:tblStyle w:val="TableGrid"/>
        <w:tblW w:type="auto" w:w="0"/>
        <w:jc w:val="center"/>
        <w:tblLook w:firstColumn="1" w:firstRow="1" w:lastColumn="0" w:lastRow="0" w:noHBand="0" w:noVBand="1" w:val="04A0"/>
      </w:tblPr>
      <w:tblGrid>
        <w:gridCol w:w="3120"/>
        <w:gridCol w:w="3120"/>
        <w:gridCol w:w="3120"/>
      </w:tblGrid>
      <w:tr>
        <w:tc>
          <w:tcPr>
            <w:tcW w:type="dxa" w:w="4752"/>
            <w:shd w:fill="11567F"/>
          </w:tcPr>
          <w:p>
            <w:pPr>
              <w:spacing w:after="0"/>
            </w:pPr>
            <w:r/>
            <w:r>
              <w:rPr>
                <w:b/>
                <w:color w:val="FFFFFF"/>
                <w:sz w:val="19"/>
              </w:rPr>
              <w:t>Pair</w:t>
            </w:r>
          </w:p>
        </w:tc>
        <w:tc>
          <w:tcPr>
            <w:tcW w:type="dxa" w:w="1584"/>
            <w:shd w:fill="11567F"/>
          </w:tcPr>
          <w:p>
            <w:pPr>
              <w:spacing w:after="0"/>
            </w:pPr>
            <w:r/>
            <w:r>
              <w:rPr>
                <w:b/>
                <w:color w:val="FFFFFF"/>
                <w:sz w:val="19"/>
              </w:rPr>
              <w:t>Similarity</w:t>
            </w:r>
          </w:p>
        </w:tc>
        <w:tc>
          <w:tcPr>
            <w:tcW w:type="dxa" w:w="2880"/>
            <w:shd w:fill="11567F"/>
          </w:tcPr>
          <w:p>
            <w:pPr>
              <w:spacing w:after="0"/>
            </w:pPr>
            <w:r/>
            <w:r>
              <w:rPr>
                <w:b/>
                <w:color w:val="FFFFFF"/>
                <w:sz w:val="19"/>
              </w:rPr>
              <w:t>Outcome</w:t>
            </w:r>
          </w:p>
        </w:tc>
      </w:tr>
      <w:tr>
        <w:tc>
          <w:tcPr>
            <w:tcW w:type="dxa" w:w="4752"/>
          </w:tcPr>
          <w:p>
            <w:pPr>
              <w:spacing w:after="0"/>
            </w:pPr>
            <w:r/>
            <w:r>
              <w:rPr>
                <w:b w:val="0"/>
                <w:sz w:val="19"/>
              </w:rPr>
              <w:t>CT scan  vs  CT Scan</w:t>
            </w:r>
          </w:p>
        </w:tc>
        <w:tc>
          <w:tcPr>
            <w:tcW w:type="dxa" w:w="1584"/>
          </w:tcPr>
          <w:p>
            <w:pPr>
              <w:spacing w:after="0"/>
            </w:pPr>
            <w:r/>
            <w:r>
              <w:rPr>
                <w:b w:val="0"/>
                <w:sz w:val="19"/>
              </w:rPr>
              <w:t>0.984</w:t>
            </w:r>
          </w:p>
        </w:tc>
        <w:tc>
          <w:tcPr>
            <w:tcW w:type="dxa" w:w="2880"/>
          </w:tcPr>
          <w:p>
            <w:pPr>
              <w:spacing w:after="0"/>
            </w:pPr>
            <w:r/>
            <w:r>
              <w:rPr>
                <w:b w:val="0"/>
                <w:sz w:val="19"/>
              </w:rPr>
              <w:t>Match</w:t>
            </w:r>
          </w:p>
        </w:tc>
      </w:tr>
      <w:tr>
        <w:tc>
          <w:tcPr>
            <w:tcW w:type="dxa" w:w="4752"/>
          </w:tcPr>
          <w:p>
            <w:pPr>
              <w:spacing w:after="0"/>
            </w:pPr>
            <w:r/>
            <w:r>
              <w:rPr>
                <w:b w:val="0"/>
                <w:sz w:val="19"/>
              </w:rPr>
              <w:t>MRI Brain  vs  Brain MRI</w:t>
            </w:r>
          </w:p>
        </w:tc>
        <w:tc>
          <w:tcPr>
            <w:tcW w:type="dxa" w:w="1584"/>
          </w:tcPr>
          <w:p>
            <w:pPr>
              <w:spacing w:after="0"/>
            </w:pPr>
            <w:r/>
            <w:r>
              <w:rPr>
                <w:b w:val="0"/>
                <w:sz w:val="19"/>
              </w:rPr>
              <w:t>0.973</w:t>
            </w:r>
          </w:p>
        </w:tc>
        <w:tc>
          <w:tcPr>
            <w:tcW w:type="dxa" w:w="2880"/>
          </w:tcPr>
          <w:p>
            <w:pPr>
              <w:spacing w:after="0"/>
            </w:pPr>
            <w:r/>
            <w:r>
              <w:rPr>
                <w:b w:val="0"/>
                <w:sz w:val="19"/>
              </w:rPr>
              <w:t>Match</w:t>
            </w:r>
          </w:p>
        </w:tc>
      </w:tr>
      <w:tr>
        <w:tc>
          <w:tcPr>
            <w:tcW w:type="dxa" w:w="4752"/>
          </w:tcPr>
          <w:p>
            <w:pPr>
              <w:spacing w:after="0"/>
            </w:pPr>
            <w:r/>
            <w:r>
              <w:rPr>
                <w:b w:val="0"/>
                <w:sz w:val="19"/>
              </w:rPr>
              <w:t>Tumor biopsy  vs  Tumour Biopsy</w:t>
            </w:r>
          </w:p>
        </w:tc>
        <w:tc>
          <w:tcPr>
            <w:tcW w:type="dxa" w:w="1584"/>
          </w:tcPr>
          <w:p>
            <w:pPr>
              <w:spacing w:after="0"/>
            </w:pPr>
            <w:r/>
            <w:r>
              <w:rPr>
                <w:b w:val="0"/>
                <w:sz w:val="19"/>
              </w:rPr>
              <w:t>0.943</w:t>
            </w:r>
          </w:p>
        </w:tc>
        <w:tc>
          <w:tcPr>
            <w:tcW w:type="dxa" w:w="2880"/>
          </w:tcPr>
          <w:p>
            <w:pPr>
              <w:spacing w:after="0"/>
            </w:pPr>
            <w:r/>
            <w:r>
              <w:rPr>
                <w:b w:val="0"/>
                <w:sz w:val="19"/>
              </w:rPr>
              <w:t>Match</w:t>
            </w:r>
          </w:p>
        </w:tc>
      </w:tr>
      <w:tr>
        <w:tc>
          <w:tcPr>
            <w:tcW w:type="dxa" w:w="4752"/>
          </w:tcPr>
          <w:p>
            <w:pPr>
              <w:spacing w:after="0"/>
            </w:pPr>
            <w:r/>
            <w:r>
              <w:rPr>
                <w:b w:val="0"/>
                <w:sz w:val="19"/>
              </w:rPr>
              <w:t>12 Lead ECG  vs  12-Lead ECG</w:t>
            </w:r>
          </w:p>
        </w:tc>
        <w:tc>
          <w:tcPr>
            <w:tcW w:type="dxa" w:w="1584"/>
          </w:tcPr>
          <w:p>
            <w:pPr>
              <w:spacing w:after="0"/>
            </w:pPr>
            <w:r/>
            <w:r>
              <w:rPr>
                <w:b w:val="0"/>
                <w:sz w:val="19"/>
              </w:rPr>
              <w:t>0.922</w:t>
            </w:r>
          </w:p>
        </w:tc>
        <w:tc>
          <w:tcPr>
            <w:tcW w:type="dxa" w:w="2880"/>
          </w:tcPr>
          <w:p>
            <w:pPr>
              <w:spacing w:after="0"/>
            </w:pPr>
            <w:r/>
            <w:r>
              <w:rPr>
                <w:b w:val="0"/>
                <w:sz w:val="19"/>
              </w:rPr>
              <w:t>Match</w:t>
            </w:r>
          </w:p>
        </w:tc>
      </w:tr>
      <w:tr>
        <w:tc>
          <w:tcPr>
            <w:tcW w:type="dxa" w:w="4752"/>
          </w:tcPr>
          <w:p>
            <w:pPr>
              <w:spacing w:after="0"/>
            </w:pPr>
            <w:r/>
            <w:r>
              <w:rPr>
                <w:b w:val="0"/>
                <w:sz w:val="19"/>
              </w:rPr>
              <w:t>Intraocular pressure  vs  Intraocular Pressure Measurement</w:t>
            </w:r>
          </w:p>
        </w:tc>
        <w:tc>
          <w:tcPr>
            <w:tcW w:type="dxa" w:w="1584"/>
          </w:tcPr>
          <w:p>
            <w:pPr>
              <w:spacing w:after="0"/>
            </w:pPr>
            <w:r/>
            <w:r>
              <w:rPr>
                <w:b w:val="0"/>
                <w:sz w:val="19"/>
              </w:rPr>
              <w:t>0.881</w:t>
            </w:r>
          </w:p>
        </w:tc>
        <w:tc>
          <w:tcPr>
            <w:tcW w:type="dxa" w:w="2880"/>
          </w:tcPr>
          <w:p>
            <w:pPr>
              <w:spacing w:after="0"/>
            </w:pPr>
            <w:r/>
            <w:r>
              <w:rPr>
                <w:b w:val="0"/>
                <w:sz w:val="19"/>
              </w:rPr>
              <w:t>Match, weakest in set</w:t>
            </w:r>
          </w:p>
        </w:tc>
      </w:tr>
      <w:tr>
        <w:tc>
          <w:tcPr>
            <w:tcW w:type="dxa" w:w="4752"/>
          </w:tcPr>
          <w:p>
            <w:pPr>
              <w:spacing w:after="0"/>
            </w:pPr>
            <w:r/>
            <w:r>
              <w:rPr>
                <w:b w:val="0"/>
                <w:sz w:val="19"/>
              </w:rPr>
              <w:t>CT scan  vs  Centrifuge</w:t>
            </w:r>
          </w:p>
        </w:tc>
        <w:tc>
          <w:tcPr>
            <w:tcW w:type="dxa" w:w="1584"/>
          </w:tcPr>
          <w:p>
            <w:pPr>
              <w:spacing w:after="0"/>
            </w:pPr>
            <w:r/>
            <w:r>
              <w:rPr>
                <w:b w:val="0"/>
                <w:sz w:val="19"/>
              </w:rPr>
              <w:t>0.382</w:t>
            </w:r>
          </w:p>
        </w:tc>
        <w:tc>
          <w:tcPr>
            <w:tcW w:type="dxa" w:w="2880"/>
          </w:tcPr>
          <w:p>
            <w:pPr>
              <w:spacing w:after="0"/>
            </w:pPr>
            <w:r/>
            <w:r>
              <w:rPr>
                <w:b w:val="0"/>
                <w:sz w:val="19"/>
              </w:rPr>
              <w:t>Correctly rejected</w:t>
            </w:r>
          </w:p>
        </w:tc>
      </w:tr>
    </w:tbl>
    <w:p>
      <w:pPr>
        <w:spacing w:after="40"/>
      </w:pPr>
    </w:p>
    <w:p>
      <w:r>
        <w:rPr>
          <w:b w:val="0"/>
          <w:i w:val="0"/>
        </w:rPr>
        <w:t>Comfortable margin on both sides. The QUALIFY keeps exactly one canonical match per raw item, which is what stops the join fanning out and double counting.</w:t>
      </w:r>
    </w:p>
    <w:p>
      <w:pPr>
        <w:spacing w:before="220" w:after="60"/>
      </w:pPr>
      <w:r>
        <w:rPr>
          <w:b/>
          <w:color w:val="1A2430"/>
          <w:sz w:val="22"/>
        </w:rPr>
        <w:t>Why 0.85</w:t>
      </w:r>
    </w:p>
    <w:p>
      <w:r>
        <w:rPr>
          <w:b w:val="0"/>
          <w:i w:val="0"/>
        </w:rPr>
        <w:t>The accept threshold is a judgement, not a constant. At 0.99 almost nothing matches and genuine synonyms fall through to be recorded as missing capability. At 0.60 things that merely look related start matching. 0.85 is where that trade-off sits for this vocabulary - and the point is that it was measured on this vocabulary rather than inherited as a default.</w:t>
      </w:r>
    </w:p>
    <w:p>
      <w:pPr>
        <w:spacing w:before="280" w:after="100"/>
      </w:pPr>
      <w:r>
        <w:rPr>
          <w:b/>
          <w:color w:val="11567F"/>
          <w:sz w:val="26"/>
        </w:rPr>
        <w:t>Question polarity</w:t>
      </w:r>
    </w:p>
    <w:p>
      <w:r>
        <w:rPr>
          <w:b w:val="0"/>
          <w:i w:val="0"/>
        </w:rPr>
        <w:t xml:space="preserve">Most survey questions are direct: *Can your site perform cardiac MRI?* A ticked </w:t>
      </w:r>
      <w:r>
        <w:rPr>
          <w:b/>
          <w:i w:val="0"/>
        </w:rPr>
        <w:t>Yes</w:t>
      </w:r>
      <w:r>
        <w:rPr>
          <w:b w:val="0"/>
          <w:i w:val="0"/>
        </w:rPr>
        <w:t xml:space="preserve"> means the site can.</w:t>
      </w:r>
    </w:p>
    <w:p>
      <w:r>
        <w:rPr>
          <w:b w:val="0"/>
          <w:i w:val="0"/>
        </w:rPr>
        <w:t xml:space="preserve">But some are phrased as problems: *Would storing samples at minus 70 degrees present a difficulty at your site?* Here a ticked </w:t>
      </w:r>
      <w:r>
        <w:rPr>
          <w:b/>
          <w:i w:val="0"/>
        </w:rPr>
        <w:t>Yes</w:t>
      </w:r>
      <w:r>
        <w:rPr>
          <w:b w:val="0"/>
          <w:i w:val="0"/>
        </w:rPr>
        <w:t xml:space="preserve"> means the site </w:t>
      </w:r>
      <w:r>
        <w:rPr>
          <w:b/>
          <w:i w:val="0"/>
        </w:rPr>
        <w:t>cannot</w:t>
      </w:r>
      <w:r>
        <w:rPr>
          <w:b w:val="0"/>
          <w:i w:val="0"/>
        </w:rPr>
        <w:t>.</w:t>
      </w:r>
    </w:p>
    <w:p>
      <w:r>
        <w:rPr>
          <w:b w:val="0"/>
          <w:i w:val="0"/>
        </w:rPr>
        <w:t>Same word, opposite meaning. Get this wrong and your capability data is inverted for every negatively phrased question in the set. RUN the polarity cell and read the last two columns together: two sites answered Yes and it means the opposite thing in each case, purely because of how the question was worded.</w:t>
      </w:r>
    </w:p>
    <w:p>
      <w:pPr>
        <w:spacing w:before="280" w:after="100"/>
      </w:pPr>
      <w:r>
        <w:rPr>
          <w:b/>
          <w:color w:val="11567F"/>
          <w:sz w:val="26"/>
        </w:rPr>
        <w:t>Score it against ground truth</w:t>
      </w:r>
    </w:p>
    <w:p>
      <w:r>
        <w:rPr>
          <w:b w:val="0"/>
          <w:i w:val="0"/>
        </w:rPr>
        <w:t xml:space="preserve">RUN the scoring cell. The scope is each study's </w:t>
      </w:r>
      <w:r>
        <w:rPr>
          <w:b/>
          <w:i w:val="0"/>
        </w:rPr>
        <w:t>required</w:t>
      </w:r>
      <w:r>
        <w:rPr>
          <w:b w:val="0"/>
          <w:i w:val="0"/>
        </w:rPr>
        <w:t xml:space="preserve"> items, because that is the actual business question: can this site run *this* study? A required item that never appeared in the survey is recorded as unavailable - absence is the finding.</w:t>
      </w:r>
    </w:p>
    <w:p>
      <w:r>
        <w:rPr>
          <w:b w:val="0"/>
          <w:i w:val="0"/>
        </w:rPr>
        <w:t>You should see 100% on both categories. Appendix A explains why the real world is harder, and what that means for your own documents.</w:t>
      </w:r>
    </w:p>
    <w:tbl>
      <w:tblPr>
        <w:tblW w:type="auto" w:w="0"/>
        <w:tblLook w:firstColumn="1" w:firstRow="1" w:lastColumn="0" w:lastRow="0" w:noHBand="0" w:noVBand="1" w:val="04A0"/>
      </w:tblPr>
      <w:tblGrid>
        <w:gridCol w:w="9360"/>
      </w:tblGrid>
      <w:tr>
        <w:tc>
          <w:tcPr>
            <w:tcW w:type="dxa" w:w="9360"/>
            <w:shd w:fill="E8F5EC"/>
          </w:tcPr>
          <w:p>
            <w:pPr>
              <w:spacing w:after="0"/>
            </w:pPr>
            <w:r/>
            <w:r>
              <w:rPr>
                <w:b/>
                <w:sz w:val="20"/>
              </w:rPr>
              <w:t xml:space="preserve">Checkpoint 2  </w:t>
            </w:r>
            <w:r>
              <w:rPr>
                <w:b w:val="0"/>
                <w:sz w:val="20"/>
              </w:rPr>
              <w:t>The checkpoint cell should print PASS. If it does not, the most likely cause is that the similarity threshold is still at 0.99 or 0.60 - set it back to 0.85 and rerun.</w:t>
            </w:r>
          </w:p>
        </w:tc>
      </w:tr>
    </w:tbl>
    <w:p>
      <w:pPr>
        <w:spacing w:after="40"/>
      </w:pPr>
    </w:p>
    <w:p>
      <w:r>
        <w:br w:type="page"/>
      </w:r>
    </w:p>
    <w:p>
      <w:pPr>
        <w:spacing w:before="400" w:after="160"/>
      </w:pPr>
      <w:r>
        <w:rPr>
          <w:b/>
          <w:color w:val="11567F"/>
          <w:sz w:val="38"/>
        </w:rPr>
        <w:t>Step 3: Parse, chunk and search</w:t>
      </w:r>
    </w:p>
    <w:p>
      <w:r>
        <w:rPr>
          <w:b/>
          <w:i w:val="0"/>
        </w:rPr>
        <w:t>About 8 minutes.</w:t>
      </w:r>
    </w:p>
    <w:p>
      <w:r>
        <w:rPr>
          <w:b w:val="0"/>
          <w:i w:val="0"/>
        </w:rPr>
        <w:t>Step 1 pulled out the fields you knew you wanted. But a feasibility survey also contains free text nobody can schematise in advance - the comments box where a site explains why something is unavailable, or flags a screening threshold it is unsure about. That text is where the reasons live.</w:t>
      </w:r>
    </w:p>
    <w:p>
      <w:r>
        <w:rPr>
          <w:b w:val="0"/>
          <w:i w:val="0"/>
        </w:rPr>
        <w:t>AI_PARSE_DOCUMENT is the counterpart to AI_EXTRACT. Same file, different job.</w:t>
      </w:r>
    </w:p>
    <w:tbl>
      <w:tblPr>
        <w:tblStyle w:val="TableGrid"/>
        <w:tblW w:type="auto" w:w="0"/>
        <w:jc w:val="center"/>
        <w:tblLook w:firstColumn="1" w:firstRow="1" w:lastColumn="0" w:lastRow="0" w:noHBand="0" w:noVBand="1" w:val="04A0"/>
      </w:tblPr>
      <w:tblGrid>
        <w:gridCol w:w="3120"/>
        <w:gridCol w:w="3120"/>
        <w:gridCol w:w="3120"/>
      </w:tblGrid>
      <w:tr>
        <w:tc>
          <w:tcPr>
            <w:tcW w:type="dxa" w:w="2448"/>
            <w:shd w:fill="11567F"/>
          </w:tcPr>
          <w:p>
            <w:pPr>
              <w:spacing w:after="0"/>
            </w:pPr>
            <w:r/>
            <w:r>
              <w:rPr>
                <w:b/>
                <w:color w:val="FFFFFF"/>
                <w:sz w:val="19"/>
              </w:rPr>
              <w:t>Function</w:t>
            </w:r>
          </w:p>
        </w:tc>
        <w:tc>
          <w:tcPr>
            <w:tcW w:type="dxa" w:w="3456"/>
            <w:shd w:fill="11567F"/>
          </w:tcPr>
          <w:p>
            <w:pPr>
              <w:spacing w:after="0"/>
            </w:pPr>
            <w:r/>
            <w:r>
              <w:rPr>
                <w:b/>
                <w:color w:val="FFFFFF"/>
                <w:sz w:val="19"/>
              </w:rPr>
              <w:t>Returns</w:t>
            </w:r>
          </w:p>
        </w:tc>
        <w:tc>
          <w:tcPr>
            <w:tcW w:type="dxa" w:w="2880"/>
            <w:shd w:fill="11567F"/>
          </w:tcPr>
          <w:p>
            <w:pPr>
              <w:spacing w:after="0"/>
            </w:pPr>
            <w:r/>
            <w:r>
              <w:rPr>
                <w:b/>
                <w:color w:val="FFFFFF"/>
                <w:sz w:val="19"/>
              </w:rPr>
              <w:t>Use for</w:t>
            </w:r>
          </w:p>
        </w:tc>
      </w:tr>
      <w:tr>
        <w:tc>
          <w:tcPr>
            <w:tcW w:type="dxa" w:w="2448"/>
          </w:tcPr>
          <w:p>
            <w:pPr>
              <w:spacing w:after="0"/>
            </w:pPr>
            <w:r/>
            <w:r>
              <w:rPr>
                <w:b w:val="0"/>
                <w:sz w:val="19"/>
              </w:rPr>
              <w:t>AI_EXTRACT</w:t>
            </w:r>
          </w:p>
        </w:tc>
        <w:tc>
          <w:tcPr>
            <w:tcW w:type="dxa" w:w="3456"/>
          </w:tcPr>
          <w:p>
            <w:pPr>
              <w:spacing w:after="0"/>
            </w:pPr>
            <w:r/>
            <w:r>
              <w:rPr>
                <w:b w:val="0"/>
                <w:sz w:val="19"/>
              </w:rPr>
              <w:t>Structured JSON against your schema</w:t>
            </w:r>
          </w:p>
        </w:tc>
        <w:tc>
          <w:tcPr>
            <w:tcW w:type="dxa" w:w="2880"/>
          </w:tcPr>
          <w:p>
            <w:pPr>
              <w:spacing w:after="0"/>
            </w:pPr>
            <w:r/>
            <w:r>
              <w:rPr>
                <w:b w:val="0"/>
                <w:sz w:val="19"/>
              </w:rPr>
              <w:t>Fields you can name up front</w:t>
            </w:r>
          </w:p>
        </w:tc>
      </w:tr>
      <w:tr>
        <w:tc>
          <w:tcPr>
            <w:tcW w:type="dxa" w:w="2448"/>
          </w:tcPr>
          <w:p>
            <w:pPr>
              <w:spacing w:after="0"/>
            </w:pPr>
            <w:r/>
            <w:r>
              <w:rPr>
                <w:b w:val="0"/>
                <w:sz w:val="19"/>
              </w:rPr>
              <w:t>AI_PARSE_DOCUMENT</w:t>
            </w:r>
          </w:p>
        </w:tc>
        <w:tc>
          <w:tcPr>
            <w:tcW w:type="dxa" w:w="3456"/>
          </w:tcPr>
          <w:p>
            <w:pPr>
              <w:spacing w:after="0"/>
            </w:pPr>
            <w:r/>
            <w:r>
              <w:rPr>
                <w:b w:val="0"/>
                <w:sz w:val="19"/>
              </w:rPr>
              <w:t>The document as markdown text</w:t>
            </w:r>
          </w:p>
        </w:tc>
        <w:tc>
          <w:tcPr>
            <w:tcW w:type="dxa" w:w="2880"/>
          </w:tcPr>
          <w:p>
            <w:pPr>
              <w:spacing w:after="0"/>
            </w:pPr>
            <w:r/>
            <w:r>
              <w:rPr>
                <w:b w:val="0"/>
                <w:sz w:val="19"/>
              </w:rPr>
              <w:t>Everything else</w:t>
            </w:r>
          </w:p>
        </w:tc>
      </w:tr>
    </w:tbl>
    <w:p>
      <w:pPr>
        <w:spacing w:after="40"/>
      </w:pPr>
    </w:p>
    <w:p>
      <w:r>
        <w:rPr>
          <w:b w:val="0"/>
          <w:i w:val="0"/>
        </w:rPr>
        <w:t xml:space="preserve">Two options matter. </w:t>
      </w:r>
      <w:r>
        <w:rPr>
          <w:b/>
          <w:i w:val="0"/>
        </w:rPr>
        <w:t>mode = LAYOUT</w:t>
      </w:r>
      <w:r>
        <w:rPr>
          <w:b w:val="0"/>
          <w:i w:val="0"/>
        </w:rPr>
        <w:t xml:space="preserve"> preserves structure, so headings, lists and tables come back as markdown rather than a flat wall of text - which makes the chunks far more coherent later. </w:t>
      </w:r>
      <w:r>
        <w:rPr>
          <w:b/>
          <w:i w:val="0"/>
        </w:rPr>
        <w:t>page_split = TRUE</w:t>
      </w:r>
      <w:r>
        <w:rPr>
          <w:b w:val="0"/>
          <w:i w:val="0"/>
        </w:rPr>
        <w:t xml:space="preserve"> returns one entry per page.</w:t>
      </w:r>
    </w:p>
    <w:tbl>
      <w:tblPr>
        <w:tblW w:type="auto" w:w="0"/>
        <w:tblLook w:firstColumn="1" w:firstRow="1" w:lastColumn="0" w:lastRow="0" w:noHBand="0" w:noVBand="1" w:val="04A0"/>
      </w:tblPr>
      <w:tblGrid>
        <w:gridCol w:w="9360"/>
      </w:tblGrid>
      <w:tr>
        <w:tc>
          <w:tcPr>
            <w:tcW w:type="dxa" w:w="9360"/>
            <w:shd w:fill="EAF4FB"/>
          </w:tcPr>
          <w:p>
            <w:pPr>
              <w:spacing w:after="0"/>
            </w:pPr>
            <w:r/>
            <w:r>
              <w:rPr>
                <w:b/>
                <w:sz w:val="20"/>
              </w:rPr>
              <w:t xml:space="preserve">Two cells, and why  </w:t>
            </w:r>
            <w:r>
              <w:rPr>
                <w:b w:val="0"/>
                <w:sz w:val="20"/>
              </w:rPr>
              <w:t>The first cell parses a single document so the group can see what LAYOUT returns - about four seconds. The second does all ten. Parsing is charged per document and runs largely one file at a time, so ten documents take around three minutes on a Medium warehouse. The cell therefore scales the warehouse to Large for the duration and puts it straight back, which brings it under two minutes. Use that wait: warehouse size buys throughput across files, not speed on any single file, and that is a useful point in its own right. Once the table exists a re-run is near instant.</w:t>
            </w:r>
          </w:p>
        </w:tc>
      </w:tr>
    </w:tbl>
    <w:p>
      <w:pPr>
        <w:spacing w:after="40"/>
      </w:pPr>
    </w:p>
    <w:p>
      <w:r>
        <w:rPr>
          <w:b w:val="0"/>
          <w:i w:val="0"/>
        </w:rPr>
        <w:t>Worth watching for in the output: on the checkbox surveys, LAYOUT mode brings the tick state back as checked and unchecked box characters. The parse keeps the visual state rather than silently dropping it, which is why parsing is a genuine second route to the same answer and not a lossy fallback.</w:t>
      </w:r>
    </w:p>
    <w:p>
      <w:pPr>
        <w:spacing w:before="280" w:after="100"/>
      </w:pPr>
      <w:r>
        <w:rPr>
          <w:b/>
          <w:color w:val="11567F"/>
          <w:sz w:val="26"/>
        </w:rPr>
        <w:t>Chunking, and why the size matters</w:t>
      </w:r>
    </w:p>
    <w:p>
      <w:r>
        <w:rPr>
          <w:b w:val="0"/>
          <w:i w:val="0"/>
        </w:rPr>
        <w:t>You cannot index a whole page and expect precise retrieval. Two parameters decide how well search works:</w:t>
      </w:r>
    </w:p>
    <w:p>
      <w:pPr>
        <w:pStyle w:val="ListBullet"/>
        <w:spacing w:after="60"/>
        <w:ind w:left="403"/>
      </w:pPr>
      <w:r>
        <w:rPr>
          <w:b/>
        </w:rPr>
        <w:t>Chunk size.</w:t>
      </w:r>
      <w:r>
        <w:rPr>
          <w:b w:val="0"/>
        </w:rPr>
        <w:t xml:space="preserve"> Too large and a hit returns mostly irrelevant text. Too small and you cut sentences in half and lose the context that made them meaningful.</w:t>
      </w:r>
    </w:p>
    <w:p>
      <w:pPr>
        <w:pStyle w:val="ListBullet"/>
        <w:spacing w:after="60"/>
        <w:ind w:left="403"/>
      </w:pPr>
      <w:r>
        <w:rPr>
          <w:b/>
        </w:rPr>
        <w:t>Overlap.</w:t>
      </w:r>
      <w:r>
        <w:rPr>
          <w:b w:val="0"/>
        </w:rPr>
        <w:t xml:space="preserve"> Chunks share a margin so a sentence spanning a boundary still appears whole in at least one chunk.</w:t>
      </w:r>
    </w:p>
    <w:p>
      <w:r>
        <w:rPr>
          <w:b w:val="0"/>
          <w:i w:val="0"/>
        </w:rPr>
        <w:t>SPLIT_TEXT_RECURSIVE_CHARACTER with the markdown separator splits on structure first - headings, then paragraphs, then sentences - and only cuts mid-text if it has to. That is why parsing in LAYOUT mode earlier pays off here.</w:t>
      </w:r>
    </w:p>
    <w:p>
      <w:r>
        <w:rPr>
          <w:b w:val="0"/>
          <w:i w:val="0"/>
        </w:rPr>
        <w:t xml:space="preserve">The lab defaults to </w:t>
      </w:r>
      <w:r>
        <w:rPr>
          <w:b/>
          <w:i w:val="0"/>
        </w:rPr>
        <w:t>400 characters with 80 of overlap</w:t>
      </w:r>
      <w:r>
        <w:rPr>
          <w:b w:val="0"/>
          <w:i w:val="0"/>
        </w:rPr>
        <w:t>, and that number was chosen by testing, not taste:</w:t>
      </w:r>
    </w:p>
    <w:tbl>
      <w:tblPr>
        <w:tblStyle w:val="TableGrid"/>
        <w:tblW w:type="auto" w:w="0"/>
        <w:jc w:val="center"/>
        <w:tblLook w:firstColumn="1" w:firstRow="1" w:lastColumn="0" w:lastRow="0" w:noHBand="0" w:noVBand="1" w:val="04A0"/>
      </w:tblPr>
      <w:tblGrid>
        <w:gridCol w:w="4680"/>
        <w:gridCol w:w="4680"/>
      </w:tblGrid>
      <w:tr>
        <w:tc>
          <w:tcPr>
            <w:tcW w:type="dxa" w:w="1728"/>
            <w:shd w:fill="11567F"/>
          </w:tcPr>
          <w:p>
            <w:pPr>
              <w:spacing w:after="0"/>
            </w:pPr>
            <w:r/>
            <w:r>
              <w:rPr>
                <w:b/>
                <w:color w:val="FFFFFF"/>
                <w:sz w:val="19"/>
              </w:rPr>
              <w:t>Chunk size</w:t>
            </w:r>
          </w:p>
        </w:tc>
        <w:tc>
          <w:tcPr>
            <w:tcW w:type="dxa" w:w="7056"/>
            <w:shd w:fill="11567F"/>
          </w:tcPr>
          <w:p>
            <w:pPr>
              <w:spacing w:after="0"/>
            </w:pPr>
            <w:r/>
            <w:r>
              <w:rPr>
                <w:b/>
                <w:color w:val="FFFFFF"/>
                <w:sz w:val="19"/>
              </w:rPr>
              <w:t>What happens to retrieval</w:t>
            </w:r>
          </w:p>
        </w:tc>
      </w:tr>
      <w:tr>
        <w:tc>
          <w:tcPr>
            <w:tcW w:type="dxa" w:w="1728"/>
          </w:tcPr>
          <w:p>
            <w:pPr>
              <w:spacing w:after="0"/>
            </w:pPr>
            <w:r/>
            <w:r>
              <w:rPr>
                <w:b w:val="0"/>
                <w:sz w:val="19"/>
              </w:rPr>
              <w:t>1500</w:t>
            </w:r>
          </w:p>
        </w:tc>
        <w:tc>
          <w:tcPr>
            <w:tcW w:type="dxa" w:w="7056"/>
          </w:tcPr>
          <w:p>
            <w:pPr>
              <w:spacing w:after="0"/>
            </w:pPr>
            <w:r/>
            <w:r>
              <w:rPr>
                <w:b w:val="0"/>
                <w:sz w:val="19"/>
              </w:rPr>
              <w:t>The comments box lands in the same chunk as the capability list, so a question about a concern returns a wall of tick boxes</w:t>
            </w:r>
          </w:p>
        </w:tc>
      </w:tr>
      <w:tr>
        <w:tc>
          <w:tcPr>
            <w:tcW w:type="dxa" w:w="1728"/>
          </w:tcPr>
          <w:p>
            <w:pPr>
              <w:spacing w:after="0"/>
            </w:pPr>
            <w:r/>
            <w:r>
              <w:rPr>
                <w:b w:val="0"/>
                <w:sz w:val="19"/>
              </w:rPr>
              <w:t>400</w:t>
            </w:r>
          </w:p>
        </w:tc>
        <w:tc>
          <w:tcPr>
            <w:tcW w:type="dxa" w:w="7056"/>
          </w:tcPr>
          <w:p>
            <w:pPr>
              <w:spacing w:after="0"/>
            </w:pPr>
            <w:r/>
            <w:r>
              <w:rPr>
                <w:b w:val="0"/>
                <w:sz w:val="19"/>
              </w:rPr>
              <w:t>The comments box gets a chunk of its own, so a question about a concern retrieves the concern</w:t>
            </w:r>
          </w:p>
        </w:tc>
      </w:tr>
      <w:tr>
        <w:tc>
          <w:tcPr>
            <w:tcW w:type="dxa" w:w="1728"/>
          </w:tcPr>
          <w:p>
            <w:pPr>
              <w:spacing w:after="0"/>
            </w:pPr>
            <w:r/>
            <w:r>
              <w:rPr>
                <w:b w:val="0"/>
                <w:sz w:val="19"/>
              </w:rPr>
              <w:t>150</w:t>
            </w:r>
          </w:p>
        </w:tc>
        <w:tc>
          <w:tcPr>
            <w:tcW w:type="dxa" w:w="7056"/>
          </w:tcPr>
          <w:p>
            <w:pPr>
              <w:spacing w:after="0"/>
            </w:pPr>
            <w:r/>
            <w:r>
              <w:rPr>
                <w:b w:val="0"/>
                <w:sz w:val="19"/>
              </w:rPr>
              <w:t>Sentences get cut in half and the meaning goes with them</w:t>
            </w:r>
          </w:p>
        </w:tc>
      </w:tr>
    </w:tbl>
    <w:p>
      <w:pPr>
        <w:spacing w:after="40"/>
      </w:pPr>
    </w:p>
    <w:p>
      <w:r>
        <w:rPr>
          <w:b w:val="0"/>
          <w:i w:val="0"/>
        </w:rPr>
        <w:t>Worth saying out loud in the room: this is the single choice most likely to make a retrieval demo look bad for reasons that have nothing to do with the model.</w:t>
      </w:r>
    </w:p>
    <w:p>
      <w:pPr>
        <w:spacing w:before="280" w:after="100"/>
      </w:pPr>
      <w:r>
        <w:rPr>
          <w:b/>
          <w:color w:val="11567F"/>
          <w:sz w:val="26"/>
        </w:rPr>
        <w:t>Then search it</w:t>
      </w:r>
    </w:p>
    <w:p>
      <w:r>
        <w:rPr>
          <w:b w:val="0"/>
          <w:i w:val="0"/>
        </w:rPr>
        <w:t>CREATE CORTEX SEARCH SERVICE returns in about ten seconds and then indexes in the background for roughly a minute. Two clauses to understand:</w:t>
      </w:r>
    </w:p>
    <w:p>
      <w:pPr>
        <w:pStyle w:val="ListBullet"/>
        <w:spacing w:after="60"/>
        <w:ind w:left="403"/>
      </w:pPr>
      <w:r>
        <w:rPr>
          <w:b/>
        </w:rPr>
        <w:t>ON</w:t>
      </w:r>
      <w:r>
        <w:rPr>
          <w:b w:val="0"/>
        </w:rPr>
        <w:t xml:space="preserve"> names the single column that gets indexed for semantic search.</w:t>
      </w:r>
    </w:p>
    <w:p>
      <w:pPr>
        <w:pStyle w:val="ListBullet"/>
        <w:spacing w:after="60"/>
        <w:ind w:left="403"/>
      </w:pPr>
      <w:r>
        <w:rPr>
          <w:b/>
        </w:rPr>
        <w:t>ATTRIBUTES</w:t>
      </w:r>
      <w:r>
        <w:rPr>
          <w:b w:val="0"/>
        </w:rPr>
        <w:t xml:space="preserve"> names the columns you can filter on at query time.</w:t>
      </w:r>
    </w:p>
    <w:p>
      <w:r>
        <w:rPr>
          <w:b w:val="0"/>
          <w:i w:val="0"/>
        </w:rPr>
        <w:t xml:space="preserve">One gotcha worth knowing: any column you want the service to </w:t>
      </w:r>
      <w:r>
        <w:rPr>
          <w:b/>
          <w:i w:val="0"/>
        </w:rPr>
        <w:t>return</w:t>
      </w:r>
      <w:r>
        <w:rPr>
          <w:b w:val="0"/>
          <w:i w:val="0"/>
        </w:rPr>
        <w:t xml:space="preserve"> must appear in the AS SELECT. Naming it only in ATTRIBUTES gives you 'Column X was not indexed in this Cortex Search Service' at query time.</w:t>
      </w:r>
    </w:p>
    <w:p>
      <w:r>
        <w:rPr>
          <w:b w:val="0"/>
          <w:i w:val="0"/>
        </w:rPr>
        <w:t>TARGET_LAG = '1 hour' means the index refreshes itself when the underlying table changes. You do not rebuild it by hand when a new survey lands.</w:t>
      </w:r>
    </w:p>
    <w:p>
      <w:r>
        <w:rPr>
          <w:b w:val="0"/>
          <w:i w:val="0"/>
        </w:rPr>
        <w:t>The query at the end of the step asks for 'we would need to refer patients to a third party facility'. Nothing in that sentence appears verbatim in any document. Every hit should be an Additional Comments section - the free text, not the tick boxes.</w:t>
      </w:r>
    </w:p>
    <w:p>
      <w:pPr>
        <w:spacing w:before="280" w:after="100"/>
      </w:pPr>
      <w:r>
        <w:rPr>
          <w:b/>
          <w:color w:val="11567F"/>
          <w:sz w:val="26"/>
        </w:rPr>
        <w:t>Checkpoint 3</w:t>
      </w:r>
    </w:p>
    <w:p>
      <w:r>
        <w:rPr>
          <w:b w:val="0"/>
          <w:i w:val="0"/>
        </w:rPr>
        <w:t>Should print PASS with 20 pages parsed into roughly 90 chunks. The pages average about 1,100 characters, so at a 400-character chunk size four or five chunks per page is the expected shape.</w:t>
      </w:r>
    </w:p>
    <w:p>
      <w:r>
        <w:br w:type="page"/>
      </w:r>
    </w:p>
    <w:p>
      <w:pPr>
        <w:spacing w:before="400" w:after="160"/>
      </w:pPr>
      <w:r>
        <w:rPr>
          <w:b/>
          <w:color w:val="11567F"/>
          <w:sz w:val="38"/>
        </w:rPr>
        <w:t>Step 4: Semantic view</w:t>
      </w:r>
    </w:p>
    <w:p>
      <w:r>
        <w:rPr>
          <w:b/>
          <w:i w:val="0"/>
        </w:rPr>
        <w:t>About 5 minutes.</w:t>
      </w:r>
    </w:p>
    <w:p>
      <w:r>
        <w:rPr>
          <w:b w:val="0"/>
          <w:i w:val="0"/>
        </w:rPr>
        <w:t>Extracted data is only useful if people can ask it questions. A semantic view is the contract between your tables and natural language: what the entities are, how they join, which measures exist, and what the business rules are.</w:t>
      </w:r>
    </w:p>
    <w:p>
      <w:r>
        <w:rPr>
          <w:b w:val="0"/>
          <w:i w:val="0"/>
        </w:rPr>
        <w:t>The view is already built in your account because the agent in step 5 needs it warm before the lab starts. The first two cells count what is in it: 4 logical tables, 4 relationships, 22 dimensions, 10 facts and 11 metrics.</w:t>
      </w:r>
    </w:p>
    <w:p>
      <w:pPr>
        <w:spacing w:before="280" w:after="100"/>
      </w:pPr>
      <w:r>
        <w:rPr>
          <w:b/>
          <w:color w:val="11567F"/>
          <w:sz w:val="26"/>
        </w:rPr>
        <w:t>The model as a file, and a copy to play with</w:t>
      </w:r>
    </w:p>
    <w:p>
      <w:r>
        <w:rPr>
          <w:b w:val="0"/>
          <w:i w:val="0"/>
        </w:rPr>
        <w:t xml:space="preserve">Open </w:t>
      </w:r>
      <w:r>
        <w:rPr>
          <w:b/>
          <w:i w:val="0"/>
        </w:rPr>
        <w:t>site_feasibility_test.sv.yaml</w:t>
      </w:r>
      <w:r>
        <w:rPr>
          <w:b w:val="0"/>
          <w:i w:val="0"/>
        </w:rPr>
        <w:t xml:space="preserve"> from the file list on the left of the workspace. The .sv.yaml extension tells Snowsight this is a semantic model, so it opens in the Semantic View Editor with a Visual and a YAML toggle rather than as a plain text file.</w:t>
      </w:r>
    </w:p>
    <w:p>
      <w:r>
        <w:rPr>
          <w:b w:val="0"/>
          <w:i w:val="0"/>
        </w:rPr>
        <w:t xml:space="preserve">First, why it is a file at all: </w:t>
      </w:r>
      <w:r>
        <w:rPr>
          <w:b/>
          <w:i w:val="0"/>
        </w:rPr>
        <w:t>the model is a text artefact</w:t>
      </w:r>
      <w:r>
        <w:rPr>
          <w:b w:val="0"/>
          <w:i w:val="0"/>
        </w:rPr>
        <w:t>. It goes into version control, it gets code reviewed, and it moves between environments like any other artefact. A semantic model is not something you click together once and hope nobody changes it.</w:t>
      </w:r>
    </w:p>
    <w:p>
      <w:r>
        <w:rPr>
          <w:b w:val="0"/>
          <w:i w:val="0"/>
        </w:rPr>
        <w:t xml:space="preserve">The file opens as a </w:t>
      </w:r>
      <w:r>
        <w:rPr>
          <w:b/>
          <w:i w:val="0"/>
        </w:rPr>
        <w:t>draft</w:t>
      </w:r>
      <w:r>
        <w:rPr>
          <w:b w:val="0"/>
          <w:i w:val="0"/>
        </w:rPr>
        <w:t>, so it shows “Unable to validate. Deploy to see validation” and “No live semantic views available”. That is correct behaviour, not a broken account - validation and the Playground both need a live object to run against. So deploy it.</w:t>
      </w:r>
    </w:p>
    <w:p>
      <w:pPr>
        <w:spacing w:before="280" w:after="100"/>
      </w:pPr>
      <w:r>
        <w:rPr>
          <w:b/>
          <w:color w:val="11567F"/>
          <w:sz w:val="26"/>
        </w:rPr>
        <w:t>Deploy it as SITE_FEASIBILITY_TEST</w:t>
      </w:r>
    </w:p>
    <w:p>
      <w:r>
        <w:rPr>
          <w:b w:val="0"/>
          <w:i w:val="0"/>
        </w:rPr>
        <w:t xml:space="preserve">Click </w:t>
      </w:r>
      <w:r>
        <w:rPr>
          <w:b/>
          <w:i w:val="0"/>
        </w:rPr>
        <w:t>Deploy</w:t>
      </w:r>
      <w:r>
        <w:rPr>
          <w:b w:val="0"/>
          <w:i w:val="0"/>
        </w:rPr>
        <w:t xml:space="preserve">. Target name </w:t>
      </w:r>
      <w:r>
        <w:rPr>
          <w:b/>
          <w:i w:val="0"/>
        </w:rPr>
        <w:t>SITE_FEASIBILITY_TEST</w:t>
      </w:r>
      <w:r>
        <w:rPr>
          <w:b w:val="0"/>
          <w:i w:val="0"/>
        </w:rPr>
        <w:t xml:space="preserve">, deploying into </w:t>
      </w:r>
      <w:r>
        <w:rPr>
          <w:b/>
          <w:i w:val="0"/>
        </w:rPr>
        <w:t>AZ_FEASIBILITY_DEMO / SEMANTIC_VIEWS</w:t>
      </w:r>
      <w:r>
        <w:rPr>
          <w:b w:val="0"/>
          <w:i w:val="0"/>
        </w:rPr>
        <w:t xml:space="preserve">. Validation and the </w:t>
      </w:r>
      <w:r>
        <w:rPr>
          <w:b/>
          <w:i w:val="0"/>
        </w:rPr>
        <w:t>Playground</w:t>
      </w:r>
      <w:r>
        <w:rPr>
          <w:b w:val="0"/>
          <w:i w:val="0"/>
        </w:rPr>
        <w:t xml:space="preserve"> now light up and the group has a model they can click about in. The agent in step 5 keeps using SITE_FEASIBILITY, a separate object, which this does not touch.</w:t>
      </w:r>
    </w:p>
    <w:tbl>
      <w:tblPr>
        <w:tblW w:type="auto" w:w="0"/>
        <w:tblLook w:firstColumn="1" w:firstRow="1" w:lastColumn="0" w:lastRow="0" w:noHBand="0" w:noVBand="1" w:val="04A0"/>
      </w:tblPr>
      <w:tblGrid>
        <w:gridCol w:w="9360"/>
      </w:tblGrid>
      <w:tr>
        <w:tc>
          <w:tcPr>
            <w:tcW w:type="dxa" w:w="9360"/>
            <w:shd w:fill="FDF2E3"/>
          </w:tcPr>
          <w:p>
            <w:pPr>
              <w:spacing w:after="0"/>
            </w:pPr>
            <w:r/>
            <w:r>
              <w:rPr>
                <w:b/>
                <w:sz w:val="20"/>
              </w:rPr>
              <w:t xml:space="preserve">The gotcha to say out loud  </w:t>
            </w:r>
            <w:r>
              <w:rPr>
                <w:b w:val="0"/>
                <w:sz w:val="20"/>
              </w:rPr>
              <w:t xml:space="preserve">The deploy takes the view name from the </w:t>
            </w:r>
            <w:r>
              <w:rPr>
                <w:b/>
                <w:sz w:val="20"/>
              </w:rPr>
              <w:t>name: field inside the YAML</w:t>
            </w:r>
            <w:r>
              <w:rPr>
                <w:b w:val="0"/>
                <w:sz w:val="20"/>
              </w:rPr>
              <w:t>, not from the Target name box in the dialog. This file already says name: SITE_FEASIBILITY_TEST, which is why it lands as a new object. Deploy a file whose name: matches a view you already have and it runs CREATE OR REPLACE SEMANTIC VIEW ... COPY GRANTS over the top of it - the grants survive, but the definition is replaced. This was found the hard way while building the lab. Tell people to check the name: line before they ever click Deploy.</w:t>
            </w:r>
          </w:p>
        </w:tc>
      </w:tr>
    </w:tbl>
    <w:p>
      <w:pPr>
        <w:spacing w:after="40"/>
      </w:pPr>
    </w:p>
    <w:p>
      <w:r>
        <w:rPr>
          <w:b w:val="0"/>
          <w:i w:val="0"/>
        </w:rPr>
        <w:t>The last cell of the notebook drops SITE_FEASIBILITY_TEST again, so the account is left as it started.</w:t>
      </w:r>
    </w:p>
    <w:p>
      <w:r>
        <w:rPr>
          <w:b w:val="0"/>
          <w:i w:val="0"/>
        </w:rPr>
        <w:t>This is a guided look around, not an exercise. Nobody is being asked to author anything. Walk the group through four things:</w:t>
      </w:r>
    </w:p>
    <w:p>
      <w:pPr>
        <w:pStyle w:val="ListBullet"/>
        <w:spacing w:after="60"/>
        <w:ind w:left="403"/>
      </w:pPr>
      <w:r>
        <w:rPr>
          <w:b/>
        </w:rPr>
        <w:t>Logical tables.</w:t>
      </w:r>
      <w:r>
        <w:rPr>
          <w:b w:val="0"/>
        </w:rPr>
        <w:t xml:space="preserve"> Four entities, each mapped to a physical table. The model is a layer over the warehouse, not a copy of it.</w:t>
      </w:r>
    </w:p>
    <w:p>
      <w:pPr>
        <w:pStyle w:val="ListBullet"/>
        <w:spacing w:after="60"/>
        <w:ind w:left="403"/>
      </w:pPr>
      <w:r>
        <w:rPr>
          <w:b/>
        </w:rPr>
        <w:t>Relationships.</w:t>
      </w:r>
      <w:r>
        <w:rPr>
          <w:b w:val="0"/>
        </w:rPr>
        <w:t xml:space="preserve"> The joins, declared once. This is what stops an agent inventing a join and quietly double counting.</w:t>
      </w:r>
    </w:p>
    <w:p>
      <w:pPr>
        <w:pStyle w:val="ListBullet"/>
        <w:spacing w:after="60"/>
        <w:ind w:left="403"/>
      </w:pPr>
      <w:r>
        <w:rPr>
          <w:b/>
        </w:rPr>
        <w:t>Metrics.</w:t>
      </w:r>
      <w:r>
        <w:rPr>
          <w:b w:val="0"/>
        </w:rPr>
        <w:t xml:space="preserve"> Open m_capability_coverage. A SUM over a SUM, never an average of percentages - averaging weights a site with 7 required items the same as one with 10, which is quietly wrong and very hard to spot in a dashboard.</w:t>
      </w:r>
    </w:p>
    <w:p>
      <w:pPr>
        <w:pStyle w:val="ListBullet"/>
        <w:spacing w:after="60"/>
        <w:ind w:left="403"/>
      </w:pPr>
      <w:r>
        <w:rPr>
          <w:b/>
        </w:rPr>
        <w:t>Custom instructions.</w:t>
      </w:r>
      <w:r>
        <w:rPr>
          <w:b w:val="0"/>
        </w:rPr>
        <w:t xml:space="preserve"> Where the business rules live, travelling with the model rather than sitting in a wiki nobody reads. The important one: a site with no survey is recorded as not assessed rather than as not capable. Only 10 of the 40 sites returned a survey, so conflating the two makes the portfolio look far worse than it is and has you chasing sites that are fine.</w:t>
      </w:r>
    </w:p>
    <w:p>
      <w:r>
        <w:rPr>
          <w:b w:val="0"/>
          <w:i w:val="0"/>
        </w:rPr>
        <w:t xml:space="preserve">Then use the </w:t>
      </w:r>
      <w:r>
        <w:rPr>
          <w:b/>
          <w:i w:val="0"/>
        </w:rPr>
        <w:t>Playground</w:t>
      </w:r>
      <w:r>
        <w:rPr>
          <w:b w:val="0"/>
          <w:i w:val="0"/>
        </w:rPr>
        <w:t xml:space="preserve"> to ask one plain-language question and read the SQL it generates. English in, governed SQL out, against your joins and your metric definitions. Say out loud that this is exactly what the agent in step 5 is looking at - nothing separate, nothing duplicated.</w:t>
      </w:r>
    </w:p>
    <w:tbl>
      <w:tblPr>
        <w:tblW w:type="auto" w:w="0"/>
        <w:tblLook w:firstColumn="1" w:firstRow="1" w:lastColumn="0" w:lastRow="0" w:noHBand="0" w:noVBand="1" w:val="04A0"/>
      </w:tblPr>
      <w:tblGrid>
        <w:gridCol w:w="9360"/>
      </w:tblGrid>
      <w:tr>
        <w:tc>
          <w:tcPr>
            <w:tcW w:type="dxa" w:w="9360"/>
            <w:shd w:fill="FDF2E3"/>
          </w:tcPr>
          <w:p>
            <w:pPr>
              <w:spacing w:after="0"/>
            </w:pPr>
            <w:r/>
            <w:r>
              <w:rPr>
                <w:b/>
                <w:sz w:val="20"/>
              </w:rPr>
              <w:t xml:space="preserve">Privilege the lab depends on  </w:t>
            </w:r>
            <w:r>
              <w:rPr>
                <w:b w:val="0"/>
                <w:sz w:val="20"/>
              </w:rPr>
              <w:t xml:space="preserve">SELECT lets a role query a semantic view. </w:t>
            </w:r>
            <w:r>
              <w:rPr>
                <w:b/>
                <w:sz w:val="20"/>
              </w:rPr>
              <w:t>REFERENCES</w:t>
            </w:r>
            <w:r>
              <w:rPr>
                <w:b w:val="0"/>
                <w:sz w:val="20"/>
              </w:rPr>
              <w:t xml:space="preserve"> is what lets it be used with Cortex Analyst and have its structure displayed. The attendee role needs both or this step fails with the view simply not appearing. The Share button in the editor grants both together.</w:t>
            </w:r>
          </w:p>
        </w:tc>
      </w:tr>
    </w:tbl>
    <w:p>
      <w:pPr>
        <w:spacing w:after="40"/>
      </w:pPr>
    </w:p>
    <w:p>
      <w:r>
        <w:rPr>
          <w:b w:val="0"/>
          <w:i w:val="0"/>
        </w:rPr>
        <w:t>The last cell runs the same metrics grouped by country instead of by site. No new logic - that is the point of defining a metric once. Note the filter excluding unassessed sites, so a country with no returned surveys does not read as 0 per cent.</w:t>
      </w:r>
    </w:p>
    <w:tbl>
      <w:tblPr>
        <w:tblW w:type="auto" w:w="0"/>
        <w:tblLook w:firstColumn="1" w:firstRow="1" w:lastColumn="0" w:lastRow="0" w:noHBand="0" w:noVBand="1" w:val="04A0"/>
      </w:tblPr>
      <w:tblGrid>
        <w:gridCol w:w="9360"/>
      </w:tblGrid>
      <w:tr>
        <w:tc>
          <w:tcPr>
            <w:tcW w:type="dxa" w:w="9360"/>
            <w:shd w:fill="EAF4FB"/>
          </w:tcPr>
          <w:p>
            <w:pPr>
              <w:spacing w:after="0"/>
            </w:pPr>
            <w:r/>
            <w:r>
              <w:rPr>
                <w:b/>
                <w:sz w:val="20"/>
              </w:rPr>
              <w:t xml:space="preserve">Two names, one measure  </w:t>
            </w:r>
            <w:r>
              <w:rPr>
                <w:b w:val="0"/>
                <w:sz w:val="20"/>
              </w:rPr>
              <w:t>The semantic view calls this metric capability_coverage, and the app labels it “study requirements met”. Same number: the items a study requires that the site can actually provide, over the items it requires. The technical name is what you write in SQL; the business label is what belongs on a page a study start-up lead will read.</w:t>
            </w:r>
          </w:p>
        </w:tc>
      </w:tr>
    </w:tbl>
    <w:p>
      <w:pPr>
        <w:spacing w:after="40"/>
      </w:pPr>
    </w:p>
    <w:p>
      <w:r>
        <w:rPr>
          <w:b w:val="0"/>
          <w:i w:val="0"/>
        </w:rPr>
        <w:t>The last cell runs the same metrics grouped by country instead of by site. No new logic - that is the point of defining a metric once. Note the filter that excludes unassessed sites, so a country with no returned surveys does not read as 0 per cent.</w:t>
      </w:r>
    </w:p>
    <w:tbl>
      <w:tblPr>
        <w:tblW w:type="auto" w:w="0"/>
        <w:tblLook w:firstColumn="1" w:firstRow="1" w:lastColumn="0" w:lastRow="0" w:noHBand="0" w:noVBand="1" w:val="04A0"/>
      </w:tblPr>
      <w:tblGrid>
        <w:gridCol w:w="9360"/>
      </w:tblGrid>
      <w:tr>
        <w:tc>
          <w:tcPr>
            <w:tcW w:type="dxa" w:w="9360"/>
            <w:shd w:fill="E8F5EC"/>
          </w:tcPr>
          <w:p>
            <w:pPr>
              <w:spacing w:after="0"/>
            </w:pPr>
            <w:r/>
            <w:r>
              <w:rPr>
                <w:b/>
                <w:sz w:val="20"/>
              </w:rPr>
              <w:t xml:space="preserve">Checkpoint 3  </w:t>
            </w:r>
            <w:r>
              <w:rPr>
                <w:b w:val="0"/>
                <w:sz w:val="20"/>
              </w:rPr>
              <w:t>The checkpoint cell should print PASS with 10 assessed sites.</w:t>
            </w:r>
          </w:p>
        </w:tc>
      </w:tr>
    </w:tbl>
    <w:p>
      <w:pPr>
        <w:spacing w:after="40"/>
      </w:pPr>
    </w:p>
    <w:p>
      <w:r>
        <w:br w:type="page"/>
      </w:r>
    </w:p>
    <w:p>
      <w:pPr>
        <w:spacing w:before="400" w:after="160"/>
      </w:pPr>
      <w:r>
        <w:rPr>
          <w:b/>
          <w:color w:val="11567F"/>
          <w:sz w:val="38"/>
        </w:rPr>
        <w:t>Step 5: An agent with three tools</w:t>
      </w:r>
    </w:p>
    <w:p>
      <w:r>
        <w:rPr>
          <w:b/>
          <w:i w:val="0"/>
        </w:rPr>
        <w:t>About 9 minutes.</w:t>
      </w:r>
      <w:r>
        <w:rPr>
          <w:b w:val="0"/>
          <w:i w:val="0"/>
        </w:rPr>
        <w:t xml:space="preserve"> This is the part to slow down on.</w:t>
      </w:r>
    </w:p>
    <w:p>
      <w:r>
        <w:rPr>
          <w:b w:val="0"/>
          <w:i w:val="0"/>
        </w:rPr>
        <w:t>The agent in your account has three tools and decides for itself which to use.</w:t>
      </w:r>
    </w:p>
    <w:tbl>
      <w:tblPr>
        <w:tblStyle w:val="TableGrid"/>
        <w:tblW w:type="auto" w:w="0"/>
        <w:jc w:val="center"/>
        <w:tblLook w:firstColumn="1" w:firstRow="1" w:lastColumn="0" w:lastRow="0" w:noHBand="0" w:noVBand="1" w:val="04A0"/>
      </w:tblPr>
      <w:tblGrid>
        <w:gridCol w:w="4680"/>
        <w:gridCol w:w="4680"/>
      </w:tblGrid>
      <w:tr>
        <w:tc>
          <w:tcPr>
            <w:tcW w:type="dxa" w:w="2448"/>
            <w:shd w:fill="11567F"/>
          </w:tcPr>
          <w:p>
            <w:pPr>
              <w:spacing w:after="0"/>
            </w:pPr>
            <w:r/>
            <w:r>
              <w:rPr>
                <w:b/>
                <w:color w:val="FFFFFF"/>
                <w:sz w:val="19"/>
              </w:rPr>
              <w:t>Tool</w:t>
            </w:r>
          </w:p>
        </w:tc>
        <w:tc>
          <w:tcPr>
            <w:tcW w:type="dxa" w:w="6768"/>
            <w:shd w:fill="11567F"/>
          </w:tcPr>
          <w:p>
            <w:pPr>
              <w:spacing w:after="0"/>
            </w:pPr>
            <w:r/>
            <w:r>
              <w:rPr>
                <w:b/>
                <w:color w:val="FFFFFF"/>
                <w:sz w:val="19"/>
              </w:rPr>
              <w:t>Used for</w:t>
            </w:r>
          </w:p>
        </w:tc>
      </w:tr>
      <w:tr>
        <w:tc>
          <w:tcPr>
            <w:tcW w:type="dxa" w:w="2448"/>
          </w:tcPr>
          <w:p>
            <w:pPr>
              <w:spacing w:after="0"/>
            </w:pPr>
            <w:r/>
            <w:r>
              <w:rPr>
                <w:b w:val="0"/>
                <w:sz w:val="19"/>
              </w:rPr>
              <w:t>feasibility_analyst</w:t>
            </w:r>
          </w:p>
        </w:tc>
        <w:tc>
          <w:tcPr>
            <w:tcW w:type="dxa" w:w="6768"/>
          </w:tcPr>
          <w:p>
            <w:pPr>
              <w:spacing w:after="0"/>
            </w:pPr>
            <w:r/>
            <w:r>
              <w:rPr>
                <w:b w:val="0"/>
                <w:sz w:val="19"/>
              </w:rPr>
              <w:t>Anything countable or comparable. Cortex Analyst over the semantic view.</w:t>
            </w:r>
          </w:p>
        </w:tc>
      </w:tr>
      <w:tr>
        <w:tc>
          <w:tcPr>
            <w:tcW w:type="dxa" w:w="2448"/>
          </w:tcPr>
          <w:p>
            <w:pPr>
              <w:spacing w:after="0"/>
            </w:pPr>
            <w:r/>
            <w:r>
              <w:rPr>
                <w:b w:val="0"/>
                <w:sz w:val="19"/>
              </w:rPr>
              <w:t>survey_search</w:t>
            </w:r>
          </w:p>
        </w:tc>
        <w:tc>
          <w:tcPr>
            <w:tcW w:type="dxa" w:w="6768"/>
          </w:tcPr>
          <w:p>
            <w:pPr>
              <w:spacing w:after="0"/>
            </w:pPr>
            <w:r/>
            <w:r>
              <w:rPr>
                <w:b w:val="0"/>
                <w:sz w:val="19"/>
              </w:rPr>
              <w:t xml:space="preserve">What a site actually </w:t>
            </w:r>
            <w:r>
              <w:rPr>
                <w:b/>
                <w:sz w:val="19"/>
              </w:rPr>
              <w:t>wrote</w:t>
            </w:r>
            <w:r>
              <w:rPr>
                <w:b w:val="0"/>
                <w:sz w:val="19"/>
              </w:rPr>
              <w:t>. Cortex Search over the survey text.</w:t>
            </w:r>
          </w:p>
        </w:tc>
      </w:tr>
      <w:tr>
        <w:tc>
          <w:tcPr>
            <w:tcW w:type="dxa" w:w="2448"/>
          </w:tcPr>
          <w:p>
            <w:pPr>
              <w:spacing w:after="0"/>
            </w:pPr>
            <w:r/>
            <w:r>
              <w:rPr>
                <w:b w:val="0"/>
                <w:sz w:val="19"/>
              </w:rPr>
              <w:t>code_execution</w:t>
            </w:r>
          </w:p>
        </w:tc>
        <w:tc>
          <w:tcPr>
            <w:tcW w:type="dxa" w:w="6768"/>
          </w:tcPr>
          <w:p>
            <w:pPr>
              <w:spacing w:after="0"/>
            </w:pPr>
            <w:r/>
            <w:r>
              <w:rPr>
                <w:b w:val="0"/>
                <w:sz w:val="19"/>
              </w:rPr>
              <w:t>Python in a sandbox, for charts and composite scoring.</w:t>
            </w:r>
          </w:p>
        </w:tc>
      </w:tr>
    </w:tbl>
    <w:p>
      <w:pPr>
        <w:spacing w:after="40"/>
      </w:pPr>
    </w:p>
    <w:p>
      <w:pPr>
        <w:spacing w:before="280" w:after="100"/>
      </w:pPr>
      <w:r>
        <w:rPr>
          <w:b/>
          <w:color w:val="11567F"/>
          <w:sz w:val="26"/>
        </w:rPr>
        <w:t>Look at the agent before you talk to it</w:t>
      </w:r>
    </w:p>
    <w:p>
      <w:r>
        <w:rPr>
          <w:b w:val="0"/>
          <w:i w:val="0"/>
        </w:rPr>
        <w:t xml:space="preserve">Do not go straight to CoWork. In the left navigation choose </w:t>
      </w:r>
      <w:r>
        <w:rPr>
          <w:b/>
          <w:i w:val="0"/>
        </w:rPr>
        <w:t>AI &amp; ML &gt; Agents</w:t>
      </w:r>
      <w:r>
        <w:rPr>
          <w:b w:val="0"/>
          <w:i w:val="0"/>
        </w:rPr>
        <w:t xml:space="preserve"> and open SITE_FEASIBILITY_AGENT first. An agent is a configured object, not a chat window, and two minutes here saves the “where does it get its answers from” question later. Point at three things: the </w:t>
      </w:r>
      <w:r>
        <w:rPr>
          <w:b/>
          <w:i w:val="0"/>
        </w:rPr>
        <w:t>tools</w:t>
      </w:r>
      <w:r>
        <w:rPr>
          <w:b w:val="0"/>
          <w:i w:val="0"/>
        </w:rPr>
        <w:t xml:space="preserve"> it can choose between, the </w:t>
      </w:r>
      <w:r>
        <w:rPr>
          <w:b/>
          <w:i w:val="0"/>
        </w:rPr>
        <w:t>instructions</w:t>
      </w:r>
      <w:r>
        <w:rPr>
          <w:b w:val="0"/>
          <w:i w:val="0"/>
        </w:rPr>
        <w:t xml:space="preserve"> in plain language including the not-assessed rule, and </w:t>
      </w:r>
      <w:r>
        <w:rPr>
          <w:b/>
          <w:i w:val="0"/>
        </w:rPr>
        <w:t>access</w:t>
      </w:r>
      <w:r>
        <w:rPr>
          <w:b w:val="0"/>
          <w:i w:val="0"/>
        </w:rPr>
        <w:t xml:space="preserve"> - it runs as the querying user, so there is no second copy of the data and no separate permission model to keep in step. No orchestration code, no vector store to provision, no retrieval logic to maintain.</w:t>
      </w:r>
    </w:p>
    <w:p>
      <w:r>
        <w:rPr>
          <w:b/>
          <w:i w:val="0"/>
        </w:rPr>
        <w:t>Then have them click + Add to Snowflake CoWork in the header of that page.</w:t>
      </w:r>
      <w:r>
        <w:rPr>
          <w:b w:val="0"/>
          <w:i w:val="0"/>
        </w:rPr>
        <w:t xml:space="preserve"> Until that click the agent does not appear in the CoWork picker, and an attendee who skips it will think the deployment is broken. This is the single most likely place to lose the room in step 5.</w:t>
      </w:r>
    </w:p>
    <w:p>
      <w:pPr>
        <w:spacing w:before="280" w:after="100"/>
      </w:pPr>
      <w:r>
        <w:rPr>
          <w:b/>
          <w:color w:val="11567F"/>
          <w:sz w:val="26"/>
        </w:rPr>
        <w:t>The tools this agent does not use</w:t>
      </w:r>
    </w:p>
    <w:p>
      <w:r>
        <w:rPr>
          <w:b w:val="0"/>
          <w:i w:val="0"/>
        </w:rPr>
        <w:t>Three tools is what the lab needs, not what is available. If asked, the fuller list is: Cortex Analyst for numbers, Cortex Search for text, code execution for Python, Data to Chart for visualising another tool's output, custom tools built from your own procedures and UDFs, agent skills (a packaged bundle of instructions plus scripts on a stage, reusable across agents), MCP connectors to remote Model Context Protocol servers such as Jira or Salesforce or your own service, and web search.</w:t>
      </w:r>
    </w:p>
    <w:p>
      <w:r>
        <w:rPr>
          <w:b/>
          <w:i w:val="0"/>
        </w:rPr>
        <w:t>On code execution specifically</w:t>
      </w:r>
      <w:r>
        <w:rPr>
          <w:b w:val="0"/>
          <w:i w:val="0"/>
        </w:rPr>
        <w:t>, because it gets misread. It runs Python in an isolated sandbox with pandas, numpy, matplotlib and plotly preinstalled, and it cannot query data. When the agent needs rows it runs SQL with its SQL tools, outside the sandbox, and passes the results in. So it is right for medians, weighted scores and charts, and wrong for anything needing a fresh query. Extra packages come from the Artifact Repository, not pip.</w:t>
      </w:r>
    </w:p>
    <w:p>
      <w:pPr>
        <w:spacing w:before="280" w:after="100"/>
      </w:pPr>
      <w:r>
        <w:rPr>
          <w:b/>
          <w:color w:val="11567F"/>
          <w:sz w:val="26"/>
        </w:rPr>
        <w:t>PROMPT: work through these in CoWork</w:t>
      </w:r>
    </w:p>
    <w:p>
      <w:r>
        <w:rPr>
          <w:b w:val="0"/>
          <w:i w:val="0"/>
        </w:rPr>
        <w:t xml:space="preserve">Open </w:t>
      </w:r>
      <w:r>
        <w:rPr>
          <w:b/>
          <w:i w:val="0"/>
        </w:rPr>
        <w:t>CoWork</w:t>
      </w:r>
      <w:r>
        <w:rPr>
          <w:b w:val="0"/>
          <w:i w:val="0"/>
        </w:rPr>
        <w:t xml:space="preserve"> from the left navigation and select the </w:t>
      </w:r>
      <w:r>
        <w:rPr>
          <w:b/>
          <w:i w:val="0"/>
        </w:rPr>
        <w:t>Site Feasibility Assistant</w:t>
      </w:r>
      <w:r>
        <w:rPr>
          <w:b w:val="0"/>
          <w:i w:val="0"/>
        </w:rPr>
        <w:t>. Ask these in order. Each is designed to pull a different tool.</w:t>
      </w:r>
    </w:p>
    <w:p>
      <w:pPr>
        <w:spacing w:before="220" w:after="60"/>
      </w:pPr>
      <w:r>
        <w:rPr>
          <w:b/>
          <w:color w:val="1A2430"/>
          <w:sz w:val="22"/>
        </w:rPr>
        <w:t>1. Document search</w:t>
      </w:r>
    </w:p>
    <w:tbl>
      <w:tblPr>
        <w:tblW w:type="auto" w:w="0"/>
        <w:jc w:val="center"/>
        <w:tblLook w:firstColumn="1" w:firstRow="1" w:lastColumn="0" w:lastRow="0" w:noHBand="0" w:noVBand="1" w:val="04A0"/>
      </w:tblPr>
      <w:tblGrid>
        <w:gridCol w:w="9360"/>
      </w:tblGrid>
      <w:tr>
        <w:tc>
          <w:tcPr>
            <w:tcW w:type="dxa" w:w="9360"/>
            <w:shd w:fill="F4F6F8"/>
          </w:tcPr>
          <w:p>
            <w:pPr>
              <w:spacing w:after="0" w:line="240" w:lineRule="auto"/>
            </w:pPr>
            <w:r/>
            <w:r>
              <w:rPr>
                <w:rFonts w:ascii="Consolas" w:hAnsi="Consolas"/>
                <w:sz w:val="17"/>
              </w:rPr>
              <w:t>Which sites raised concerns in their survey comments, and what exactly did they write?</w:t>
            </w:r>
          </w:p>
        </w:tc>
      </w:tr>
    </w:tbl>
    <w:p>
      <w:pPr>
        <w:spacing w:after="40"/>
      </w:pPr>
    </w:p>
    <w:p>
      <w:r>
        <w:rPr>
          <w:b w:val="0"/>
          <w:i w:val="0"/>
        </w:rPr>
        <w:t>This is about what a site said, not what it can do, so the agent should reach for search rather than SQL.</w:t>
      </w:r>
    </w:p>
    <w:p>
      <w:pPr>
        <w:spacing w:before="220" w:after="60"/>
      </w:pPr>
      <w:r>
        <w:rPr>
          <w:b/>
          <w:color w:val="1A2430"/>
          <w:sz w:val="22"/>
        </w:rPr>
        <w:t>2. Structured query</w:t>
      </w:r>
    </w:p>
    <w:tbl>
      <w:tblPr>
        <w:tblW w:type="auto" w:w="0"/>
        <w:jc w:val="center"/>
        <w:tblLook w:firstColumn="1" w:firstRow="1" w:lastColumn="0" w:lastRow="0" w:noHBand="0" w:noVBand="1" w:val="04A0"/>
      </w:tblPr>
      <w:tblGrid>
        <w:gridCol w:w="9360"/>
      </w:tblGrid>
      <w:tr>
        <w:tc>
          <w:tcPr>
            <w:tcW w:type="dxa" w:w="9360"/>
            <w:shd w:fill="F4F6F8"/>
          </w:tcPr>
          <w:p>
            <w:pPr>
              <w:spacing w:after="0" w:line="240" w:lineRule="auto"/>
            </w:pPr>
            <w:r/>
            <w:r>
              <w:rPr>
                <w:rFonts w:ascii="Consolas" w:hAnsi="Consolas"/>
                <w:sz w:val="17"/>
              </w:rPr>
              <w:t>Which sites can perform Cardiac MRI, and which cannot?</w:t>
            </w:r>
          </w:p>
        </w:tc>
      </w:tr>
    </w:tbl>
    <w:p>
      <w:pPr>
        <w:spacing w:after="40"/>
      </w:pPr>
    </w:p>
    <w:p>
      <w:r>
        <w:rPr>
          <w:b w:val="0"/>
          <w:i w:val="0"/>
        </w:rPr>
        <w:t>Countable, so this should go to Cortex Analyst. Watch that the answer distinguishes sites that cannot from sites that were never assessed.</w:t>
      </w:r>
    </w:p>
    <w:p>
      <w:r>
        <w:rPr>
          <w:b/>
          <w:i w:val="0"/>
        </w:rPr>
        <w:t>Make the lineage explicit here - this is the moment the lab pays off.</w:t>
      </w:r>
      <w:r>
        <w:rPr>
          <w:b w:val="0"/>
          <w:i w:val="0"/>
        </w:rPr>
        <w:t xml:space="preserve"> Every row behind that answer came out of a PDF: AI_EXTRACT read the surveys in step 1, step 2 resolved the item names into EXTRACTED.ITEMS_NORMALISED, and ANALYTICS.FACT_CAPABILITY sits on that, which is what the semantic view counts. Nobody typed a capability into a table. Then point at the two kinds of row: the CAN is EXTRACTED, a ticked box the model read; the CANNOT is DERIVED_ABSENT, a required item the survey never mentioned, so the gap is inferred from silence. Both are true and only one is evidence. That is what capability_source is for.</w:t>
      </w:r>
    </w:p>
    <w:p>
      <w:pPr>
        <w:spacing w:before="220" w:after="60"/>
      </w:pPr>
      <w:r>
        <w:rPr>
          <w:b/>
          <w:color w:val="1A2430"/>
          <w:sz w:val="22"/>
        </w:rPr>
        <w:t>3. Code execution</w:t>
      </w:r>
    </w:p>
    <w:tbl>
      <w:tblPr>
        <w:tblW w:type="auto" w:w="0"/>
        <w:jc w:val="center"/>
        <w:tblLook w:firstColumn="1" w:firstRow="1" w:lastColumn="0" w:lastRow="0" w:noHBand="0" w:noVBand="1" w:val="04A0"/>
      </w:tblPr>
      <w:tblGrid>
        <w:gridCol w:w="9360"/>
      </w:tblGrid>
      <w:tr>
        <w:tc>
          <w:tcPr>
            <w:tcW w:type="dxa" w:w="9360"/>
            <w:shd w:fill="F4F6F8"/>
          </w:tcPr>
          <w:p>
            <w:pPr>
              <w:spacing w:after="0" w:line="240" w:lineRule="auto"/>
            </w:pPr>
            <w:r/>
            <w:r>
              <w:rPr>
                <w:rFonts w:ascii="Consolas" w:hAnsi="Consolas"/>
                <w:sz w:val="17"/>
              </w:rPr>
              <w:t>Plot capability coverage against planned enrolment for all assessed sites</w:t>
            </w:r>
          </w:p>
          <w:p>
            <w:pPr>
              <w:spacing w:after="0" w:line="240" w:lineRule="auto"/>
            </w:pPr>
            <w:r>
              <w:rPr>
                <w:rFonts w:ascii="Consolas" w:hAnsi="Consolas"/>
                <w:sz w:val="17"/>
              </w:rPr>
              <w:t>and highlight any site that is high enrolment but low coverage.</w:t>
            </w:r>
          </w:p>
        </w:tc>
      </w:tr>
    </w:tbl>
    <w:p>
      <w:pPr>
        <w:spacing w:after="40"/>
      </w:pPr>
    </w:p>
    <w:p>
      <w:r>
        <w:rPr>
          <w:b w:val="0"/>
          <w:i w:val="0"/>
        </w:rPr>
        <w:t>This one cannot be answered without writing code. Expect the agent to retrieve the numbers with SQL, then write and run Python to compute the split and flag the quadrant, then render the chart. Three tools in one answer.</w:t>
      </w:r>
    </w:p>
    <w:p>
      <w:r>
        <w:rPr>
          <w:b w:val="0"/>
          <w:i w:val="0"/>
        </w:rPr>
        <w:t xml:space="preserve">Expected result: </w:t>
      </w:r>
      <w:r>
        <w:rPr>
          <w:b/>
          <w:i w:val="0"/>
        </w:rPr>
        <w:t>SITE_007 Pune</w:t>
      </w:r>
      <w:r>
        <w:rPr>
          <w:b w:val="0"/>
          <w:i w:val="0"/>
        </w:rPr>
        <w:t xml:space="preserve"> and </w:t>
      </w:r>
      <w:r>
        <w:rPr>
          <w:b/>
          <w:i w:val="0"/>
        </w:rPr>
        <w:t>SITE_005 Krakow</w:t>
      </w:r>
      <w:r>
        <w:rPr>
          <w:b w:val="0"/>
          <w:i w:val="0"/>
        </w:rPr>
        <w:t xml:space="preserve"> flagged, both above median enrolment at 67% coverage.</w:t>
      </w:r>
    </w:p>
    <w:p>
      <w:pPr>
        <w:spacing w:before="220" w:after="60"/>
      </w:pPr>
      <w:r>
        <w:rPr>
          <w:b/>
          <w:color w:val="1A2430"/>
          <w:sz w:val="22"/>
        </w:rPr>
        <w:t>4. Your own question</w:t>
      </w:r>
    </w:p>
    <w:p>
      <w:r>
        <w:rPr>
          <w:b w:val="0"/>
          <w:i w:val="0"/>
        </w:rPr>
        <w:t>Anything you like. This is the part worth your remaining time in this step.</w:t>
      </w:r>
    </w:p>
    <w:p>
      <w:r>
        <w:rPr>
          <w:b w:val="0"/>
          <w:i w:val="0"/>
        </w:rPr>
        <w:t xml:space="preserve">After each answer, expand the </w:t>
      </w:r>
      <w:r>
        <w:rPr>
          <w:b/>
          <w:i w:val="0"/>
        </w:rPr>
        <w:t>reasoning</w:t>
      </w:r>
      <w:r>
        <w:rPr>
          <w:b w:val="0"/>
          <w:i w:val="0"/>
        </w:rPr>
        <w:t xml:space="preserve"> block and click </w:t>
      </w:r>
      <w:r>
        <w:rPr>
          <w:b/>
          <w:i w:val="0"/>
        </w:rPr>
        <w:t>Show SQL</w:t>
      </w:r>
      <w:r>
        <w:rPr>
          <w:b w:val="0"/>
          <w:i w:val="0"/>
        </w:rPr>
        <w:t>. You are looking at the tool choice being made, and at the actual query or code that produced the number.</w:t>
      </w:r>
    </w:p>
    <w:tbl>
      <w:tblPr>
        <w:tblW w:type="auto" w:w="0"/>
        <w:tblLook w:firstColumn="1" w:firstRow="1" w:lastColumn="0" w:lastRow="0" w:noHBand="0" w:noVBand="1" w:val="04A0"/>
      </w:tblPr>
      <w:tblGrid>
        <w:gridCol w:w="9360"/>
      </w:tblGrid>
      <w:tr>
        <w:tc>
          <w:tcPr>
            <w:tcW w:type="dxa" w:w="9360"/>
            <w:shd w:fill="FFF4E5"/>
          </w:tcPr>
          <w:p>
            <w:pPr>
              <w:spacing w:after="0"/>
            </w:pPr>
            <w:r/>
            <w:r>
              <w:rPr>
                <w:b/>
                <w:sz w:val="20"/>
              </w:rPr>
              <w:t xml:space="preserve">Two ways this fails quietly  </w:t>
            </w:r>
            <w:r>
              <w:rPr>
                <w:b/>
                <w:sz w:val="20"/>
              </w:rPr>
              <w:t>Owner's rights invocation silently removes code execution.</w:t>
            </w:r>
            <w:r>
              <w:rPr>
                <w:b w:val="0"/>
                <w:sz w:val="20"/>
              </w:rPr>
              <w:t xml:space="preserve"> Call an agent from an owner's rights stored procedure and the sandbox is never created, the tool is stripped from the request, and the agent simply answers in prose. There is no error - it looks like the model chose not to write code. Separately, </w:t>
            </w:r>
            <w:r>
              <w:rPr>
                <w:b/>
                <w:sz w:val="20"/>
              </w:rPr>
              <w:t>code_toolset_all and code_execution are mutually exclusive</w:t>
            </w:r>
            <w:r>
              <w:rPr>
                <w:b w:val="0"/>
                <w:sz w:val="20"/>
              </w:rPr>
              <w:t>; specifying both returns an error.</w:t>
            </w:r>
          </w:p>
        </w:tc>
      </w:tr>
    </w:tbl>
    <w:p>
      <w:pPr>
        <w:spacing w:after="40"/>
      </w:pPr>
    </w:p>
    <w:p>
      <w:r>
        <w:br w:type="page"/>
      </w:r>
    </w:p>
    <w:p>
      <w:pPr>
        <w:spacing w:before="400" w:after="160"/>
      </w:pPr>
      <w:r>
        <w:rPr>
          <w:b/>
          <w:color w:val="11567F"/>
          <w:sz w:val="38"/>
        </w:rPr>
        <w:t>Step 6: Deploy the app</w:t>
      </w:r>
    </w:p>
    <w:p>
      <w:r>
        <w:rPr>
          <w:b/>
          <w:i w:val="0"/>
        </w:rPr>
        <w:t>About 11 minutes.</w:t>
      </w:r>
    </w:p>
    <w:p>
      <w:r>
        <w:rPr>
          <w:b w:val="0"/>
          <w:i w:val="0"/>
        </w:rPr>
        <w:t>The app files are already staged. You deploy it, in your account, and then change how it thinks. RUN the two cells to list the files and create the app.</w:t>
      </w:r>
    </w:p>
    <w:tbl>
      <w:tblPr>
        <w:tblW w:type="auto" w:w="0"/>
        <w:tblLook w:firstColumn="1" w:firstRow="1" w:lastColumn="0" w:lastRow="0" w:noHBand="0" w:noVBand="1" w:val="04A0"/>
      </w:tblPr>
      <w:tblGrid>
        <w:gridCol w:w="9360"/>
      </w:tblGrid>
      <w:tr>
        <w:tc>
          <w:tcPr>
            <w:tcW w:type="dxa" w:w="9360"/>
            <w:shd w:fill="FFF4E5"/>
          </w:tcPr>
          <w:p>
            <w:pPr>
              <w:spacing w:after="0"/>
            </w:pPr>
            <w:r/>
            <w:r>
              <w:rPr>
                <w:b/>
                <w:sz w:val="20"/>
              </w:rPr>
              <w:t xml:space="preserve">If the deploy errors  </w:t>
            </w:r>
            <w:r>
              <w:rPr>
                <w:b w:val="0"/>
                <w:sz w:val="20"/>
              </w:rPr>
              <w:t>If it fails because the compute pool is unavailable, delete the RUNTIME_NAME and COMPUTE_POOL lines from the cell and rerun. Three of the four pages work unchanged - pypdfium2 is in the Anaconda channel, so Document review still renders its PDFs. The Ask page will not work: Cortex Agent API calls need the OAuth token Snowflake writes into a container, and warehouse runtime has no such token. If you land on the fallback, demonstrate the agent in Snowsight or CoWork instead and say why.</w:t>
            </w:r>
          </w:p>
        </w:tc>
      </w:tr>
    </w:tbl>
    <w:p>
      <w:pPr>
        <w:spacing w:after="40"/>
      </w:pPr>
    </w:p>
    <w:p>
      <w:pPr>
        <w:spacing w:before="280" w:after="100"/>
      </w:pPr>
      <w:r>
        <w:rPr>
          <w:b/>
          <w:color w:val="11567F"/>
          <w:sz w:val="26"/>
        </w:rPr>
        <w:t>While it builds</w:t>
      </w:r>
    </w:p>
    <w:p>
      <w:r>
        <w:rPr>
          <w:b w:val="0"/>
          <w:i w:val="0"/>
        </w:rPr>
        <w:t>The first deploy takes a couple of minutes. Rather than watch a spinner, this is the moment to explain what the statement actually did.</w:t>
      </w:r>
    </w:p>
    <w:p>
      <w:r>
        <w:rPr>
          <w:b/>
          <w:i w:val="0"/>
        </w:rPr>
        <w:t>Two runtimes, one object.</w:t>
      </w:r>
      <w:r>
        <w:rPr>
          <w:b w:val="0"/>
          <w:i w:val="0"/>
        </w:rPr>
        <w:t xml:space="preserve"> A Streamlit app in Snowflake runs either on your warehouse or in a container. Warehouse runtime starts fast and draws packages from the Snowflake Anaconda channel. Container runtime gives you a real Python environment on a compute pool: any PyPI package, more memory, and Streamlit features the warehouse runtime does not carry. This app needs one of those. The Document review page renders the survey PDF itself, server side, with pypdfium2 - a PyPI wheel the Anaconda channel does not carry. That single dependency is why the lab is on containers.</w:t>
      </w:r>
    </w:p>
    <w:p>
      <w:r>
        <w:rPr>
          <w:b w:val="0"/>
          <w:i w:val="0"/>
        </w:rPr>
        <w:t>Three clauses in the deploy statement are doing the work:</w:t>
      </w:r>
    </w:p>
    <w:p>
      <w:pPr>
        <w:pStyle w:val="ListBullet"/>
        <w:spacing w:after="60"/>
        <w:ind w:left="403"/>
      </w:pPr>
      <w:r>
        <w:rPr>
          <w:b/>
        </w:rPr>
        <w:t>COMPUTE_POOL</w:t>
      </w:r>
      <w:r>
        <w:rPr>
          <w:b w:val="0"/>
        </w:rPr>
        <w:t xml:space="preserve"> - the container needs somewhere to run. The pool is shared and already awake, which is why the wait is two minutes and not five.</w:t>
      </w:r>
    </w:p>
    <w:p>
      <w:pPr>
        <w:pStyle w:val="ListBullet"/>
        <w:spacing w:after="60"/>
        <w:ind w:left="403"/>
      </w:pPr>
      <w:r>
        <w:rPr>
          <w:b/>
        </w:rPr>
        <w:t>EXTERNAL_ACCESS_INTEGRATIONS</w:t>
      </w:r>
      <w:r>
        <w:rPr>
          <w:b w:val="0"/>
        </w:rPr>
        <w:t xml:space="preserve"> - container runtime resolves dependencies from </w:t>
      </w:r>
      <w:r>
        <w:rPr>
          <w:b/>
        </w:rPr>
        <w:t>PyPI</w:t>
      </w:r>
      <w:r>
        <w:rPr>
          <w:b w:val="0"/>
        </w:rPr>
        <w:t>, not the Anaconda channel, so it needs egress. Egress in Snowflake is never implicit: you define a network rule listing exactly which hosts are reachable, wrap it in an integration, and grant that. Without it the build fails with a DNS error, which looks like a network fault and is actually a governance control working.</w:t>
      </w:r>
    </w:p>
    <w:p>
      <w:pPr>
        <w:pStyle w:val="ListBullet"/>
        <w:spacing w:after="60"/>
        <w:ind w:left="403"/>
      </w:pPr>
      <w:r>
        <w:rPr>
          <w:b/>
        </w:rPr>
        <w:t>FROM, not ROOT_LOCATION</w:t>
      </w:r>
      <w:r>
        <w:rPr>
          <w:b w:val="0"/>
        </w:rPr>
        <w:t xml:space="preserve"> - FROM copies the files into a versioned stage inside the Streamlit object. ROOT_LOCATION is legacy and cannot use the container runtime at all, so older examples will not work here.</w:t>
      </w:r>
    </w:p>
    <w:p>
      <w:r>
        <w:rPr>
          <w:b w:val="0"/>
          <w:i w:val="0"/>
        </w:rPr>
        <w:t>And ADD LIVE VERSION FROM LAST. A newly created app has a version but no live one. Skip that line and the first click lands on a blank app.</w:t>
      </w:r>
    </w:p>
    <w:p>
      <w:pPr>
        <w:spacing w:before="280" w:after="100"/>
      </w:pPr>
      <w:r>
        <w:rPr>
          <w:b/>
          <w:color w:val="11567F"/>
          <w:sz w:val="26"/>
        </w:rPr>
        <w:t>Four things to look at</w:t>
      </w:r>
    </w:p>
    <w:p>
      <w:r>
        <w:rPr>
          <w:b w:val="0"/>
          <w:i w:val="0"/>
        </w:rPr>
        <w:t xml:space="preserve">Go to </w:t>
      </w:r>
      <w:r>
        <w:rPr>
          <w:b/>
          <w:i w:val="0"/>
        </w:rPr>
        <w:t>Projects</w:t>
      </w:r>
      <w:r>
        <w:rPr>
          <w:b w:val="0"/>
          <w:i w:val="0"/>
        </w:rPr>
        <w:t xml:space="preserve">, then </w:t>
      </w:r>
      <w:r>
        <w:rPr>
          <w:b/>
          <w:i w:val="0"/>
        </w:rPr>
        <w:t>Streamlit</w:t>
      </w:r>
      <w:r>
        <w:rPr>
          <w:b w:val="0"/>
          <w:i w:val="0"/>
        </w:rPr>
        <w:t>, then MY_SITE_SHORTLIST.</w:t>
      </w:r>
    </w:p>
    <w:p>
      <w:pPr>
        <w:spacing w:before="220" w:after="60"/>
      </w:pPr>
      <w:r>
        <w:rPr>
          <w:b/>
          <w:color w:val="1A2430"/>
          <w:sz w:val="22"/>
        </w:rPr>
        <w:t>1. The portfolio, and why nothing is at 100 percent</w:t>
      </w:r>
    </w:p>
    <w:p>
      <w:r>
        <w:rPr>
          <w:b w:val="0"/>
          <w:i w:val="0"/>
        </w:rPr>
        <w:t>The headline is how many of each study's required items each site can actually provide. Requirements are not a fixed list - each study declares its own in RAW.STUDIES.REQUIRED_ITEMS, so the same site is measured against a different bar depending on what is being asked of it. Only one site in the portfolio meets every requirement of its study.</w:t>
      </w:r>
    </w:p>
    <w:p>
      <w:pPr>
        <w:spacing w:before="220" w:after="60"/>
      </w:pPr>
      <w:r>
        <w:rPr>
          <w:b/>
          <w:color w:val="1A2430"/>
          <w:sz w:val="22"/>
        </w:rPr>
        <w:t>2. SITE_009 New Delhi, 6 of 7</w:t>
      </w:r>
    </w:p>
    <w:p>
      <w:r>
        <w:rPr>
          <w:b w:val="0"/>
          <w:i w:val="0"/>
        </w:rPr>
        <w:t>Top of the shortlist on score, and still short one item. Open it. The missing item is X-Ray and the evidence line says EXTRACTED - the survey was asked and said no. That is a known gap, not a data problem. Contrast it with a DERIVED_ABSENT row, where the study requires something the survey never mentioned. Both count against the site; only one of them is a fact the site told you.</w:t>
      </w:r>
    </w:p>
    <w:p>
      <w:pPr>
        <w:spacing w:before="220" w:after="60"/>
      </w:pPr>
      <w:r>
        <w:rPr>
          <w:b/>
          <w:color w:val="1A2430"/>
          <w:sz w:val="22"/>
        </w:rPr>
        <w:t>3. The score is a judgement, not a standard</w:t>
      </w:r>
    </w:p>
    <w:p>
      <w:r>
        <w:rPr>
          <w:b w:val="0"/>
          <w:i w:val="0"/>
        </w:rPr>
        <w:t>It combines requirements met, planned enrolment and startup speed, and the app shows the weights on the page. Those weights are a choice about what the programme values.</w:t>
      </w:r>
    </w:p>
    <w:tbl>
      <w:tblPr>
        <w:tblStyle w:val="TableGrid"/>
        <w:tblW w:type="auto" w:w="0"/>
        <w:jc w:val="center"/>
        <w:tblLook w:firstColumn="1" w:firstRow="1" w:lastColumn="0" w:lastRow="0" w:noHBand="0" w:noVBand="1" w:val="04A0"/>
      </w:tblPr>
      <w:tblGrid>
        <w:gridCol w:w="3120"/>
        <w:gridCol w:w="3120"/>
        <w:gridCol w:w="3120"/>
      </w:tblGrid>
      <w:tr>
        <w:tc>
          <w:tcPr>
            <w:tcW w:type="dxa" w:w="2736"/>
            <w:shd w:fill="11567F"/>
          </w:tcPr>
          <w:p>
            <w:pPr>
              <w:spacing w:after="0"/>
            </w:pPr>
            <w:r/>
            <w:r>
              <w:rPr>
                <w:b/>
                <w:color w:val="FFFFFF"/>
                <w:sz w:val="19"/>
              </w:rPr>
              <w:t>Weighting</w:t>
            </w:r>
          </w:p>
        </w:tc>
        <w:tc>
          <w:tcPr>
            <w:tcW w:type="dxa" w:w="2736"/>
            <w:shd w:fill="11567F"/>
          </w:tcPr>
          <w:p>
            <w:pPr>
              <w:spacing w:after="0"/>
            </w:pPr>
            <w:r/>
            <w:r>
              <w:rPr>
                <w:b/>
                <w:color w:val="FFFFFF"/>
                <w:sz w:val="19"/>
              </w:rPr>
              <w:t>Who comes top</w:t>
            </w:r>
          </w:p>
        </w:tc>
        <w:tc>
          <w:tcPr>
            <w:tcW w:type="dxa" w:w="3744"/>
            <w:shd w:fill="11567F"/>
          </w:tcPr>
          <w:p>
            <w:pPr>
              <w:spacing w:after="0"/>
            </w:pPr>
            <w:r/>
            <w:r>
              <w:rPr>
                <w:b/>
                <w:color w:val="FFFFFF"/>
                <w:sz w:val="19"/>
              </w:rPr>
              <w:t>Why</w:t>
            </w:r>
          </w:p>
        </w:tc>
      </w:tr>
      <w:tr>
        <w:tc>
          <w:tcPr>
            <w:tcW w:type="dxa" w:w="2736"/>
          </w:tcPr>
          <w:p>
            <w:pPr>
              <w:spacing w:after="0"/>
            </w:pPr>
            <w:r/>
            <w:r>
              <w:rPr>
                <w:b w:val="0"/>
                <w:sz w:val="19"/>
              </w:rPr>
              <w:t>Balanced (the default)</w:t>
            </w:r>
          </w:p>
        </w:tc>
        <w:tc>
          <w:tcPr>
            <w:tcW w:type="dxa" w:w="2736"/>
          </w:tcPr>
          <w:p>
            <w:pPr>
              <w:spacing w:after="0"/>
            </w:pPr>
            <w:r/>
            <w:r>
              <w:rPr>
                <w:b w:val="0"/>
                <w:sz w:val="19"/>
              </w:rPr>
              <w:t>SITE_009 New Delhi</w:t>
            </w:r>
          </w:p>
        </w:tc>
        <w:tc>
          <w:tcPr>
            <w:tcW w:type="dxa" w:w="3744"/>
          </w:tcPr>
          <w:p>
            <w:pPr>
              <w:spacing w:after="0"/>
            </w:pPr>
            <w:r/>
            <w:r>
              <w:rPr>
                <w:b w:val="0"/>
                <w:sz w:val="19"/>
              </w:rPr>
              <w:t>Highest planned enrolment, fastest startup</w:t>
            </w:r>
          </w:p>
        </w:tc>
      </w:tr>
      <w:tr>
        <w:tc>
          <w:tcPr>
            <w:tcW w:type="dxa" w:w="2736"/>
          </w:tcPr>
          <w:p>
            <w:pPr>
              <w:spacing w:after="0"/>
            </w:pPr>
            <w:r/>
            <w:r>
              <w:rPr>
                <w:b w:val="0"/>
                <w:sz w:val="19"/>
              </w:rPr>
              <w:t>Requirements-heavy</w:t>
            </w:r>
          </w:p>
        </w:tc>
        <w:tc>
          <w:tcPr>
            <w:tcW w:type="dxa" w:w="2736"/>
          </w:tcPr>
          <w:p>
            <w:pPr>
              <w:spacing w:after="0"/>
            </w:pPr>
            <w:r/>
            <w:r>
              <w:rPr>
                <w:b w:val="0"/>
                <w:sz w:val="19"/>
              </w:rPr>
              <w:t>SITE_001 Chennai</w:t>
            </w:r>
          </w:p>
        </w:tc>
        <w:tc>
          <w:tcPr>
            <w:tcW w:type="dxa" w:w="3744"/>
          </w:tcPr>
          <w:p>
            <w:pPr>
              <w:spacing w:after="0"/>
            </w:pPr>
            <w:r/>
            <w:r>
              <w:rPr>
                <w:b w:val="0"/>
                <w:sz w:val="19"/>
              </w:rPr>
              <w:t>The only site meeting every requirement</w:t>
            </w:r>
          </w:p>
        </w:tc>
      </w:tr>
    </w:tbl>
    <w:p>
      <w:pPr>
        <w:spacing w:after="40"/>
      </w:pPr>
    </w:p>
    <w:p>
      <w:r>
        <w:rPr>
          <w:b w:val="0"/>
          <w:i w:val="0"/>
        </w:rPr>
        <w:t>Neither is wrong. The ranking should be arguable, and visible enough to argue with - which is why it is on the page rather than buried in a spreadsheet formula nobody has opened in two years.</w:t>
      </w:r>
    </w:p>
    <w:p>
      <w:pPr>
        <w:spacing w:before="220" w:after="60"/>
      </w:pPr>
      <w:r>
        <w:rPr>
          <w:b/>
          <w:color w:val="1A2430"/>
          <w:sz w:val="22"/>
        </w:rPr>
        <w:t>4. Document review, the trust page</w:t>
      </w:r>
    </w:p>
    <w:p>
      <w:r>
        <w:rPr>
          <w:b w:val="0"/>
          <w:i w:val="0"/>
        </w:rPr>
        <w:t>The signed PDF on the left, what the model extracted from it on the right. This is the page that decides whether anyone believes the other three. A business user does not want an accuracy metric; they want to see the ticked box and the row it produced, side by side, on a document they recognise. Everything upstream in this lab exists to make this page true.</w:t>
      </w:r>
    </w:p>
    <w:p>
      <w:r>
        <w:rPr>
          <w:b w:val="0"/>
          <w:i w:val="0"/>
        </w:rPr>
        <w:t xml:space="preserve">Then use </w:t>
      </w:r>
      <w:r>
        <w:rPr>
          <w:b/>
          <w:i w:val="0"/>
        </w:rPr>
        <w:t>Ask</w:t>
      </w:r>
      <w:r>
        <w:rPr>
          <w:b w:val="0"/>
          <w:i w:val="0"/>
        </w:rPr>
        <w:t xml:space="preserve"> for the question that needs both halves: *shortlist sites for the cardiology study and tell me what the investigators are worried about*. The shortlist comes from the semantic view, the concerns from the search service, in one answer.</w:t>
      </w:r>
    </w:p>
    <w:tbl>
      <w:tblPr>
        <w:tblW w:type="auto" w:w="0"/>
        <w:tblLook w:firstColumn="1" w:firstRow="1" w:lastColumn="0" w:lastRow="0" w:noHBand="0" w:noVBand="1" w:val="04A0"/>
      </w:tblPr>
      <w:tblGrid>
        <w:gridCol w:w="9360"/>
      </w:tblGrid>
      <w:tr>
        <w:tc>
          <w:tcPr>
            <w:tcW w:type="dxa" w:w="9360"/>
            <w:shd w:fill="E8F5EC"/>
          </w:tcPr>
          <w:p>
            <w:pPr>
              <w:spacing w:after="0"/>
            </w:pPr>
            <w:r/>
            <w:r>
              <w:rPr>
                <w:b/>
                <w:sz w:val="20"/>
              </w:rPr>
              <w:t xml:space="preserve">Checkpoint 5  </w:t>
            </w:r>
            <w:r>
              <w:rPr>
                <w:b w:val="0"/>
                <w:sz w:val="20"/>
              </w:rPr>
              <w:t>The checkpoint cells should print PASS with your app deployed.</w:t>
            </w:r>
          </w:p>
        </w:tc>
      </w:tr>
    </w:tbl>
    <w:p>
      <w:pPr>
        <w:spacing w:after="40"/>
      </w:pPr>
    </w:p>
    <w:p>
      <w:r>
        <w:br w:type="page"/>
      </w:r>
    </w:p>
    <w:p>
      <w:pPr>
        <w:spacing w:before="400" w:after="160"/>
      </w:pPr>
      <w:r>
        <w:rPr>
          <w:b/>
          <w:color w:val="11567F"/>
          <w:sz w:val="38"/>
        </w:rPr>
        <w:t>Step 7: What you built</w:t>
      </w:r>
    </w:p>
    <w:p>
      <w:r>
        <w:rPr>
          <w:b/>
          <w:i w:val="0"/>
        </w:rPr>
        <w:t>About 3 minutes.</w:t>
      </w:r>
      <w:r>
        <w:rPr>
          <w:b w:val="0"/>
          <w:i w:val="0"/>
        </w:rPr>
        <w:t xml:space="preserve"> Starting from 10 PDFs on a stage:</w:t>
      </w:r>
    </w:p>
    <w:p>
      <w:pPr>
        <w:pStyle w:val="ListNumber"/>
        <w:spacing w:after="60"/>
        <w:ind w:left="403"/>
      </w:pPr>
      <w:r>
        <w:rPr>
          <w:b/>
        </w:rPr>
        <w:t>Extracted</w:t>
      </w:r>
      <w:r>
        <w:rPr>
          <w:b w:val="0"/>
        </w:rPr>
        <w:t xml:space="preserve"> structured capability data with a single AI_EXTRACT call reading the page image directly, with a calibrated confidence score on every field.</w:t>
      </w:r>
    </w:p>
    <w:p>
      <w:pPr>
        <w:pStyle w:val="ListNumber"/>
        <w:spacing w:after="60"/>
        <w:ind w:left="403"/>
      </w:pPr>
      <w:r>
        <w:rPr>
          <w:b/>
        </w:rPr>
        <w:t>Normalised</w:t>
      </w:r>
      <w:r>
        <w:rPr>
          <w:b w:val="0"/>
        </w:rPr>
        <w:t xml:space="preserve"> free-text item names against a controlled vocabulary with one deterministic embedding join, and derived capability while respecting question polarity.</w:t>
      </w:r>
    </w:p>
    <w:p>
      <w:pPr>
        <w:pStyle w:val="ListNumber"/>
        <w:spacing w:after="60"/>
        <w:ind w:left="403"/>
      </w:pPr>
      <w:r>
        <w:rPr>
          <w:b/>
        </w:rPr>
        <w:t>Scored</w:t>
      </w:r>
      <w:r>
        <w:rPr>
          <w:b w:val="0"/>
        </w:rPr>
        <w:t xml:space="preserve"> the result against ground truth, so the pipeline's accuracy is a number rather than a hope.</w:t>
      </w:r>
    </w:p>
    <w:p>
      <w:pPr>
        <w:pStyle w:val="ListNumber"/>
        <w:spacing w:after="60"/>
        <w:ind w:left="403"/>
      </w:pPr>
      <w:r>
        <w:rPr>
          <w:b/>
        </w:rPr>
        <w:t>Modelled</w:t>
      </w:r>
      <w:r>
        <w:rPr>
          <w:b w:val="0"/>
        </w:rPr>
        <w:t xml:space="preserve"> it as a semantic view carrying the business rules, so coverage is never averaged and unassessed is never confused with incapable.</w:t>
      </w:r>
    </w:p>
    <w:p>
      <w:pPr>
        <w:pStyle w:val="ListNumber"/>
        <w:spacing w:after="60"/>
        <w:ind w:left="403"/>
      </w:pPr>
      <w:r>
        <w:rPr>
          <w:b/>
        </w:rPr>
        <w:t>Asked</w:t>
      </w:r>
      <w:r>
        <w:rPr>
          <w:b w:val="0"/>
        </w:rPr>
        <w:t xml:space="preserve"> an agent that chose between structured query, document search and writing its own Python.</w:t>
      </w:r>
    </w:p>
    <w:p>
      <w:pPr>
        <w:pStyle w:val="ListNumber"/>
        <w:spacing w:after="60"/>
        <w:ind w:left="403"/>
      </w:pPr>
      <w:r>
        <w:rPr>
          <w:b/>
        </w:rPr>
        <w:t>Deployed</w:t>
      </w:r>
      <w:r>
        <w:rPr>
          <w:b w:val="0"/>
        </w:rPr>
        <w:t xml:space="preserve"> an app on Snowpark Container Services and changed the judgement encoded in its ranking.</w:t>
      </w:r>
    </w:p>
    <w:p>
      <w:r>
        <w:rPr>
          <w:b w:val="0"/>
          <w:i w:val="0"/>
        </w:rPr>
        <w:t>What this replaces is a person reading PDFs and typing into a spreadsheet, for weeks per study, with no audit trail back to the source page.</w:t>
      </w:r>
    </w:p>
    <w:p>
      <w:r>
        <w:rPr>
          <w:b w:val="0"/>
          <w:i w:val="0"/>
        </w:rPr>
        <w:t>Every number in that app traces to an extracted field, with a confidence score and the original wording preserved. When somebody asks *why is Pune at 67%*, the answer is three clicks away rather than a re-read of the PDF.</w:t>
      </w:r>
    </w:p>
    <w:p>
      <w:pPr>
        <w:spacing w:before="280" w:after="100"/>
      </w:pPr>
      <w:r>
        <w:rPr>
          <w:b/>
          <w:color w:val="11567F"/>
          <w:sz w:val="26"/>
        </w:rPr>
        <w:t>Where to take it next</w:t>
      </w:r>
    </w:p>
    <w:p>
      <w:pPr>
        <w:pStyle w:val="ListBullet"/>
        <w:spacing w:after="60"/>
        <w:ind w:left="403"/>
      </w:pPr>
      <w:r>
        <w:rPr>
          <w:b/>
        </w:rPr>
        <w:t>Fine-tune arctic-extract on your own document set.</w:t>
      </w:r>
      <w:r>
        <w:rPr>
          <w:b w:val="0"/>
        </w:rPr>
        <w:t xml:space="preserve"> The layouts that fail hardest are exactly the ones worth training on. See Appendix A.</w:t>
      </w:r>
    </w:p>
    <w:p>
      <w:pPr>
        <w:pStyle w:val="ListBullet"/>
        <w:spacing w:after="60"/>
        <w:ind w:left="403"/>
      </w:pPr>
      <w:r>
        <w:rPr>
          <w:b/>
        </w:rPr>
        <w:t>Route low-confidence extractions to human review</w:t>
      </w:r>
      <w:r>
        <w:rPr>
          <w:b w:val="0"/>
        </w:rPr>
        <w:t xml:space="preserve"> rather than treating all output as equal. The 0.70 threshold in this lab is evidence based and yours should be too.</w:t>
      </w:r>
    </w:p>
    <w:p>
      <w:pPr>
        <w:pStyle w:val="ListBullet"/>
        <w:spacing w:after="60"/>
        <w:ind w:left="403"/>
      </w:pPr>
      <w:r>
        <w:rPr>
          <w:b/>
        </w:rPr>
        <w:t>Index the survey corpus across studies</w:t>
      </w:r>
      <w:r>
        <w:rPr>
          <w:b w:val="0"/>
        </w:rPr>
        <w:t>, so a question like *which sites have ever mentioned freezer capacity* spans your whole history rather than one protocol.</w:t>
      </w:r>
    </w:p>
    <w:p>
      <w:pPr>
        <w:pStyle w:val="ListBullet"/>
        <w:spacing w:after="60"/>
        <w:ind w:left="403"/>
      </w:pPr>
      <w:r>
        <w:rPr>
          <w:b/>
        </w:rPr>
        <w:t>Put the pipeline behind a stream and a task</w:t>
      </w:r>
      <w:r>
        <w:rPr>
          <w:b w:val="0"/>
        </w:rPr>
        <w:t xml:space="preserve"> so a new survey landing on the stage updates the portfolio without anyone opening a notebook.</w:t>
      </w:r>
    </w:p>
    <w:p>
      <w:r>
        <w:br w:type="page"/>
      </w:r>
    </w:p>
    <w:p>
      <w:pPr>
        <w:spacing w:before="400" w:after="160"/>
      </w:pPr>
      <w:r>
        <w:rPr>
          <w:b/>
          <w:color w:val="11567F"/>
          <w:sz w:val="38"/>
        </w:rPr>
        <w:t>Appendix A: Why the real world is harder</w:t>
      </w:r>
    </w:p>
    <w:p>
      <w:r>
        <w:rPr>
          <w:b w:val="0"/>
          <w:i w:val="0"/>
        </w:rPr>
        <w:t>The documents in this lab were purpose-built to be unambiguous, and the pipeline scores 100% on them. That is a statement about the documents, not about the technique. It is worth being precise about the gap.</w:t>
      </w:r>
    </w:p>
    <w:p>
      <w:pPr>
        <w:spacing w:before="280" w:after="100"/>
      </w:pPr>
      <w:r>
        <w:rPr>
          <w:b/>
          <w:color w:val="11567F"/>
          <w:sz w:val="26"/>
        </w:rPr>
        <w:t>What changes on real documents</w:t>
      </w:r>
    </w:p>
    <w:p>
      <w:r>
        <w:rPr>
          <w:b w:val="0"/>
          <w:i w:val="0"/>
        </w:rPr>
        <w:t>Published benchmarks on real-world feasibility and form extraction typically land somewhere in the 0.7 to 0.8 F1 range, not at 1.0. The gap between that and this lab is not a failure of the approach. It is what handwriting, scanned pages, inconsistent question ordering and position-dependent marks do to extraction.</w:t>
      </w:r>
    </w:p>
    <w:p>
      <w:r>
        <w:rPr>
          <w:b w:val="0"/>
          <w:i w:val="0"/>
        </w:rPr>
        <w:t>Expect to lose accuracy on any of the following, and design for it rather than discovering it late:</w:t>
      </w:r>
    </w:p>
    <w:p>
      <w:pPr>
        <w:pStyle w:val="ListBullet"/>
        <w:spacing w:after="60"/>
        <w:ind w:left="403"/>
      </w:pPr>
      <w:r>
        <w:rPr>
          <w:b/>
        </w:rPr>
        <w:t>Handwriting</w:t>
      </w:r>
      <w:r>
        <w:rPr>
          <w:b w:val="0"/>
        </w:rPr>
        <w:t>, particularly in free-text comment boxes.</w:t>
      </w:r>
    </w:p>
    <w:p>
      <w:pPr>
        <w:pStyle w:val="ListBullet"/>
        <w:spacing w:after="60"/>
        <w:ind w:left="403"/>
      </w:pPr>
      <w:r>
        <w:rPr>
          <w:b/>
        </w:rPr>
        <w:t>Scanned or photographed pages</w:t>
      </w:r>
      <w:r>
        <w:rPr>
          <w:b w:val="0"/>
        </w:rPr>
        <w:t>, where skew and contrast vary page to page.</w:t>
      </w:r>
    </w:p>
    <w:p>
      <w:pPr>
        <w:pStyle w:val="ListBullet"/>
        <w:spacing w:after="60"/>
        <w:ind w:left="403"/>
      </w:pPr>
      <w:r>
        <w:rPr>
          <w:b/>
        </w:rPr>
        <w:t>Inconsistent layouts</w:t>
      </w:r>
      <w:r>
        <w:rPr>
          <w:b w:val="0"/>
        </w:rPr>
        <w:t xml:space="preserve"> across sites, countries or survey versions.</w:t>
      </w:r>
    </w:p>
    <w:p>
      <w:pPr>
        <w:pStyle w:val="ListBullet"/>
        <w:spacing w:after="60"/>
        <w:ind w:left="403"/>
      </w:pPr>
      <w:r>
        <w:rPr>
          <w:b/>
        </w:rPr>
        <w:t>Marks whose meaning depends on position</w:t>
      </w:r>
      <w:r>
        <w:rPr>
          <w:b w:val="0"/>
        </w:rPr>
        <w:t>, covered below.</w:t>
      </w:r>
    </w:p>
    <w:p>
      <w:pPr>
        <w:spacing w:before="280" w:after="100"/>
      </w:pPr>
      <w:r>
        <w:rPr>
          <w:b/>
          <w:color w:val="11567F"/>
          <w:sz w:val="26"/>
        </w:rPr>
        <w:t>A layout that was tested for this lab and dropped</w:t>
      </w:r>
    </w:p>
    <w:p>
      <w:r>
        <w:rPr>
          <w:b w:val="0"/>
          <w:i w:val="0"/>
        </w:rPr>
        <w:t>Three document layouts were built and measured while preparing this lab. Two work. One does not, and it is instructive.</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fill="11567F"/>
          </w:tcPr>
          <w:p>
            <w:pPr>
              <w:spacing w:after="0"/>
            </w:pPr>
            <w:r/>
            <w:r>
              <w:rPr>
                <w:b/>
                <w:color w:val="FFFFFF"/>
                <w:sz w:val="19"/>
              </w:rPr>
              <w:t>Layout</w:t>
            </w:r>
          </w:p>
        </w:tc>
        <w:tc>
          <w:tcPr>
            <w:tcW w:type="dxa" w:w="1728"/>
            <w:shd w:fill="11567F"/>
          </w:tcPr>
          <w:p>
            <w:pPr>
              <w:spacing w:after="0"/>
            </w:pPr>
            <w:r/>
            <w:r>
              <w:rPr>
                <w:b/>
                <w:color w:val="FFFFFF"/>
                <w:sz w:val="19"/>
              </w:rPr>
              <w:t>Accuracy</w:t>
            </w:r>
          </w:p>
        </w:tc>
        <w:tc>
          <w:tcPr>
            <w:tcW w:type="dxa" w:w="2736"/>
            <w:shd w:fill="11567F"/>
          </w:tcPr>
          <w:p>
            <w:pPr>
              <w:spacing w:after="0"/>
            </w:pPr>
            <w:r/>
            <w:r>
              <w:rPr>
                <w:b/>
                <w:color w:val="FFFFFF"/>
                <w:sz w:val="19"/>
              </w:rPr>
              <w:t>Verdict</w:t>
            </w:r>
          </w:p>
        </w:tc>
      </w:tr>
      <w:tr>
        <w:tc>
          <w:tcPr>
            <w:tcW w:type="dxa" w:w="3744"/>
          </w:tcPr>
          <w:p>
            <w:pPr>
              <w:spacing w:after="0"/>
            </w:pPr>
            <w:r/>
            <w:r>
              <w:rPr>
                <w:b w:val="0"/>
                <w:sz w:val="19"/>
              </w:rPr>
              <w:t>Long-form list of available items</w:t>
            </w:r>
          </w:p>
        </w:tc>
        <w:tc>
          <w:tcPr>
            <w:tcW w:type="dxa" w:w="1728"/>
          </w:tcPr>
          <w:p>
            <w:pPr>
              <w:spacing w:after="0"/>
            </w:pPr>
            <w:r/>
            <w:r>
              <w:rPr>
                <w:b w:val="0"/>
                <w:sz w:val="19"/>
              </w:rPr>
              <w:t>25 of 25</w:t>
            </w:r>
          </w:p>
        </w:tc>
        <w:tc>
          <w:tcPr>
            <w:tcW w:type="dxa" w:w="2736"/>
          </w:tcPr>
          <w:p>
            <w:pPr>
              <w:spacing w:after="0"/>
            </w:pPr>
            <w:r/>
            <w:r>
              <w:rPr>
                <w:b w:val="0"/>
                <w:sz w:val="19"/>
              </w:rPr>
              <w:t>Used in the lab</w:t>
            </w:r>
          </w:p>
        </w:tc>
      </w:tr>
      <w:tr>
        <w:tc>
          <w:tcPr>
            <w:tcW w:type="dxa" w:w="3744"/>
          </w:tcPr>
          <w:p>
            <w:pPr>
              <w:spacing w:after="0"/>
            </w:pPr>
            <w:r/>
            <w:r>
              <w:rPr>
                <w:b w:val="0"/>
                <w:sz w:val="19"/>
              </w:rPr>
              <w:t>Checkbox images, ticked or empty</w:t>
            </w:r>
          </w:p>
        </w:tc>
        <w:tc>
          <w:tcPr>
            <w:tcW w:type="dxa" w:w="1728"/>
          </w:tcPr>
          <w:p>
            <w:pPr>
              <w:spacing w:after="0"/>
            </w:pPr>
            <w:r/>
            <w:r>
              <w:rPr>
                <w:b w:val="0"/>
                <w:sz w:val="19"/>
              </w:rPr>
              <w:t>8 of 8</w:t>
            </w:r>
          </w:p>
        </w:tc>
        <w:tc>
          <w:tcPr>
            <w:tcW w:type="dxa" w:w="2736"/>
          </w:tcPr>
          <w:p>
            <w:pPr>
              <w:spacing w:after="0"/>
            </w:pPr>
            <w:r/>
            <w:r>
              <w:rPr>
                <w:b w:val="0"/>
                <w:sz w:val="19"/>
              </w:rPr>
              <w:t>Used in the lab</w:t>
            </w:r>
          </w:p>
        </w:tc>
      </w:tr>
      <w:tr>
        <w:tc>
          <w:tcPr>
            <w:tcW w:type="dxa" w:w="3744"/>
          </w:tcPr>
          <w:p>
            <w:pPr>
              <w:spacing w:after="0"/>
            </w:pPr>
            <w:r/>
            <w:r>
              <w:rPr>
                <w:b w:val="0"/>
                <w:sz w:val="19"/>
              </w:rPr>
              <w:t xml:space="preserve">Typed </w:t>
            </w:r>
            <w:r>
              <w:rPr>
                <w:b/>
                <w:sz w:val="19"/>
              </w:rPr>
              <w:t>x</w:t>
            </w:r>
            <w:r>
              <w:rPr>
                <w:b w:val="0"/>
                <w:sz w:val="19"/>
              </w:rPr>
              <w:t xml:space="preserve"> in a bracket, [x] versus [ ]</w:t>
            </w:r>
          </w:p>
        </w:tc>
        <w:tc>
          <w:tcPr>
            <w:tcW w:type="dxa" w:w="1728"/>
          </w:tcPr>
          <w:p>
            <w:pPr>
              <w:spacing w:after="0"/>
            </w:pPr>
            <w:r/>
            <w:r>
              <w:rPr>
                <w:b/>
                <w:sz w:val="19"/>
              </w:rPr>
              <w:t>50%</w:t>
            </w:r>
          </w:p>
        </w:tc>
        <w:tc>
          <w:tcPr>
            <w:tcW w:type="dxa" w:w="2736"/>
          </w:tcPr>
          <w:p>
            <w:pPr>
              <w:spacing w:after="0"/>
            </w:pPr>
            <w:r/>
            <w:r>
              <w:rPr>
                <w:b/>
                <w:sz w:val="19"/>
              </w:rPr>
              <w:t>Dropped</w:t>
            </w:r>
          </w:p>
        </w:tc>
      </w:tr>
    </w:tbl>
    <w:p>
      <w:pPr>
        <w:spacing w:after="40"/>
      </w:pPr>
    </w:p>
    <w:p>
      <w:r>
        <w:rPr>
          <w:b w:val="0"/>
          <w:i w:val="0"/>
        </w:rPr>
        <w:t>The typed-x layout failed in a specific and revealing way: it defaulted almost every row to available. The model could see that a mark was present in the general area but could not reliably attribute it to the correct row, because the mark is a text character whose meaning depends entirely on its position relative to a bracket.</w:t>
      </w:r>
    </w:p>
    <w:p>
      <w:r>
        <w:rPr>
          <w:b w:val="0"/>
          <w:i w:val="0"/>
        </w:rPr>
        <w:t>That 50% is roughly what a coin toss would give you, and it is the single most useful result from building this lab: the failure was silent. Nothing errored. The pipeline returned a confident, well-formed answer that happened to be wrong about half the time. Only scoring against ground truth exposed it.</w:t>
      </w:r>
    </w:p>
    <w:p>
      <w:pPr>
        <w:spacing w:before="280" w:after="100"/>
      </w:pPr>
      <w:r>
        <w:rPr>
          <w:b/>
          <w:color w:val="11567F"/>
          <w:sz w:val="26"/>
        </w:rPr>
        <w:t>What that means for your documents</w:t>
      </w:r>
    </w:p>
    <w:p>
      <w:pPr>
        <w:pStyle w:val="ListBullet"/>
        <w:spacing w:after="60"/>
        <w:ind w:left="403"/>
      </w:pPr>
      <w:r>
        <w:rPr>
          <w:b/>
        </w:rPr>
        <w:t>Measure before you trust.</w:t>
      </w:r>
      <w:r>
        <w:rPr>
          <w:b w:val="0"/>
        </w:rPr>
        <w:t xml:space="preserve"> Score a sample against ground truth before putting a pipeline into a decision path. An unscored extraction pipeline is a rumour.</w:t>
      </w:r>
    </w:p>
    <w:p>
      <w:pPr>
        <w:pStyle w:val="ListBullet"/>
        <w:spacing w:after="60"/>
        <w:ind w:left="403"/>
      </w:pPr>
      <w:r>
        <w:rPr>
          <w:b/>
        </w:rPr>
        <w:t>Layouts where the mark is a character, not a graphic, are the hard cases.</w:t>
      </w:r>
      <w:r>
        <w:rPr>
          <w:b w:val="0"/>
        </w:rPr>
        <w:t xml:space="preserve"> They are the ones to fine-tune on, and the ones to route to human review first.</w:t>
      </w:r>
    </w:p>
    <w:p>
      <w:pPr>
        <w:pStyle w:val="ListBullet"/>
        <w:spacing w:after="60"/>
        <w:ind w:left="403"/>
      </w:pPr>
      <w:r>
        <w:rPr>
          <w:b/>
        </w:rPr>
        <w:t>Use the confidence scores.</w:t>
      </w:r>
      <w:r>
        <w:rPr>
          <w:b w:val="0"/>
        </w:rPr>
        <w:t xml:space="preserve"> They are calibrated, they are free, and in testing the single wrong field in this lab scored less than half of every correct one.</w:t>
      </w:r>
    </w:p>
    <w:p>
      <w:pPr>
        <w:pStyle w:val="ListBullet"/>
        <w:spacing w:after="60"/>
        <w:ind w:left="403"/>
      </w:pPr>
      <w:r>
        <w:rPr>
          <w:b/>
        </w:rPr>
        <w:t>Keep join keys out of extraction where you can.</w:t>
      </w:r>
      <w:r>
        <w:rPr>
          <w:b w:val="0"/>
        </w:rPr>
        <w:t xml:space="preserve"> A misread identifier corrupts every downstream join silently. Take it from the filename, the folder, or the source system.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