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37794AE" w14:textId="1787E206" w:rsidR="008320B7" w:rsidRPr="008320B7" w:rsidRDefault="008320B7" w:rsidP="008320B7">
      <w:pPr>
        <w:pStyle w:val="Heading3"/>
        <w:rPr>
          <w:rStyle w:val="Strong"/>
          <w:sz w:val="32"/>
          <w:szCs w:val="32"/>
        </w:rPr>
      </w:pPr>
      <w:r w:rsidRPr="008320B7">
        <w:rPr>
          <w:sz w:val="32"/>
          <w:szCs w:val="32"/>
        </w:rPr>
        <w:t>LOAN PORTFOLIO RISK &amp; PERFORMANCE ANALYSIS USING EXCEL</w:t>
      </w:r>
    </w:p>
    <w:p w14:paraId="5D8FA728" w14:textId="77777777" w:rsidR="008320B7" w:rsidRDefault="008320B7" w:rsidP="008320B7">
      <w:pPr>
        <w:pStyle w:val="Heading3"/>
        <w:rPr>
          <w:rStyle w:val="Strong"/>
          <w:sz w:val="32"/>
          <w:szCs w:val="32"/>
        </w:rPr>
      </w:pPr>
      <w:r w:rsidRPr="0082707A">
        <w:rPr>
          <w:rStyle w:val="Strong"/>
          <w:sz w:val="32"/>
          <w:szCs w:val="32"/>
        </w:rPr>
        <w:t>Prepared by:</w:t>
      </w:r>
      <w:r w:rsidRPr="0082707A">
        <w:rPr>
          <w:sz w:val="32"/>
          <w:szCs w:val="32"/>
        </w:rPr>
        <w:t xml:space="preserve"> </w:t>
      </w:r>
      <w:r w:rsidRPr="008320B7">
        <w:rPr>
          <w:sz w:val="28"/>
          <w:szCs w:val="28"/>
        </w:rPr>
        <w:t>ATOLU AUGUSTINE NNAEMEKA</w:t>
      </w:r>
      <w:r w:rsidRPr="0082707A">
        <w:rPr>
          <w:sz w:val="32"/>
          <w:szCs w:val="32"/>
        </w:rPr>
        <w:br/>
      </w:r>
    </w:p>
    <w:p w14:paraId="6B0CA277" w14:textId="77777777" w:rsidR="008320B7" w:rsidRDefault="008320B7" w:rsidP="008320B7">
      <w:pPr>
        <w:pStyle w:val="Heading3"/>
        <w:rPr>
          <w:rStyle w:val="Strong"/>
          <w:sz w:val="32"/>
          <w:szCs w:val="32"/>
        </w:rPr>
      </w:pPr>
      <w:r w:rsidRPr="0082707A">
        <w:rPr>
          <w:rStyle w:val="Strong"/>
          <w:sz w:val="32"/>
          <w:szCs w:val="32"/>
        </w:rPr>
        <w:t>Tool Used:</w:t>
      </w:r>
      <w:r w:rsidRPr="0082707A">
        <w:rPr>
          <w:sz w:val="32"/>
          <w:szCs w:val="32"/>
        </w:rPr>
        <w:t xml:space="preserve"> Microsoft Excel</w:t>
      </w:r>
      <w:r w:rsidRPr="0082707A">
        <w:rPr>
          <w:sz w:val="32"/>
          <w:szCs w:val="32"/>
        </w:rPr>
        <w:br/>
      </w:r>
    </w:p>
    <w:p w14:paraId="5EC18F83" w14:textId="77777777" w:rsidR="008320B7" w:rsidRDefault="008320B7" w:rsidP="008320B7">
      <w:pPr>
        <w:pStyle w:val="Heading3"/>
        <w:rPr>
          <w:rStyle w:val="Strong"/>
          <w:sz w:val="32"/>
          <w:szCs w:val="32"/>
        </w:rPr>
      </w:pPr>
      <w:r w:rsidRPr="0082707A">
        <w:rPr>
          <w:rStyle w:val="Strong"/>
          <w:sz w:val="32"/>
          <w:szCs w:val="32"/>
        </w:rPr>
        <w:t>Dataset:</w:t>
      </w:r>
      <w:r w:rsidRPr="0082707A">
        <w:rPr>
          <w:sz w:val="32"/>
          <w:szCs w:val="32"/>
        </w:rPr>
        <w:t xml:space="preserve"> Bike Purchase</w:t>
      </w:r>
      <w:r>
        <w:rPr>
          <w:sz w:val="32"/>
          <w:szCs w:val="32"/>
        </w:rPr>
        <w:t xml:space="preserve"> Customer</w:t>
      </w:r>
      <w:r w:rsidRPr="0082707A">
        <w:rPr>
          <w:sz w:val="32"/>
          <w:szCs w:val="32"/>
        </w:rPr>
        <w:t xml:space="preserve"> Dataset</w:t>
      </w:r>
      <w:r w:rsidRPr="0082707A">
        <w:rPr>
          <w:sz w:val="32"/>
          <w:szCs w:val="32"/>
        </w:rPr>
        <w:br/>
      </w:r>
    </w:p>
    <w:p w14:paraId="42AB7E2A" w14:textId="78317CBE" w:rsidR="008320B7" w:rsidRPr="0082707A" w:rsidRDefault="008320B7" w:rsidP="008320B7">
      <w:pPr>
        <w:pStyle w:val="Heading3"/>
        <w:rPr>
          <w:sz w:val="32"/>
          <w:szCs w:val="32"/>
        </w:rPr>
      </w:pPr>
      <w:r w:rsidRPr="0082707A">
        <w:rPr>
          <w:rStyle w:val="Strong"/>
          <w:sz w:val="32"/>
          <w:szCs w:val="32"/>
        </w:rPr>
        <w:t>Date:</w:t>
      </w:r>
      <w:r w:rsidRPr="0082707A">
        <w:rPr>
          <w:sz w:val="32"/>
          <w:szCs w:val="32"/>
        </w:rPr>
        <w:t xml:space="preserve"> </w:t>
      </w:r>
      <w:r>
        <w:rPr>
          <w:sz w:val="32"/>
          <w:szCs w:val="32"/>
        </w:rPr>
        <w:t>24</w:t>
      </w:r>
      <w:r w:rsidRPr="0082707A">
        <w:rPr>
          <w:sz w:val="32"/>
          <w:szCs w:val="32"/>
        </w:rPr>
        <w:t>/0</w:t>
      </w:r>
      <w:r>
        <w:rPr>
          <w:sz w:val="32"/>
          <w:szCs w:val="32"/>
        </w:rPr>
        <w:t>9</w:t>
      </w:r>
      <w:r w:rsidRPr="0082707A">
        <w:rPr>
          <w:sz w:val="32"/>
          <w:szCs w:val="32"/>
        </w:rPr>
        <w:t>/2026</w:t>
      </w:r>
    </w:p>
    <w:p w14:paraId="0D886820" w14:textId="77777777" w:rsidR="008320B7" w:rsidRDefault="008320B7" w:rsidP="008320B7">
      <w:pPr>
        <w:spacing w:before="100" w:beforeAutospacing="1" w:after="100" w:afterAutospacing="1" w:line="240" w:lineRule="auto"/>
        <w:outlineLvl w:val="1"/>
        <w:rPr>
          <w:rFonts w:ascii="Times New Roman" w:eastAsia="Times New Roman" w:hAnsi="Times New Roman" w:cs="Times New Roman"/>
          <w:b/>
          <w:bCs/>
          <w:sz w:val="36"/>
          <w:szCs w:val="36"/>
        </w:rPr>
      </w:pPr>
    </w:p>
    <w:p w14:paraId="79777BF6" w14:textId="77777777" w:rsidR="008320B7" w:rsidRDefault="008320B7" w:rsidP="008320B7">
      <w:pPr>
        <w:spacing w:before="100" w:beforeAutospacing="1" w:after="100" w:afterAutospacing="1" w:line="240" w:lineRule="auto"/>
        <w:outlineLvl w:val="1"/>
        <w:rPr>
          <w:rFonts w:ascii="Times New Roman" w:eastAsia="Times New Roman" w:hAnsi="Times New Roman" w:cs="Times New Roman"/>
          <w:b/>
          <w:bCs/>
          <w:sz w:val="36"/>
          <w:szCs w:val="36"/>
        </w:rPr>
      </w:pPr>
    </w:p>
    <w:p w14:paraId="3E645AED" w14:textId="77777777" w:rsidR="008320B7" w:rsidRDefault="008320B7" w:rsidP="008320B7">
      <w:pPr>
        <w:spacing w:before="100" w:beforeAutospacing="1" w:after="100" w:afterAutospacing="1" w:line="240" w:lineRule="auto"/>
        <w:outlineLvl w:val="1"/>
        <w:rPr>
          <w:rFonts w:ascii="Times New Roman" w:eastAsia="Times New Roman" w:hAnsi="Times New Roman" w:cs="Times New Roman"/>
          <w:b/>
          <w:bCs/>
          <w:sz w:val="36"/>
          <w:szCs w:val="36"/>
        </w:rPr>
      </w:pPr>
    </w:p>
    <w:p w14:paraId="603DD958" w14:textId="77777777" w:rsidR="008320B7" w:rsidRDefault="008320B7" w:rsidP="008320B7">
      <w:pPr>
        <w:spacing w:before="100" w:beforeAutospacing="1" w:after="100" w:afterAutospacing="1" w:line="240" w:lineRule="auto"/>
        <w:outlineLvl w:val="1"/>
        <w:rPr>
          <w:rFonts w:ascii="Times New Roman" w:eastAsia="Times New Roman" w:hAnsi="Times New Roman" w:cs="Times New Roman"/>
          <w:b/>
          <w:bCs/>
          <w:sz w:val="36"/>
          <w:szCs w:val="36"/>
        </w:rPr>
      </w:pPr>
    </w:p>
    <w:p w14:paraId="747E9D0E" w14:textId="77777777" w:rsidR="008320B7" w:rsidRDefault="008320B7" w:rsidP="008320B7">
      <w:pPr>
        <w:spacing w:before="100" w:beforeAutospacing="1" w:after="100" w:afterAutospacing="1" w:line="240" w:lineRule="auto"/>
        <w:outlineLvl w:val="1"/>
        <w:rPr>
          <w:rFonts w:ascii="Times New Roman" w:eastAsia="Times New Roman" w:hAnsi="Times New Roman" w:cs="Times New Roman"/>
          <w:b/>
          <w:bCs/>
          <w:sz w:val="36"/>
          <w:szCs w:val="36"/>
        </w:rPr>
      </w:pPr>
    </w:p>
    <w:p w14:paraId="3F185F99" w14:textId="77777777" w:rsidR="008320B7" w:rsidRDefault="008320B7" w:rsidP="008320B7">
      <w:pPr>
        <w:spacing w:before="100" w:beforeAutospacing="1" w:after="100" w:afterAutospacing="1" w:line="240" w:lineRule="auto"/>
        <w:outlineLvl w:val="1"/>
        <w:rPr>
          <w:rFonts w:ascii="Times New Roman" w:eastAsia="Times New Roman" w:hAnsi="Times New Roman" w:cs="Times New Roman"/>
          <w:b/>
          <w:bCs/>
          <w:sz w:val="36"/>
          <w:szCs w:val="36"/>
        </w:rPr>
      </w:pPr>
    </w:p>
    <w:p w14:paraId="3141F385" w14:textId="77777777" w:rsidR="008320B7" w:rsidRDefault="008320B7" w:rsidP="008320B7">
      <w:pPr>
        <w:spacing w:before="100" w:beforeAutospacing="1" w:after="100" w:afterAutospacing="1" w:line="240" w:lineRule="auto"/>
        <w:outlineLvl w:val="1"/>
        <w:rPr>
          <w:rFonts w:ascii="Times New Roman" w:eastAsia="Times New Roman" w:hAnsi="Times New Roman" w:cs="Times New Roman"/>
          <w:b/>
          <w:bCs/>
          <w:sz w:val="36"/>
          <w:szCs w:val="36"/>
        </w:rPr>
      </w:pPr>
    </w:p>
    <w:p w14:paraId="794857D6" w14:textId="77777777" w:rsidR="008320B7" w:rsidRDefault="008320B7" w:rsidP="008320B7">
      <w:pPr>
        <w:spacing w:before="100" w:beforeAutospacing="1" w:after="100" w:afterAutospacing="1" w:line="240" w:lineRule="auto"/>
        <w:outlineLvl w:val="1"/>
        <w:rPr>
          <w:rFonts w:ascii="Times New Roman" w:eastAsia="Times New Roman" w:hAnsi="Times New Roman" w:cs="Times New Roman"/>
          <w:b/>
          <w:bCs/>
          <w:sz w:val="36"/>
          <w:szCs w:val="36"/>
        </w:rPr>
      </w:pPr>
    </w:p>
    <w:p w14:paraId="34714502" w14:textId="77777777" w:rsidR="008320B7" w:rsidRDefault="008320B7" w:rsidP="008320B7">
      <w:pPr>
        <w:spacing w:before="100" w:beforeAutospacing="1" w:after="100" w:afterAutospacing="1" w:line="240" w:lineRule="auto"/>
        <w:outlineLvl w:val="1"/>
        <w:rPr>
          <w:rFonts w:ascii="Times New Roman" w:eastAsia="Times New Roman" w:hAnsi="Times New Roman" w:cs="Times New Roman"/>
          <w:b/>
          <w:bCs/>
          <w:sz w:val="36"/>
          <w:szCs w:val="36"/>
        </w:rPr>
      </w:pPr>
    </w:p>
    <w:p w14:paraId="26BBD1E6" w14:textId="77777777" w:rsidR="008320B7" w:rsidRDefault="008320B7" w:rsidP="008320B7">
      <w:pPr>
        <w:spacing w:before="100" w:beforeAutospacing="1" w:after="100" w:afterAutospacing="1" w:line="240" w:lineRule="auto"/>
        <w:outlineLvl w:val="1"/>
        <w:rPr>
          <w:rFonts w:ascii="Times New Roman" w:eastAsia="Times New Roman" w:hAnsi="Times New Roman" w:cs="Times New Roman"/>
          <w:b/>
          <w:bCs/>
          <w:sz w:val="36"/>
          <w:szCs w:val="36"/>
        </w:rPr>
      </w:pPr>
    </w:p>
    <w:p w14:paraId="7F3F6697" w14:textId="77777777" w:rsidR="008320B7" w:rsidRDefault="008320B7" w:rsidP="008320B7">
      <w:pPr>
        <w:spacing w:before="100" w:beforeAutospacing="1" w:after="100" w:afterAutospacing="1" w:line="240" w:lineRule="auto"/>
        <w:outlineLvl w:val="1"/>
        <w:rPr>
          <w:rFonts w:ascii="Times New Roman" w:eastAsia="Times New Roman" w:hAnsi="Times New Roman" w:cs="Times New Roman"/>
          <w:b/>
          <w:bCs/>
          <w:sz w:val="36"/>
          <w:szCs w:val="36"/>
        </w:rPr>
      </w:pPr>
    </w:p>
    <w:p w14:paraId="1069364E" w14:textId="77777777" w:rsidR="008320B7" w:rsidRDefault="008320B7" w:rsidP="008320B7">
      <w:pPr>
        <w:spacing w:before="100" w:beforeAutospacing="1" w:after="100" w:afterAutospacing="1" w:line="240" w:lineRule="auto"/>
        <w:outlineLvl w:val="1"/>
        <w:rPr>
          <w:rFonts w:ascii="Times New Roman" w:eastAsia="Times New Roman" w:hAnsi="Times New Roman" w:cs="Times New Roman"/>
          <w:b/>
          <w:bCs/>
          <w:sz w:val="36"/>
          <w:szCs w:val="36"/>
        </w:rPr>
      </w:pPr>
    </w:p>
    <w:p w14:paraId="22715969" w14:textId="3E4FA491" w:rsidR="008320B7" w:rsidRPr="008320B7" w:rsidRDefault="008320B7" w:rsidP="008320B7">
      <w:pPr>
        <w:spacing w:before="100" w:beforeAutospacing="1" w:after="100" w:afterAutospacing="1"/>
        <w:jc w:val="both"/>
        <w:outlineLvl w:val="1"/>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lastRenderedPageBreak/>
        <w:t>1. Executive Summary</w:t>
      </w:r>
    </w:p>
    <w:p w14:paraId="717FD387" w14:textId="77777777" w:rsidR="008320B7" w:rsidRPr="008320B7" w:rsidRDefault="008320B7" w:rsidP="008320B7">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This project presents an analysis of the </w:t>
      </w:r>
      <w:r w:rsidRPr="008320B7">
        <w:rPr>
          <w:rFonts w:ascii="Times New Roman" w:eastAsia="Times New Roman" w:hAnsi="Times New Roman" w:cs="Times New Roman"/>
          <w:b/>
          <w:bCs/>
          <w:sz w:val="24"/>
          <w:szCs w:val="24"/>
        </w:rPr>
        <w:t>LOAN_INFO</w:t>
      </w:r>
      <w:r w:rsidRPr="008320B7">
        <w:rPr>
          <w:rFonts w:ascii="Times New Roman" w:eastAsia="Times New Roman" w:hAnsi="Times New Roman" w:cs="Times New Roman"/>
          <w:sz w:val="24"/>
          <w:szCs w:val="24"/>
        </w:rPr>
        <w:t xml:space="preserve"> dataset using Microsoft Excel to evaluate loan portfolio performance, credit-risk exposure, borrower characteristics, loan pricing, and outstanding financial obligations.</w:t>
      </w:r>
    </w:p>
    <w:p w14:paraId="4FE2DFB2" w14:textId="77777777" w:rsidR="008320B7" w:rsidRPr="008320B7" w:rsidRDefault="008320B7" w:rsidP="008320B7">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analysis was designed to help a financial institution understand the factors associated with loan performance and identify areas requiring closer monitoring. The project uses </w:t>
      </w:r>
      <w:r w:rsidRPr="008320B7">
        <w:rPr>
          <w:rFonts w:ascii="Times New Roman" w:eastAsia="Times New Roman" w:hAnsi="Times New Roman" w:cs="Times New Roman"/>
          <w:b/>
          <w:bCs/>
          <w:sz w:val="24"/>
          <w:szCs w:val="24"/>
        </w:rPr>
        <w:t xml:space="preserve">data cleaning, calculated columns, PivotTables, </w:t>
      </w:r>
      <w:proofErr w:type="spellStart"/>
      <w:r w:rsidRPr="008320B7">
        <w:rPr>
          <w:rFonts w:ascii="Times New Roman" w:eastAsia="Times New Roman" w:hAnsi="Times New Roman" w:cs="Times New Roman"/>
          <w:b/>
          <w:bCs/>
          <w:sz w:val="24"/>
          <w:szCs w:val="24"/>
        </w:rPr>
        <w:t>PivotCharts</w:t>
      </w:r>
      <w:proofErr w:type="spellEnd"/>
      <w:r w:rsidRPr="008320B7">
        <w:rPr>
          <w:rFonts w:ascii="Times New Roman" w:eastAsia="Times New Roman" w:hAnsi="Times New Roman" w:cs="Times New Roman"/>
          <w:b/>
          <w:bCs/>
          <w:sz w:val="24"/>
          <w:szCs w:val="24"/>
        </w:rPr>
        <w:t>, KPIs, slicers, and dashboard visualization</w:t>
      </w:r>
      <w:r w:rsidRPr="008320B7">
        <w:rPr>
          <w:rFonts w:ascii="Times New Roman" w:eastAsia="Times New Roman" w:hAnsi="Times New Roman" w:cs="Times New Roman"/>
          <w:sz w:val="24"/>
          <w:szCs w:val="24"/>
        </w:rPr>
        <w:t xml:space="preserve"> to transform raw loan records into meaningful business information.</w:t>
      </w:r>
    </w:p>
    <w:p w14:paraId="4DACA108" w14:textId="77777777" w:rsidR="008320B7" w:rsidRPr="008320B7" w:rsidRDefault="008320B7" w:rsidP="008320B7">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dataset contains </w:t>
      </w:r>
      <w:r w:rsidRPr="008320B7">
        <w:rPr>
          <w:rFonts w:ascii="Times New Roman" w:eastAsia="Times New Roman" w:hAnsi="Times New Roman" w:cs="Times New Roman"/>
          <w:b/>
          <w:bCs/>
          <w:sz w:val="24"/>
          <w:szCs w:val="24"/>
        </w:rPr>
        <w:t>49,913 loan records</w:t>
      </w:r>
      <w:r w:rsidRPr="008320B7">
        <w:rPr>
          <w:rFonts w:ascii="Times New Roman" w:eastAsia="Times New Roman" w:hAnsi="Times New Roman" w:cs="Times New Roman"/>
          <w:sz w:val="24"/>
          <w:szCs w:val="24"/>
        </w:rPr>
        <w:t xml:space="preserve">. Based on the risk classification used in the analysis, </w:t>
      </w:r>
      <w:r w:rsidRPr="008320B7">
        <w:rPr>
          <w:rFonts w:ascii="Times New Roman" w:eastAsia="Times New Roman" w:hAnsi="Times New Roman" w:cs="Times New Roman"/>
          <w:b/>
          <w:bCs/>
          <w:sz w:val="24"/>
          <w:szCs w:val="24"/>
        </w:rPr>
        <w:t>42,671 loans are classified as Performing, 6,963 as Adverse, and 279 as At Risk</w:t>
      </w:r>
      <w:r w:rsidRPr="008320B7">
        <w:rPr>
          <w:rFonts w:ascii="Times New Roman" w:eastAsia="Times New Roman" w:hAnsi="Times New Roman" w:cs="Times New Roman"/>
          <w:sz w:val="24"/>
          <w:szCs w:val="24"/>
        </w:rPr>
        <w:t>.</w:t>
      </w:r>
    </w:p>
    <w:p w14:paraId="72AA82ED" w14:textId="77777777" w:rsidR="008320B7" w:rsidRPr="008320B7" w:rsidRDefault="008320B7" w:rsidP="008320B7">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dashboard further examines loan performance across loan grades, outstanding principal exposure, debt-to-income categories, interest-rate patterns, loan disbursement trends, home ownership, and verification status.</w:t>
      </w:r>
    </w:p>
    <w:p w14:paraId="12E612DE" w14:textId="6C66EC65" w:rsidR="008320B7" w:rsidRPr="008320B7" w:rsidRDefault="008320B7" w:rsidP="008320B7">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analysis demonstrates how Excel can be used as a business intelligence tool to support </w:t>
      </w:r>
      <w:r w:rsidRPr="008320B7">
        <w:rPr>
          <w:rFonts w:ascii="Times New Roman" w:eastAsia="Times New Roman" w:hAnsi="Times New Roman" w:cs="Times New Roman"/>
          <w:b/>
          <w:bCs/>
          <w:sz w:val="24"/>
          <w:szCs w:val="24"/>
        </w:rPr>
        <w:t>credit-risk monitoring, portfolio management, underwriting review, and data-driven lending decisions</w:t>
      </w:r>
      <w:r w:rsidRPr="008320B7">
        <w:rPr>
          <w:rFonts w:ascii="Times New Roman" w:eastAsia="Times New Roman" w:hAnsi="Times New Roman" w:cs="Times New Roman"/>
          <w:sz w:val="24"/>
          <w:szCs w:val="24"/>
        </w:rPr>
        <w:t>.</w:t>
      </w:r>
    </w:p>
    <w:p w14:paraId="1F6E81C0" w14:textId="77777777" w:rsidR="008320B7" w:rsidRPr="008320B7" w:rsidRDefault="008320B7" w:rsidP="008320B7">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t>2. Introduction</w:t>
      </w:r>
    </w:p>
    <w:p w14:paraId="6D7477F1" w14:textId="77777777" w:rsidR="008320B7" w:rsidRPr="008320B7" w:rsidRDefault="008320B7" w:rsidP="008320B7">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Financial institutions manage large volumes of loans involving different types of borrowers, loan amounts, interest rates, repayment obligations, employment characteristics, and credit grades.</w:t>
      </w:r>
    </w:p>
    <w:p w14:paraId="282A468C" w14:textId="77777777" w:rsidR="008320B7" w:rsidRPr="008320B7" w:rsidRDefault="008320B7" w:rsidP="008320B7">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As the number of loans increases, it becomes increasingly important for management to understand:</w:t>
      </w:r>
    </w:p>
    <w:p w14:paraId="78E13535" w14:textId="77777777" w:rsidR="008320B7" w:rsidRPr="008320B7" w:rsidRDefault="008320B7" w:rsidP="008320B7">
      <w:pPr>
        <w:numPr>
          <w:ilvl w:val="0"/>
          <w:numId w:val="1"/>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Which loans are performing? </w:t>
      </w:r>
    </w:p>
    <w:p w14:paraId="72C335FA" w14:textId="77777777" w:rsidR="008320B7" w:rsidRPr="008320B7" w:rsidRDefault="008320B7" w:rsidP="008320B7">
      <w:pPr>
        <w:numPr>
          <w:ilvl w:val="0"/>
          <w:numId w:val="1"/>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Which loans require closer monitoring? </w:t>
      </w:r>
    </w:p>
    <w:p w14:paraId="45FA9E3F" w14:textId="77777777" w:rsidR="008320B7" w:rsidRPr="008320B7" w:rsidRDefault="008320B7" w:rsidP="008320B7">
      <w:pPr>
        <w:numPr>
          <w:ilvl w:val="0"/>
          <w:numId w:val="1"/>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Where is financial exposure concentrated? </w:t>
      </w:r>
    </w:p>
    <w:p w14:paraId="3A95BC6A" w14:textId="77777777" w:rsidR="008320B7" w:rsidRPr="008320B7" w:rsidRDefault="008320B7" w:rsidP="008320B7">
      <w:pPr>
        <w:numPr>
          <w:ilvl w:val="0"/>
          <w:numId w:val="1"/>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Which borrower characteristics are associated with loan performance? </w:t>
      </w:r>
    </w:p>
    <w:p w14:paraId="1D6A0D12" w14:textId="77777777" w:rsidR="008320B7" w:rsidRPr="008320B7" w:rsidRDefault="008320B7" w:rsidP="008320B7">
      <w:pPr>
        <w:numPr>
          <w:ilvl w:val="0"/>
          <w:numId w:val="1"/>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How does loan grade relate to risk? </w:t>
      </w:r>
    </w:p>
    <w:p w14:paraId="088427DC" w14:textId="77777777" w:rsidR="008320B7" w:rsidRPr="008320B7" w:rsidRDefault="008320B7" w:rsidP="008320B7">
      <w:pPr>
        <w:numPr>
          <w:ilvl w:val="0"/>
          <w:numId w:val="1"/>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How does debt-to-income ratio relate to borrower affordability? </w:t>
      </w:r>
    </w:p>
    <w:p w14:paraId="50F9DEDD" w14:textId="77777777" w:rsidR="008320B7" w:rsidRPr="008320B7" w:rsidRDefault="008320B7" w:rsidP="008320B7">
      <w:pPr>
        <w:numPr>
          <w:ilvl w:val="0"/>
          <w:numId w:val="1"/>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Is loan pricing differentiated across credit grades? </w:t>
      </w:r>
    </w:p>
    <w:p w14:paraId="1CE7AA1D" w14:textId="77777777" w:rsidR="008320B7" w:rsidRPr="008320B7" w:rsidRDefault="008320B7" w:rsidP="008320B7">
      <w:pPr>
        <w:numPr>
          <w:ilvl w:val="0"/>
          <w:numId w:val="1"/>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How is loan disbursement changing over time? </w:t>
      </w:r>
    </w:p>
    <w:p w14:paraId="7E75EE9A" w14:textId="77777777" w:rsidR="008320B7" w:rsidRPr="008320B7" w:rsidRDefault="008320B7" w:rsidP="008320B7">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w:t>
      </w:r>
      <w:r w:rsidRPr="008320B7">
        <w:rPr>
          <w:rFonts w:ascii="Times New Roman" w:eastAsia="Times New Roman" w:hAnsi="Times New Roman" w:cs="Times New Roman"/>
          <w:b/>
          <w:bCs/>
          <w:sz w:val="24"/>
          <w:szCs w:val="24"/>
        </w:rPr>
        <w:t>LOAN_INFO</w:t>
      </w:r>
      <w:r w:rsidRPr="008320B7">
        <w:rPr>
          <w:rFonts w:ascii="Times New Roman" w:eastAsia="Times New Roman" w:hAnsi="Times New Roman" w:cs="Times New Roman"/>
          <w:sz w:val="24"/>
          <w:szCs w:val="24"/>
        </w:rPr>
        <w:t xml:space="preserve"> dataset provides an opportunity to answer these questions through data analysis.</w:t>
      </w:r>
    </w:p>
    <w:p w14:paraId="0D4F8282" w14:textId="77777777" w:rsidR="008320B7" w:rsidRPr="008320B7" w:rsidRDefault="008320B7" w:rsidP="008320B7">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lastRenderedPageBreak/>
        <w:t>This project therefore focuses on transforming the available loan data into actionable business insights that can support effective portfolio and credit-risk management.</w:t>
      </w:r>
    </w:p>
    <w:p w14:paraId="6294C1BB" w14:textId="77777777" w:rsidR="008320B7" w:rsidRPr="008320B7" w:rsidRDefault="008320B7" w:rsidP="008320B7">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t>3. Background of the Project</w:t>
      </w:r>
    </w:p>
    <w:p w14:paraId="7FD9138C" w14:textId="77777777" w:rsidR="008320B7" w:rsidRPr="008320B7" w:rsidRDefault="008320B7" w:rsidP="008320B7">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financial institution manages a portfolio of retail loans issued to borrowers with different financial and demographic characteristics.</w:t>
      </w:r>
    </w:p>
    <w:p w14:paraId="45CFE249" w14:textId="77777777" w:rsidR="008320B7" w:rsidRPr="008320B7" w:rsidRDefault="008320B7" w:rsidP="008320B7">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However, simply having large amounts of loan data does not automatically provide management with useful information. The data must be analyzed to identify patterns, relationships, concentrations of risk, and areas requiring management attention.</w:t>
      </w:r>
    </w:p>
    <w:p w14:paraId="5328F13F" w14:textId="77777777" w:rsidR="008320B7" w:rsidRPr="008320B7" w:rsidRDefault="008320B7" w:rsidP="008320B7">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project therefore uses historical loan information to examine borrower characteristics and loan performance.</w:t>
      </w:r>
    </w:p>
    <w:p w14:paraId="64BBD8D9" w14:textId="77777777" w:rsidR="008320B7" w:rsidRPr="008320B7" w:rsidRDefault="008320B7" w:rsidP="008320B7">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analysis focuses particularly on:</w:t>
      </w:r>
    </w:p>
    <w:p w14:paraId="157AEA4E" w14:textId="77777777" w:rsidR="008320B7" w:rsidRPr="008320B7" w:rsidRDefault="008320B7" w:rsidP="008320B7">
      <w:pPr>
        <w:numPr>
          <w:ilvl w:val="0"/>
          <w:numId w:val="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Loan amount </w:t>
      </w:r>
    </w:p>
    <w:p w14:paraId="277B7446" w14:textId="77777777" w:rsidR="008320B7" w:rsidRPr="008320B7" w:rsidRDefault="008320B7" w:rsidP="008320B7">
      <w:pPr>
        <w:numPr>
          <w:ilvl w:val="0"/>
          <w:numId w:val="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Loan grade </w:t>
      </w:r>
    </w:p>
    <w:p w14:paraId="46287546" w14:textId="77777777" w:rsidR="008320B7" w:rsidRPr="008320B7" w:rsidRDefault="008320B7" w:rsidP="008320B7">
      <w:pPr>
        <w:numPr>
          <w:ilvl w:val="0"/>
          <w:numId w:val="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Interest rate </w:t>
      </w:r>
    </w:p>
    <w:p w14:paraId="1927E216" w14:textId="77777777" w:rsidR="008320B7" w:rsidRPr="008320B7" w:rsidRDefault="008320B7" w:rsidP="008320B7">
      <w:pPr>
        <w:numPr>
          <w:ilvl w:val="0"/>
          <w:numId w:val="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Employment characteristics </w:t>
      </w:r>
    </w:p>
    <w:p w14:paraId="2A192FCC" w14:textId="77777777" w:rsidR="008320B7" w:rsidRPr="008320B7" w:rsidRDefault="008320B7" w:rsidP="008320B7">
      <w:pPr>
        <w:numPr>
          <w:ilvl w:val="0"/>
          <w:numId w:val="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Annual income </w:t>
      </w:r>
    </w:p>
    <w:p w14:paraId="234B7BBB" w14:textId="77777777" w:rsidR="008320B7" w:rsidRPr="008320B7" w:rsidRDefault="008320B7" w:rsidP="008320B7">
      <w:pPr>
        <w:numPr>
          <w:ilvl w:val="0"/>
          <w:numId w:val="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Debt-to-income ratio </w:t>
      </w:r>
    </w:p>
    <w:p w14:paraId="21D66783" w14:textId="77777777" w:rsidR="008320B7" w:rsidRPr="008320B7" w:rsidRDefault="008320B7" w:rsidP="008320B7">
      <w:pPr>
        <w:numPr>
          <w:ilvl w:val="0"/>
          <w:numId w:val="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Loan status </w:t>
      </w:r>
    </w:p>
    <w:p w14:paraId="394DD75E" w14:textId="77777777" w:rsidR="008320B7" w:rsidRPr="008320B7" w:rsidRDefault="008320B7" w:rsidP="008320B7">
      <w:pPr>
        <w:numPr>
          <w:ilvl w:val="0"/>
          <w:numId w:val="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Outstanding principal </w:t>
      </w:r>
    </w:p>
    <w:p w14:paraId="7A4C15A0" w14:textId="77777777" w:rsidR="008320B7" w:rsidRPr="008320B7" w:rsidRDefault="008320B7" w:rsidP="008320B7">
      <w:pPr>
        <w:numPr>
          <w:ilvl w:val="0"/>
          <w:numId w:val="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Total payment </w:t>
      </w:r>
    </w:p>
    <w:p w14:paraId="53E68B38" w14:textId="77777777" w:rsidR="008320B7" w:rsidRPr="008320B7" w:rsidRDefault="008320B7" w:rsidP="008320B7">
      <w:pPr>
        <w:numPr>
          <w:ilvl w:val="0"/>
          <w:numId w:val="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Loan purpose </w:t>
      </w:r>
    </w:p>
    <w:p w14:paraId="4E77B2FE" w14:textId="77777777" w:rsidR="008320B7" w:rsidRPr="008320B7" w:rsidRDefault="008320B7" w:rsidP="008320B7">
      <w:pPr>
        <w:numPr>
          <w:ilvl w:val="0"/>
          <w:numId w:val="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Home ownership </w:t>
      </w:r>
    </w:p>
    <w:p w14:paraId="611A9755" w14:textId="77777777" w:rsidR="008320B7" w:rsidRPr="008320B7" w:rsidRDefault="008320B7" w:rsidP="008320B7">
      <w:pPr>
        <w:numPr>
          <w:ilvl w:val="0"/>
          <w:numId w:val="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Verification status </w:t>
      </w:r>
    </w:p>
    <w:p w14:paraId="542C88A5" w14:textId="77777777" w:rsidR="008320B7" w:rsidRPr="008320B7" w:rsidRDefault="008320B7" w:rsidP="008320B7">
      <w:pPr>
        <w:numPr>
          <w:ilvl w:val="0"/>
          <w:numId w:val="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Disbursement date </w:t>
      </w:r>
    </w:p>
    <w:p w14:paraId="7D2140E2" w14:textId="77777777" w:rsidR="008320B7" w:rsidRPr="008320B7" w:rsidRDefault="008320B7" w:rsidP="00476E08">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t>4. Problem Statement</w:t>
      </w:r>
    </w:p>
    <w:p w14:paraId="7FC3123D" w14:textId="77777777" w:rsidR="008320B7" w:rsidRPr="008320B7" w:rsidRDefault="008320B7" w:rsidP="00476E08">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financial institution manages a growing loan portfolio but lacks sufficient visibility into the factors associated with poor loan performance and potential credit risk.</w:t>
      </w:r>
    </w:p>
    <w:p w14:paraId="799F9CFA" w14:textId="77777777" w:rsidR="008320B7" w:rsidRPr="008320B7" w:rsidRDefault="008320B7" w:rsidP="00476E08">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Without effective data-driven analysis, management may find it difficult to identify high-risk loan segments, monitor outstanding financial exposure, evaluate borrower affordability, and determine whether lending and pricing practices are appropriately aligned with observed portfolio performance.</w:t>
      </w:r>
    </w:p>
    <w:p w14:paraId="30850635" w14:textId="0933A250" w:rsidR="008320B7" w:rsidRPr="008320B7" w:rsidRDefault="008320B7" w:rsidP="00476E08">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lastRenderedPageBreak/>
        <w:t>This creates a need for a structured analysis of historical loan data to identify important risk patterns and provide management with information that can support better portfolio monitoring and lending decisions.</w:t>
      </w:r>
    </w:p>
    <w:p w14:paraId="7A4BE635" w14:textId="77777777" w:rsidR="008320B7" w:rsidRPr="008320B7" w:rsidRDefault="008320B7" w:rsidP="00476E08">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t>5. Project Objective</w:t>
      </w:r>
    </w:p>
    <w:p w14:paraId="4CCB7FFB" w14:textId="77777777" w:rsidR="008320B7" w:rsidRPr="008320B7" w:rsidRDefault="008320B7" w:rsidP="00476E08">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Main Objective</w:t>
      </w:r>
    </w:p>
    <w:p w14:paraId="35F99C6C" w14:textId="77777777" w:rsidR="008320B7" w:rsidRPr="008320B7" w:rsidRDefault="008320B7" w:rsidP="00476E08">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main objective of this project is to analyze the </w:t>
      </w:r>
      <w:r w:rsidRPr="008320B7">
        <w:rPr>
          <w:rFonts w:ascii="Times New Roman" w:eastAsia="Times New Roman" w:hAnsi="Times New Roman" w:cs="Times New Roman"/>
          <w:b/>
          <w:bCs/>
          <w:sz w:val="24"/>
          <w:szCs w:val="24"/>
        </w:rPr>
        <w:t>LOAN_INFO</w:t>
      </w:r>
      <w:r w:rsidRPr="008320B7">
        <w:rPr>
          <w:rFonts w:ascii="Times New Roman" w:eastAsia="Times New Roman" w:hAnsi="Times New Roman" w:cs="Times New Roman"/>
          <w:sz w:val="24"/>
          <w:szCs w:val="24"/>
        </w:rPr>
        <w:t xml:space="preserve"> dataset and provide data-driven insights into loan performance, credit risk, borrower characteristics, financial exposure, and portfolio trends.</w:t>
      </w:r>
    </w:p>
    <w:p w14:paraId="43F2A5B7" w14:textId="77777777" w:rsidR="008320B7" w:rsidRPr="008320B7" w:rsidRDefault="008320B7" w:rsidP="00476E08">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Specific Objectives</w:t>
      </w:r>
    </w:p>
    <w:p w14:paraId="4ECC2616" w14:textId="77777777" w:rsidR="008320B7" w:rsidRPr="008320B7" w:rsidRDefault="008320B7" w:rsidP="00476E08">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project aims to:</w:t>
      </w:r>
    </w:p>
    <w:p w14:paraId="08DDF436" w14:textId="77777777" w:rsidR="008320B7" w:rsidRPr="008320B7" w:rsidRDefault="008320B7" w:rsidP="00476E08">
      <w:pPr>
        <w:numPr>
          <w:ilvl w:val="0"/>
          <w:numId w:val="3"/>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Analyze the overall performance of the loan portfolio. </w:t>
      </w:r>
    </w:p>
    <w:p w14:paraId="45EE6367" w14:textId="77777777" w:rsidR="008320B7" w:rsidRPr="008320B7" w:rsidRDefault="008320B7" w:rsidP="00476E08">
      <w:pPr>
        <w:numPr>
          <w:ilvl w:val="0"/>
          <w:numId w:val="3"/>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Identify the distribution of Performing, At Risk, and Adverse loans. </w:t>
      </w:r>
    </w:p>
    <w:p w14:paraId="65685190" w14:textId="77777777" w:rsidR="008320B7" w:rsidRPr="008320B7" w:rsidRDefault="008320B7" w:rsidP="00476E08">
      <w:pPr>
        <w:numPr>
          <w:ilvl w:val="0"/>
          <w:numId w:val="3"/>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Examine loan performance across different loan grades. </w:t>
      </w:r>
    </w:p>
    <w:p w14:paraId="6E0DF7C6" w14:textId="77777777" w:rsidR="008320B7" w:rsidRPr="008320B7" w:rsidRDefault="008320B7" w:rsidP="00476E08">
      <w:pPr>
        <w:numPr>
          <w:ilvl w:val="0"/>
          <w:numId w:val="3"/>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Analyze outstanding principal exposure by loan grade. </w:t>
      </w:r>
    </w:p>
    <w:p w14:paraId="28E74770" w14:textId="77777777" w:rsidR="008320B7" w:rsidRPr="008320B7" w:rsidRDefault="008320B7" w:rsidP="00476E08">
      <w:pPr>
        <w:numPr>
          <w:ilvl w:val="0"/>
          <w:numId w:val="3"/>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Examine borrower debt-to-income categories. </w:t>
      </w:r>
    </w:p>
    <w:p w14:paraId="4BAC6BBA" w14:textId="77777777" w:rsidR="008320B7" w:rsidRPr="008320B7" w:rsidRDefault="008320B7" w:rsidP="00476E08">
      <w:pPr>
        <w:numPr>
          <w:ilvl w:val="0"/>
          <w:numId w:val="3"/>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Analyze interest-rate patterns across loan grades. </w:t>
      </w:r>
    </w:p>
    <w:p w14:paraId="30ADA8D2" w14:textId="77777777" w:rsidR="008320B7" w:rsidRPr="008320B7" w:rsidRDefault="008320B7" w:rsidP="00476E08">
      <w:pPr>
        <w:numPr>
          <w:ilvl w:val="0"/>
          <w:numId w:val="3"/>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Examine loan disbursement trends over time. </w:t>
      </w:r>
    </w:p>
    <w:p w14:paraId="1132497F" w14:textId="77777777" w:rsidR="008320B7" w:rsidRPr="008320B7" w:rsidRDefault="008320B7" w:rsidP="00476E08">
      <w:pPr>
        <w:numPr>
          <w:ilvl w:val="0"/>
          <w:numId w:val="3"/>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Investigate the relationship between borrower characteristics and loan performance. </w:t>
      </w:r>
    </w:p>
    <w:p w14:paraId="513A525F" w14:textId="77777777" w:rsidR="008320B7" w:rsidRPr="008320B7" w:rsidRDefault="008320B7" w:rsidP="00476E08">
      <w:pPr>
        <w:numPr>
          <w:ilvl w:val="0"/>
          <w:numId w:val="3"/>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Develop an interactive Excel dashboard for management reporting. </w:t>
      </w:r>
    </w:p>
    <w:p w14:paraId="4576DA0F" w14:textId="77777777" w:rsidR="008320B7" w:rsidRPr="008320B7" w:rsidRDefault="008320B7" w:rsidP="00476E08">
      <w:pPr>
        <w:numPr>
          <w:ilvl w:val="0"/>
          <w:numId w:val="3"/>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Provide recommendations based on the findings. </w:t>
      </w:r>
    </w:p>
    <w:p w14:paraId="19D866BA" w14:textId="77777777" w:rsidR="008320B7" w:rsidRPr="008320B7" w:rsidRDefault="008320B7" w:rsidP="00476E08">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t>6. Business Questions</w:t>
      </w:r>
    </w:p>
    <w:p w14:paraId="1DE99C67" w14:textId="77777777" w:rsidR="008320B7" w:rsidRPr="008320B7" w:rsidRDefault="008320B7" w:rsidP="00476E08">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analysis was guided by the following business questions:</w:t>
      </w:r>
    </w:p>
    <w:p w14:paraId="0417F476" w14:textId="719F1082" w:rsidR="00667BE1" w:rsidRPr="00667BE1" w:rsidRDefault="00667BE1" w:rsidP="00667BE1">
      <w:pPr>
        <w:pStyle w:val="Heading3"/>
        <w:numPr>
          <w:ilvl w:val="0"/>
          <w:numId w:val="14"/>
        </w:numPr>
        <w:spacing w:line="276" w:lineRule="auto"/>
        <w:jc w:val="both"/>
        <w:rPr>
          <w:b w:val="0"/>
          <w:bCs w:val="0"/>
          <w:sz w:val="24"/>
          <w:szCs w:val="24"/>
        </w:rPr>
      </w:pPr>
      <w:r w:rsidRPr="00667BE1">
        <w:rPr>
          <w:b w:val="0"/>
          <w:bCs w:val="0"/>
          <w:sz w:val="24"/>
          <w:szCs w:val="24"/>
        </w:rPr>
        <w:t>Which borrower and loan characteristics are associated with higher default/non-payment rates?</w:t>
      </w:r>
    </w:p>
    <w:p w14:paraId="2754FF3B" w14:textId="33A8C009" w:rsidR="00667BE1" w:rsidRPr="00667BE1" w:rsidRDefault="00667BE1" w:rsidP="00667BE1">
      <w:pPr>
        <w:pStyle w:val="Heading2"/>
        <w:numPr>
          <w:ilvl w:val="0"/>
          <w:numId w:val="14"/>
        </w:numPr>
        <w:spacing w:line="276" w:lineRule="auto"/>
        <w:jc w:val="both"/>
        <w:rPr>
          <w:b w:val="0"/>
          <w:bCs w:val="0"/>
          <w:sz w:val="24"/>
          <w:szCs w:val="24"/>
        </w:rPr>
      </w:pPr>
      <w:r w:rsidRPr="00667BE1">
        <w:rPr>
          <w:b w:val="0"/>
          <w:bCs w:val="0"/>
          <w:sz w:val="24"/>
          <w:szCs w:val="24"/>
        </w:rPr>
        <w:t>Where is the company's greatest loan exposure concentrated?</w:t>
      </w:r>
    </w:p>
    <w:p w14:paraId="64CF5DE2" w14:textId="647F4A72" w:rsidR="00667BE1" w:rsidRPr="00667BE1" w:rsidRDefault="00667BE1" w:rsidP="00667BE1">
      <w:pPr>
        <w:pStyle w:val="Heading2"/>
        <w:numPr>
          <w:ilvl w:val="0"/>
          <w:numId w:val="14"/>
        </w:numPr>
        <w:spacing w:line="276" w:lineRule="auto"/>
        <w:jc w:val="both"/>
        <w:rPr>
          <w:b w:val="0"/>
          <w:bCs w:val="0"/>
          <w:sz w:val="24"/>
          <w:szCs w:val="24"/>
        </w:rPr>
      </w:pPr>
      <w:r w:rsidRPr="00667BE1">
        <w:rPr>
          <w:b w:val="0"/>
          <w:bCs w:val="0"/>
          <w:sz w:val="24"/>
          <w:szCs w:val="24"/>
        </w:rPr>
        <w:t>Does loan pricing reflect differences in credit risk?</w:t>
      </w:r>
    </w:p>
    <w:p w14:paraId="7BE240EE" w14:textId="3A78838F" w:rsidR="00667BE1" w:rsidRPr="00667BE1" w:rsidRDefault="00667BE1" w:rsidP="00667BE1">
      <w:pPr>
        <w:pStyle w:val="Heading2"/>
        <w:numPr>
          <w:ilvl w:val="0"/>
          <w:numId w:val="14"/>
        </w:numPr>
        <w:spacing w:line="276" w:lineRule="auto"/>
        <w:jc w:val="both"/>
        <w:rPr>
          <w:b w:val="0"/>
          <w:bCs w:val="0"/>
          <w:sz w:val="24"/>
          <w:szCs w:val="24"/>
        </w:rPr>
      </w:pPr>
      <w:r w:rsidRPr="00667BE1">
        <w:rPr>
          <w:b w:val="0"/>
          <w:bCs w:val="0"/>
          <w:sz w:val="24"/>
          <w:szCs w:val="24"/>
        </w:rPr>
        <w:t>Which borrower characteristics should influence underwriting decisions?</w:t>
      </w:r>
    </w:p>
    <w:p w14:paraId="3323A84B" w14:textId="0782C6B3" w:rsidR="00667BE1" w:rsidRPr="00667BE1" w:rsidRDefault="00667BE1" w:rsidP="00667BE1">
      <w:pPr>
        <w:pStyle w:val="Heading2"/>
        <w:numPr>
          <w:ilvl w:val="0"/>
          <w:numId w:val="14"/>
        </w:numPr>
        <w:spacing w:line="276" w:lineRule="auto"/>
        <w:jc w:val="both"/>
        <w:rPr>
          <w:b w:val="0"/>
          <w:bCs w:val="0"/>
          <w:sz w:val="24"/>
          <w:szCs w:val="24"/>
        </w:rPr>
      </w:pPr>
      <w:r w:rsidRPr="00667BE1">
        <w:rPr>
          <w:b w:val="0"/>
          <w:bCs w:val="0"/>
          <w:sz w:val="24"/>
          <w:szCs w:val="24"/>
        </w:rPr>
        <w:t>Is the loan portfolio growing without excessive increases in credit risk?</w:t>
      </w:r>
    </w:p>
    <w:p w14:paraId="04C76537" w14:textId="260A0825" w:rsidR="008320B7" w:rsidRPr="008320B7" w:rsidRDefault="008320B7" w:rsidP="008320B7">
      <w:pPr>
        <w:spacing w:after="0" w:line="240" w:lineRule="auto"/>
        <w:rPr>
          <w:rFonts w:ascii="Times New Roman" w:eastAsia="Times New Roman" w:hAnsi="Times New Roman" w:cs="Times New Roman"/>
          <w:sz w:val="24"/>
          <w:szCs w:val="24"/>
        </w:rPr>
      </w:pPr>
    </w:p>
    <w:p w14:paraId="027D6791" w14:textId="77777777" w:rsidR="00667BE1" w:rsidRDefault="00667BE1" w:rsidP="008320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7082B496" w14:textId="3F0D763A" w:rsidR="008320B7" w:rsidRPr="008320B7" w:rsidRDefault="008320B7" w:rsidP="00667BE1">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lastRenderedPageBreak/>
        <w:t>7. Dataset Description</w:t>
      </w:r>
    </w:p>
    <w:p w14:paraId="6156D4E1" w14:textId="77777777" w:rsidR="008320B7" w:rsidRPr="008320B7" w:rsidRDefault="008320B7" w:rsidP="00667BE1">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dataset used for this project is titled </w:t>
      </w:r>
      <w:r w:rsidRPr="008320B7">
        <w:rPr>
          <w:rFonts w:ascii="Times New Roman" w:eastAsia="Times New Roman" w:hAnsi="Times New Roman" w:cs="Times New Roman"/>
          <w:b/>
          <w:bCs/>
          <w:sz w:val="24"/>
          <w:szCs w:val="24"/>
        </w:rPr>
        <w:t>LOAN_INFO</w:t>
      </w:r>
      <w:r w:rsidRPr="008320B7">
        <w:rPr>
          <w:rFonts w:ascii="Times New Roman" w:eastAsia="Times New Roman" w:hAnsi="Times New Roman" w:cs="Times New Roman"/>
          <w:sz w:val="24"/>
          <w:szCs w:val="24"/>
        </w:rPr>
        <w:t>.</w:t>
      </w:r>
    </w:p>
    <w:p w14:paraId="5B319547" w14:textId="77777777" w:rsidR="008320B7" w:rsidRPr="008320B7" w:rsidRDefault="008320B7" w:rsidP="00667BE1">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major variables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08"/>
        <w:gridCol w:w="5227"/>
      </w:tblGrid>
      <w:tr w:rsidR="008320B7" w:rsidRPr="008320B7" w14:paraId="06CB86AF" w14:textId="77777777" w:rsidTr="008320B7">
        <w:trPr>
          <w:tblHeader/>
          <w:tblCellSpacing w:w="15" w:type="dxa"/>
        </w:trPr>
        <w:tc>
          <w:tcPr>
            <w:tcW w:w="0" w:type="auto"/>
            <w:vAlign w:val="center"/>
            <w:hideMark/>
          </w:tcPr>
          <w:p w14:paraId="1838A0F5" w14:textId="77777777" w:rsidR="008320B7" w:rsidRPr="008320B7" w:rsidRDefault="008320B7" w:rsidP="00667BE1">
            <w:pPr>
              <w:spacing w:after="0"/>
              <w:jc w:val="both"/>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Column</w:t>
            </w:r>
          </w:p>
        </w:tc>
        <w:tc>
          <w:tcPr>
            <w:tcW w:w="0" w:type="auto"/>
            <w:vAlign w:val="center"/>
            <w:hideMark/>
          </w:tcPr>
          <w:p w14:paraId="4F839A84" w14:textId="77777777" w:rsidR="008320B7" w:rsidRPr="008320B7" w:rsidRDefault="008320B7" w:rsidP="00667BE1">
            <w:pPr>
              <w:spacing w:after="0"/>
              <w:jc w:val="both"/>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Description</w:t>
            </w:r>
          </w:p>
        </w:tc>
      </w:tr>
      <w:tr w:rsidR="008320B7" w:rsidRPr="008320B7" w14:paraId="16C3E315" w14:textId="77777777" w:rsidTr="008320B7">
        <w:trPr>
          <w:tblCellSpacing w:w="15" w:type="dxa"/>
        </w:trPr>
        <w:tc>
          <w:tcPr>
            <w:tcW w:w="0" w:type="auto"/>
            <w:vAlign w:val="center"/>
            <w:hideMark/>
          </w:tcPr>
          <w:p w14:paraId="48FA9B0D"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Loan ID</w:t>
            </w:r>
          </w:p>
        </w:tc>
        <w:tc>
          <w:tcPr>
            <w:tcW w:w="0" w:type="auto"/>
            <w:vAlign w:val="center"/>
            <w:hideMark/>
          </w:tcPr>
          <w:p w14:paraId="511B1365"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Unique identifier for each loan</w:t>
            </w:r>
          </w:p>
        </w:tc>
      </w:tr>
      <w:tr w:rsidR="008320B7" w:rsidRPr="008320B7" w14:paraId="27110C1E" w14:textId="77777777" w:rsidTr="008320B7">
        <w:trPr>
          <w:tblCellSpacing w:w="15" w:type="dxa"/>
        </w:trPr>
        <w:tc>
          <w:tcPr>
            <w:tcW w:w="0" w:type="auto"/>
            <w:vAlign w:val="center"/>
            <w:hideMark/>
          </w:tcPr>
          <w:p w14:paraId="73EB6ADA"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Client ID</w:t>
            </w:r>
          </w:p>
        </w:tc>
        <w:tc>
          <w:tcPr>
            <w:tcW w:w="0" w:type="auto"/>
            <w:vAlign w:val="center"/>
            <w:hideMark/>
          </w:tcPr>
          <w:p w14:paraId="296F1F50"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Identifier for the borrower/client</w:t>
            </w:r>
          </w:p>
        </w:tc>
      </w:tr>
      <w:tr w:rsidR="008320B7" w:rsidRPr="008320B7" w14:paraId="444A8FCE" w14:textId="77777777" w:rsidTr="008320B7">
        <w:trPr>
          <w:tblCellSpacing w:w="15" w:type="dxa"/>
        </w:trPr>
        <w:tc>
          <w:tcPr>
            <w:tcW w:w="0" w:type="auto"/>
            <w:vAlign w:val="center"/>
            <w:hideMark/>
          </w:tcPr>
          <w:p w14:paraId="540A9C63"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Loan Amount</w:t>
            </w:r>
          </w:p>
        </w:tc>
        <w:tc>
          <w:tcPr>
            <w:tcW w:w="0" w:type="auto"/>
            <w:vAlign w:val="center"/>
            <w:hideMark/>
          </w:tcPr>
          <w:p w14:paraId="361E525D"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Amount initially borrowed</w:t>
            </w:r>
          </w:p>
        </w:tc>
      </w:tr>
      <w:tr w:rsidR="008320B7" w:rsidRPr="008320B7" w14:paraId="73A32388" w14:textId="77777777" w:rsidTr="008320B7">
        <w:trPr>
          <w:tblCellSpacing w:w="15" w:type="dxa"/>
        </w:trPr>
        <w:tc>
          <w:tcPr>
            <w:tcW w:w="0" w:type="auto"/>
            <w:vAlign w:val="center"/>
            <w:hideMark/>
          </w:tcPr>
          <w:p w14:paraId="7B7B9964"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Terms</w:t>
            </w:r>
          </w:p>
        </w:tc>
        <w:tc>
          <w:tcPr>
            <w:tcW w:w="0" w:type="auto"/>
            <w:vAlign w:val="center"/>
            <w:hideMark/>
          </w:tcPr>
          <w:p w14:paraId="4FB87D13"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Duration/terms of the loan</w:t>
            </w:r>
          </w:p>
        </w:tc>
      </w:tr>
      <w:tr w:rsidR="008320B7" w:rsidRPr="008320B7" w14:paraId="22A98B24" w14:textId="77777777" w:rsidTr="008320B7">
        <w:trPr>
          <w:tblCellSpacing w:w="15" w:type="dxa"/>
        </w:trPr>
        <w:tc>
          <w:tcPr>
            <w:tcW w:w="0" w:type="auto"/>
            <w:vAlign w:val="center"/>
            <w:hideMark/>
          </w:tcPr>
          <w:p w14:paraId="54970C3F"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Interest Rate</w:t>
            </w:r>
          </w:p>
        </w:tc>
        <w:tc>
          <w:tcPr>
            <w:tcW w:w="0" w:type="auto"/>
            <w:vAlign w:val="center"/>
            <w:hideMark/>
          </w:tcPr>
          <w:p w14:paraId="41BD9FD5"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Interest rate applied to the loan</w:t>
            </w:r>
          </w:p>
        </w:tc>
      </w:tr>
      <w:tr w:rsidR="008320B7" w:rsidRPr="008320B7" w14:paraId="5CB0DC9A" w14:textId="77777777" w:rsidTr="008320B7">
        <w:trPr>
          <w:tblCellSpacing w:w="15" w:type="dxa"/>
        </w:trPr>
        <w:tc>
          <w:tcPr>
            <w:tcW w:w="0" w:type="auto"/>
            <w:vAlign w:val="center"/>
            <w:hideMark/>
          </w:tcPr>
          <w:p w14:paraId="5D4BB8F8"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Installment</w:t>
            </w:r>
          </w:p>
        </w:tc>
        <w:tc>
          <w:tcPr>
            <w:tcW w:w="0" w:type="auto"/>
            <w:vAlign w:val="center"/>
            <w:hideMark/>
          </w:tcPr>
          <w:p w14:paraId="3D03FA94"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Scheduled repayment amount</w:t>
            </w:r>
          </w:p>
        </w:tc>
      </w:tr>
      <w:tr w:rsidR="008320B7" w:rsidRPr="008320B7" w14:paraId="72501BBC" w14:textId="77777777" w:rsidTr="008320B7">
        <w:trPr>
          <w:tblCellSpacing w:w="15" w:type="dxa"/>
        </w:trPr>
        <w:tc>
          <w:tcPr>
            <w:tcW w:w="0" w:type="auto"/>
            <w:vAlign w:val="center"/>
            <w:hideMark/>
          </w:tcPr>
          <w:p w14:paraId="080BDBD0"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Loan Grade</w:t>
            </w:r>
          </w:p>
        </w:tc>
        <w:tc>
          <w:tcPr>
            <w:tcW w:w="0" w:type="auto"/>
            <w:vAlign w:val="center"/>
            <w:hideMark/>
          </w:tcPr>
          <w:p w14:paraId="49FC6233"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Credit-risk grade assigned to the loan</w:t>
            </w:r>
          </w:p>
        </w:tc>
      </w:tr>
      <w:tr w:rsidR="008320B7" w:rsidRPr="008320B7" w14:paraId="36AE1E6F" w14:textId="77777777" w:rsidTr="008320B7">
        <w:trPr>
          <w:tblCellSpacing w:w="15" w:type="dxa"/>
        </w:trPr>
        <w:tc>
          <w:tcPr>
            <w:tcW w:w="0" w:type="auto"/>
            <w:vAlign w:val="center"/>
            <w:hideMark/>
          </w:tcPr>
          <w:p w14:paraId="0644FA01"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Loan Sub Grade</w:t>
            </w:r>
          </w:p>
        </w:tc>
        <w:tc>
          <w:tcPr>
            <w:tcW w:w="0" w:type="auto"/>
            <w:vAlign w:val="center"/>
            <w:hideMark/>
          </w:tcPr>
          <w:p w14:paraId="1F37B1D6"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More detailed credit classification</w:t>
            </w:r>
          </w:p>
        </w:tc>
      </w:tr>
      <w:tr w:rsidR="008320B7" w:rsidRPr="008320B7" w14:paraId="238E67BF" w14:textId="77777777" w:rsidTr="008320B7">
        <w:trPr>
          <w:tblCellSpacing w:w="15" w:type="dxa"/>
        </w:trPr>
        <w:tc>
          <w:tcPr>
            <w:tcW w:w="0" w:type="auto"/>
            <w:vAlign w:val="center"/>
            <w:hideMark/>
          </w:tcPr>
          <w:p w14:paraId="50D24AEF"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Emp Title</w:t>
            </w:r>
          </w:p>
        </w:tc>
        <w:tc>
          <w:tcPr>
            <w:tcW w:w="0" w:type="auto"/>
            <w:vAlign w:val="center"/>
            <w:hideMark/>
          </w:tcPr>
          <w:p w14:paraId="2E919F06"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Borrower's employment title</w:t>
            </w:r>
          </w:p>
        </w:tc>
      </w:tr>
      <w:tr w:rsidR="008320B7" w:rsidRPr="008320B7" w14:paraId="66EEA8E4" w14:textId="77777777" w:rsidTr="008320B7">
        <w:trPr>
          <w:tblCellSpacing w:w="15" w:type="dxa"/>
        </w:trPr>
        <w:tc>
          <w:tcPr>
            <w:tcW w:w="0" w:type="auto"/>
            <w:vAlign w:val="center"/>
            <w:hideMark/>
          </w:tcPr>
          <w:p w14:paraId="292ED791"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Emp Length</w:t>
            </w:r>
          </w:p>
        </w:tc>
        <w:tc>
          <w:tcPr>
            <w:tcW w:w="0" w:type="auto"/>
            <w:vAlign w:val="center"/>
            <w:hideMark/>
          </w:tcPr>
          <w:p w14:paraId="05108C9A"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Length of employment</w:t>
            </w:r>
          </w:p>
        </w:tc>
      </w:tr>
      <w:tr w:rsidR="008320B7" w:rsidRPr="008320B7" w14:paraId="7B49ABA8" w14:textId="77777777" w:rsidTr="008320B7">
        <w:trPr>
          <w:tblCellSpacing w:w="15" w:type="dxa"/>
        </w:trPr>
        <w:tc>
          <w:tcPr>
            <w:tcW w:w="0" w:type="auto"/>
            <w:vAlign w:val="center"/>
            <w:hideMark/>
          </w:tcPr>
          <w:p w14:paraId="6CD20E77"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Home Owner</w:t>
            </w:r>
          </w:p>
        </w:tc>
        <w:tc>
          <w:tcPr>
            <w:tcW w:w="0" w:type="auto"/>
            <w:vAlign w:val="center"/>
            <w:hideMark/>
          </w:tcPr>
          <w:p w14:paraId="5181CAB0"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Borrower's home ownership status</w:t>
            </w:r>
          </w:p>
        </w:tc>
      </w:tr>
      <w:tr w:rsidR="008320B7" w:rsidRPr="008320B7" w14:paraId="348DE937" w14:textId="77777777" w:rsidTr="008320B7">
        <w:trPr>
          <w:tblCellSpacing w:w="15" w:type="dxa"/>
        </w:trPr>
        <w:tc>
          <w:tcPr>
            <w:tcW w:w="0" w:type="auto"/>
            <w:vAlign w:val="center"/>
            <w:hideMark/>
          </w:tcPr>
          <w:p w14:paraId="544B578C"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Annual Income</w:t>
            </w:r>
          </w:p>
        </w:tc>
        <w:tc>
          <w:tcPr>
            <w:tcW w:w="0" w:type="auto"/>
            <w:vAlign w:val="center"/>
            <w:hideMark/>
          </w:tcPr>
          <w:p w14:paraId="696A7817"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Borrower's annual income</w:t>
            </w:r>
          </w:p>
        </w:tc>
      </w:tr>
      <w:tr w:rsidR="008320B7" w:rsidRPr="008320B7" w14:paraId="0168BE2B" w14:textId="77777777" w:rsidTr="008320B7">
        <w:trPr>
          <w:tblCellSpacing w:w="15" w:type="dxa"/>
        </w:trPr>
        <w:tc>
          <w:tcPr>
            <w:tcW w:w="0" w:type="auto"/>
            <w:vAlign w:val="center"/>
            <w:hideMark/>
          </w:tcPr>
          <w:p w14:paraId="4338BB2C"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Verification Status</w:t>
            </w:r>
          </w:p>
        </w:tc>
        <w:tc>
          <w:tcPr>
            <w:tcW w:w="0" w:type="auto"/>
            <w:vAlign w:val="center"/>
            <w:hideMark/>
          </w:tcPr>
          <w:p w14:paraId="727158CE"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Status of borrower-information verification</w:t>
            </w:r>
          </w:p>
        </w:tc>
      </w:tr>
      <w:tr w:rsidR="008320B7" w:rsidRPr="008320B7" w14:paraId="21C5B0DF" w14:textId="77777777" w:rsidTr="008320B7">
        <w:trPr>
          <w:tblCellSpacing w:w="15" w:type="dxa"/>
        </w:trPr>
        <w:tc>
          <w:tcPr>
            <w:tcW w:w="0" w:type="auto"/>
            <w:vAlign w:val="center"/>
            <w:hideMark/>
          </w:tcPr>
          <w:p w14:paraId="2A541751"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Disbursement Date</w:t>
            </w:r>
          </w:p>
        </w:tc>
        <w:tc>
          <w:tcPr>
            <w:tcW w:w="0" w:type="auto"/>
            <w:vAlign w:val="center"/>
            <w:hideMark/>
          </w:tcPr>
          <w:p w14:paraId="770F51E5"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Date the loan was issued</w:t>
            </w:r>
          </w:p>
        </w:tc>
      </w:tr>
      <w:tr w:rsidR="008320B7" w:rsidRPr="008320B7" w14:paraId="3722EDCF" w14:textId="77777777" w:rsidTr="008320B7">
        <w:trPr>
          <w:tblCellSpacing w:w="15" w:type="dxa"/>
        </w:trPr>
        <w:tc>
          <w:tcPr>
            <w:tcW w:w="0" w:type="auto"/>
            <w:vAlign w:val="center"/>
            <w:hideMark/>
          </w:tcPr>
          <w:p w14:paraId="381F21D2"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Loan Status</w:t>
            </w:r>
          </w:p>
        </w:tc>
        <w:tc>
          <w:tcPr>
            <w:tcW w:w="0" w:type="auto"/>
            <w:vAlign w:val="center"/>
            <w:hideMark/>
          </w:tcPr>
          <w:p w14:paraId="1D6141B8"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Current status/performance outcome of the loan</w:t>
            </w:r>
          </w:p>
        </w:tc>
      </w:tr>
      <w:tr w:rsidR="008320B7" w:rsidRPr="008320B7" w14:paraId="2DC59897" w14:textId="77777777" w:rsidTr="008320B7">
        <w:trPr>
          <w:tblCellSpacing w:w="15" w:type="dxa"/>
        </w:trPr>
        <w:tc>
          <w:tcPr>
            <w:tcW w:w="0" w:type="auto"/>
            <w:vAlign w:val="center"/>
            <w:hideMark/>
          </w:tcPr>
          <w:p w14:paraId="520A005B"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Purpose</w:t>
            </w:r>
          </w:p>
        </w:tc>
        <w:tc>
          <w:tcPr>
            <w:tcW w:w="0" w:type="auto"/>
            <w:vAlign w:val="center"/>
            <w:hideMark/>
          </w:tcPr>
          <w:p w14:paraId="64BC7AF3"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Purpose for which the loan was taken</w:t>
            </w:r>
          </w:p>
        </w:tc>
      </w:tr>
      <w:tr w:rsidR="008320B7" w:rsidRPr="008320B7" w14:paraId="27E0F0E1" w14:textId="77777777" w:rsidTr="008320B7">
        <w:trPr>
          <w:tblCellSpacing w:w="15" w:type="dxa"/>
        </w:trPr>
        <w:tc>
          <w:tcPr>
            <w:tcW w:w="0" w:type="auto"/>
            <w:vAlign w:val="center"/>
            <w:hideMark/>
          </w:tcPr>
          <w:p w14:paraId="107BAA4E"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Title</w:t>
            </w:r>
          </w:p>
        </w:tc>
        <w:tc>
          <w:tcPr>
            <w:tcW w:w="0" w:type="auto"/>
            <w:vAlign w:val="center"/>
            <w:hideMark/>
          </w:tcPr>
          <w:p w14:paraId="734136D1"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Loan/application title</w:t>
            </w:r>
          </w:p>
        </w:tc>
      </w:tr>
      <w:tr w:rsidR="008320B7" w:rsidRPr="008320B7" w14:paraId="5FA04029" w14:textId="77777777" w:rsidTr="008320B7">
        <w:trPr>
          <w:tblCellSpacing w:w="15" w:type="dxa"/>
        </w:trPr>
        <w:tc>
          <w:tcPr>
            <w:tcW w:w="0" w:type="auto"/>
            <w:vAlign w:val="center"/>
            <w:hideMark/>
          </w:tcPr>
          <w:p w14:paraId="7B85B270"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Zip Code</w:t>
            </w:r>
          </w:p>
        </w:tc>
        <w:tc>
          <w:tcPr>
            <w:tcW w:w="0" w:type="auto"/>
            <w:vAlign w:val="center"/>
            <w:hideMark/>
          </w:tcPr>
          <w:p w14:paraId="531B768F"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Geographic postal information</w:t>
            </w:r>
          </w:p>
        </w:tc>
      </w:tr>
      <w:tr w:rsidR="008320B7" w:rsidRPr="008320B7" w14:paraId="78400FEB" w14:textId="77777777" w:rsidTr="008320B7">
        <w:trPr>
          <w:tblCellSpacing w:w="15" w:type="dxa"/>
        </w:trPr>
        <w:tc>
          <w:tcPr>
            <w:tcW w:w="0" w:type="auto"/>
            <w:vAlign w:val="center"/>
            <w:hideMark/>
          </w:tcPr>
          <w:p w14:paraId="21CA5A89" w14:textId="77777777" w:rsidR="008320B7" w:rsidRPr="008320B7" w:rsidRDefault="008320B7" w:rsidP="00667BE1">
            <w:pPr>
              <w:spacing w:after="0"/>
              <w:jc w:val="both"/>
              <w:rPr>
                <w:rFonts w:ascii="Times New Roman" w:eastAsia="Times New Roman" w:hAnsi="Times New Roman" w:cs="Times New Roman"/>
                <w:sz w:val="24"/>
                <w:szCs w:val="24"/>
              </w:rPr>
            </w:pPr>
            <w:proofErr w:type="spellStart"/>
            <w:r w:rsidRPr="008320B7">
              <w:rPr>
                <w:rFonts w:ascii="Times New Roman" w:eastAsia="Times New Roman" w:hAnsi="Times New Roman" w:cs="Times New Roman"/>
                <w:sz w:val="24"/>
                <w:szCs w:val="24"/>
              </w:rPr>
              <w:t>Addr</w:t>
            </w:r>
            <w:proofErr w:type="spellEnd"/>
            <w:r w:rsidRPr="008320B7">
              <w:rPr>
                <w:rFonts w:ascii="Times New Roman" w:eastAsia="Times New Roman" w:hAnsi="Times New Roman" w:cs="Times New Roman"/>
                <w:sz w:val="24"/>
                <w:szCs w:val="24"/>
              </w:rPr>
              <w:t xml:space="preserve"> State</w:t>
            </w:r>
          </w:p>
        </w:tc>
        <w:tc>
          <w:tcPr>
            <w:tcW w:w="0" w:type="auto"/>
            <w:vAlign w:val="center"/>
            <w:hideMark/>
          </w:tcPr>
          <w:p w14:paraId="6AFFF3FD"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Borrower's state</w:t>
            </w:r>
          </w:p>
        </w:tc>
      </w:tr>
      <w:tr w:rsidR="008320B7" w:rsidRPr="008320B7" w14:paraId="77A7EF35" w14:textId="77777777" w:rsidTr="008320B7">
        <w:trPr>
          <w:tblCellSpacing w:w="15" w:type="dxa"/>
        </w:trPr>
        <w:tc>
          <w:tcPr>
            <w:tcW w:w="0" w:type="auto"/>
            <w:vAlign w:val="center"/>
            <w:hideMark/>
          </w:tcPr>
          <w:p w14:paraId="4CAF907F"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Debt Income Ratio</w:t>
            </w:r>
          </w:p>
        </w:tc>
        <w:tc>
          <w:tcPr>
            <w:tcW w:w="0" w:type="auto"/>
            <w:vAlign w:val="center"/>
            <w:hideMark/>
          </w:tcPr>
          <w:p w14:paraId="06474829"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Borrower's debt-to-income ratio</w:t>
            </w:r>
          </w:p>
        </w:tc>
      </w:tr>
      <w:tr w:rsidR="008320B7" w:rsidRPr="008320B7" w14:paraId="3BCB96E5" w14:textId="77777777" w:rsidTr="008320B7">
        <w:trPr>
          <w:tblCellSpacing w:w="15" w:type="dxa"/>
        </w:trPr>
        <w:tc>
          <w:tcPr>
            <w:tcW w:w="0" w:type="auto"/>
            <w:vAlign w:val="center"/>
            <w:hideMark/>
          </w:tcPr>
          <w:p w14:paraId="0090CBCE"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Operating Expenses</w:t>
            </w:r>
          </w:p>
        </w:tc>
        <w:tc>
          <w:tcPr>
            <w:tcW w:w="0" w:type="auto"/>
            <w:vAlign w:val="center"/>
            <w:hideMark/>
          </w:tcPr>
          <w:p w14:paraId="4DE74194"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Operating expenses associated with the loan/portfolio</w:t>
            </w:r>
          </w:p>
        </w:tc>
      </w:tr>
      <w:tr w:rsidR="008320B7" w:rsidRPr="008320B7" w14:paraId="16097ECC" w14:textId="77777777" w:rsidTr="008320B7">
        <w:trPr>
          <w:tblCellSpacing w:w="15" w:type="dxa"/>
        </w:trPr>
        <w:tc>
          <w:tcPr>
            <w:tcW w:w="0" w:type="auto"/>
            <w:vAlign w:val="center"/>
            <w:hideMark/>
          </w:tcPr>
          <w:p w14:paraId="0C68A31D"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Outstanding Principal Balance</w:t>
            </w:r>
          </w:p>
        </w:tc>
        <w:tc>
          <w:tcPr>
            <w:tcW w:w="0" w:type="auto"/>
            <w:vAlign w:val="center"/>
            <w:hideMark/>
          </w:tcPr>
          <w:p w14:paraId="254653CC"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Remaining unpaid principal</w:t>
            </w:r>
          </w:p>
        </w:tc>
      </w:tr>
      <w:tr w:rsidR="008320B7" w:rsidRPr="008320B7" w14:paraId="4A43ABCD" w14:textId="77777777" w:rsidTr="008320B7">
        <w:trPr>
          <w:tblCellSpacing w:w="15" w:type="dxa"/>
        </w:trPr>
        <w:tc>
          <w:tcPr>
            <w:tcW w:w="0" w:type="auto"/>
            <w:vAlign w:val="center"/>
            <w:hideMark/>
          </w:tcPr>
          <w:p w14:paraId="055208BE"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Total Payment</w:t>
            </w:r>
          </w:p>
        </w:tc>
        <w:tc>
          <w:tcPr>
            <w:tcW w:w="0" w:type="auto"/>
            <w:vAlign w:val="center"/>
            <w:hideMark/>
          </w:tcPr>
          <w:p w14:paraId="37261014"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Total amount paid</w:t>
            </w:r>
          </w:p>
        </w:tc>
      </w:tr>
      <w:tr w:rsidR="008320B7" w:rsidRPr="008320B7" w14:paraId="4198E86D" w14:textId="77777777" w:rsidTr="008320B7">
        <w:trPr>
          <w:tblCellSpacing w:w="15" w:type="dxa"/>
        </w:trPr>
        <w:tc>
          <w:tcPr>
            <w:tcW w:w="0" w:type="auto"/>
            <w:vAlign w:val="center"/>
            <w:hideMark/>
          </w:tcPr>
          <w:p w14:paraId="2122BDD4"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Last Payment Date</w:t>
            </w:r>
          </w:p>
        </w:tc>
        <w:tc>
          <w:tcPr>
            <w:tcW w:w="0" w:type="auto"/>
            <w:vAlign w:val="center"/>
            <w:hideMark/>
          </w:tcPr>
          <w:p w14:paraId="4CD92623"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Date of most recent payment</w:t>
            </w:r>
          </w:p>
        </w:tc>
      </w:tr>
      <w:tr w:rsidR="008320B7" w:rsidRPr="008320B7" w14:paraId="13C68172" w14:textId="77777777" w:rsidTr="008320B7">
        <w:trPr>
          <w:tblCellSpacing w:w="15" w:type="dxa"/>
        </w:trPr>
        <w:tc>
          <w:tcPr>
            <w:tcW w:w="0" w:type="auto"/>
            <w:vAlign w:val="center"/>
            <w:hideMark/>
          </w:tcPr>
          <w:p w14:paraId="22198407"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Last Payment Amount</w:t>
            </w:r>
          </w:p>
        </w:tc>
        <w:tc>
          <w:tcPr>
            <w:tcW w:w="0" w:type="auto"/>
            <w:vAlign w:val="center"/>
            <w:hideMark/>
          </w:tcPr>
          <w:p w14:paraId="47EABFA2"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Amount of most recent payment</w:t>
            </w:r>
          </w:p>
        </w:tc>
      </w:tr>
      <w:tr w:rsidR="008320B7" w:rsidRPr="008320B7" w14:paraId="43E1AFF9" w14:textId="77777777" w:rsidTr="008320B7">
        <w:trPr>
          <w:tblCellSpacing w:w="15" w:type="dxa"/>
        </w:trPr>
        <w:tc>
          <w:tcPr>
            <w:tcW w:w="0" w:type="auto"/>
            <w:vAlign w:val="center"/>
            <w:hideMark/>
          </w:tcPr>
          <w:p w14:paraId="4160B2DA"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Application Type</w:t>
            </w:r>
          </w:p>
        </w:tc>
        <w:tc>
          <w:tcPr>
            <w:tcW w:w="0" w:type="auto"/>
            <w:vAlign w:val="center"/>
            <w:hideMark/>
          </w:tcPr>
          <w:p w14:paraId="35BA3721" w14:textId="77777777" w:rsidR="008320B7" w:rsidRPr="008320B7" w:rsidRDefault="008320B7" w:rsidP="00667BE1">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Type of loan application</w:t>
            </w:r>
          </w:p>
        </w:tc>
      </w:tr>
    </w:tbl>
    <w:p w14:paraId="4428CC22" w14:textId="1FFAC6A6" w:rsidR="008320B7" w:rsidRPr="008320B7" w:rsidRDefault="008320B7" w:rsidP="00667BE1">
      <w:pPr>
        <w:spacing w:after="0"/>
        <w:jc w:val="both"/>
        <w:rPr>
          <w:rFonts w:ascii="Times New Roman" w:eastAsia="Times New Roman" w:hAnsi="Times New Roman" w:cs="Times New Roman"/>
          <w:sz w:val="24"/>
          <w:szCs w:val="24"/>
        </w:rPr>
      </w:pPr>
    </w:p>
    <w:p w14:paraId="4A8535D5" w14:textId="77777777" w:rsidR="00667BE1" w:rsidRDefault="00667BE1" w:rsidP="00667BE1">
      <w:pPr>
        <w:spacing w:before="100" w:beforeAutospacing="1" w:after="100" w:afterAutospacing="1"/>
        <w:jc w:val="both"/>
        <w:outlineLvl w:val="0"/>
        <w:rPr>
          <w:rFonts w:ascii="Times New Roman" w:eastAsia="Times New Roman" w:hAnsi="Times New Roman" w:cs="Times New Roman"/>
          <w:b/>
          <w:bCs/>
          <w:kern w:val="36"/>
          <w:sz w:val="24"/>
          <w:szCs w:val="24"/>
        </w:rPr>
      </w:pPr>
    </w:p>
    <w:p w14:paraId="6C2C04AC" w14:textId="01704149" w:rsidR="008320B7" w:rsidRPr="008320B7" w:rsidRDefault="008320B7" w:rsidP="00667BE1">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lastRenderedPageBreak/>
        <w:t>8. Data Preparation and Cleaning</w:t>
      </w:r>
    </w:p>
    <w:p w14:paraId="6FBC2FE5" w14:textId="6E29CAB5" w:rsidR="008320B7" w:rsidRPr="008320B7" w:rsidRDefault="008320B7" w:rsidP="00667BE1">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Before performing the analysis, the dataset </w:t>
      </w:r>
      <w:r w:rsidR="00667BE1">
        <w:rPr>
          <w:rFonts w:ascii="Times New Roman" w:eastAsia="Times New Roman" w:hAnsi="Times New Roman" w:cs="Times New Roman"/>
          <w:sz w:val="24"/>
          <w:szCs w:val="24"/>
        </w:rPr>
        <w:t>was</w:t>
      </w:r>
      <w:r w:rsidRPr="008320B7">
        <w:rPr>
          <w:rFonts w:ascii="Times New Roman" w:eastAsia="Times New Roman" w:hAnsi="Times New Roman" w:cs="Times New Roman"/>
          <w:sz w:val="24"/>
          <w:szCs w:val="24"/>
        </w:rPr>
        <w:t xml:space="preserve"> reviewed and prepared to ensure that the results are reliable.</w:t>
      </w:r>
    </w:p>
    <w:p w14:paraId="2186564F" w14:textId="42B6EB87" w:rsidR="008320B7" w:rsidRPr="008320B7" w:rsidRDefault="008320B7" w:rsidP="00667BE1">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major data-preparation activities</w:t>
      </w:r>
      <w:r w:rsidR="00264A84">
        <w:rPr>
          <w:rFonts w:ascii="Times New Roman" w:eastAsia="Times New Roman" w:hAnsi="Times New Roman" w:cs="Times New Roman"/>
          <w:sz w:val="24"/>
          <w:szCs w:val="24"/>
        </w:rPr>
        <w:t xml:space="preserve"> </w:t>
      </w:r>
      <w:r w:rsidR="00264A84" w:rsidRPr="00264A84">
        <w:rPr>
          <w:rFonts w:ascii="Times New Roman" w:eastAsia="Times New Roman" w:hAnsi="Times New Roman" w:cs="Times New Roman"/>
          <w:sz w:val="24"/>
          <w:szCs w:val="24"/>
        </w:rPr>
        <w:t>I</w:t>
      </w:r>
      <w:r w:rsidRPr="008320B7">
        <w:rPr>
          <w:rFonts w:ascii="Times New Roman" w:eastAsia="Times New Roman" w:hAnsi="Times New Roman" w:cs="Times New Roman"/>
          <w:sz w:val="24"/>
          <w:szCs w:val="24"/>
        </w:rPr>
        <w:t xml:space="preserve"> </w:t>
      </w:r>
      <w:r w:rsidR="00264A84">
        <w:rPr>
          <w:rFonts w:ascii="Times New Roman" w:eastAsia="Times New Roman" w:hAnsi="Times New Roman" w:cs="Times New Roman"/>
          <w:sz w:val="24"/>
          <w:szCs w:val="24"/>
        </w:rPr>
        <w:t xml:space="preserve">did </w:t>
      </w:r>
      <w:r w:rsidRPr="008320B7">
        <w:rPr>
          <w:rFonts w:ascii="Times New Roman" w:eastAsia="Times New Roman" w:hAnsi="Times New Roman" w:cs="Times New Roman"/>
          <w:sz w:val="24"/>
          <w:szCs w:val="24"/>
        </w:rPr>
        <w:t>include:</w:t>
      </w:r>
    </w:p>
    <w:p w14:paraId="39A9E0C1" w14:textId="77777777" w:rsidR="008320B7" w:rsidRPr="008320B7" w:rsidRDefault="008320B7" w:rsidP="00667BE1">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Removing duplicates</w:t>
      </w:r>
    </w:p>
    <w:p w14:paraId="45200D9A" w14:textId="6C9E5F09" w:rsidR="008320B7" w:rsidRPr="008320B7" w:rsidRDefault="008320B7" w:rsidP="00667BE1">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Loan IDs </w:t>
      </w:r>
      <w:r w:rsidR="00264A84">
        <w:rPr>
          <w:rFonts w:ascii="Times New Roman" w:eastAsia="Times New Roman" w:hAnsi="Times New Roman" w:cs="Times New Roman"/>
          <w:sz w:val="24"/>
          <w:szCs w:val="24"/>
        </w:rPr>
        <w:t>was</w:t>
      </w:r>
      <w:r w:rsidRPr="008320B7">
        <w:rPr>
          <w:rFonts w:ascii="Times New Roman" w:eastAsia="Times New Roman" w:hAnsi="Times New Roman" w:cs="Times New Roman"/>
          <w:sz w:val="24"/>
          <w:szCs w:val="24"/>
        </w:rPr>
        <w:t xml:space="preserve"> checked for duplicate records to ensure that the same loan is not counted multiple times</w:t>
      </w:r>
      <w:r w:rsidR="00264A84">
        <w:rPr>
          <w:rFonts w:ascii="Times New Roman" w:eastAsia="Times New Roman" w:hAnsi="Times New Roman" w:cs="Times New Roman"/>
          <w:sz w:val="24"/>
          <w:szCs w:val="24"/>
        </w:rPr>
        <w:t xml:space="preserve">, </w:t>
      </w:r>
      <w:proofErr w:type="gramStart"/>
      <w:r w:rsidR="00264A84">
        <w:rPr>
          <w:rFonts w:ascii="Times New Roman" w:eastAsia="Times New Roman" w:hAnsi="Times New Roman" w:cs="Times New Roman"/>
          <w:sz w:val="24"/>
          <w:szCs w:val="24"/>
        </w:rPr>
        <w:t>However</w:t>
      </w:r>
      <w:proofErr w:type="gramEnd"/>
      <w:r w:rsidR="00264A84">
        <w:rPr>
          <w:rFonts w:ascii="Times New Roman" w:eastAsia="Times New Roman" w:hAnsi="Times New Roman" w:cs="Times New Roman"/>
          <w:sz w:val="24"/>
          <w:szCs w:val="24"/>
        </w:rPr>
        <w:t xml:space="preserve"> there was no duplicate found.</w:t>
      </w:r>
    </w:p>
    <w:p w14:paraId="79B69D57" w14:textId="77777777" w:rsidR="008320B7" w:rsidRPr="008320B7" w:rsidRDefault="008320B7" w:rsidP="00667BE1">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Checking missing values</w:t>
      </w:r>
    </w:p>
    <w:p w14:paraId="34316937" w14:textId="64D049B5" w:rsidR="008320B7" w:rsidRPr="008320B7" w:rsidRDefault="00264A84" w:rsidP="00667BE1">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I checked the missing values of all the columns, for the categorical column the missing value that was there I replaced it with NA and for numerical columns the missing value was replace with zero (0).</w:t>
      </w:r>
    </w:p>
    <w:p w14:paraId="669E3912" w14:textId="77777777" w:rsidR="008320B7" w:rsidRPr="008320B7" w:rsidRDefault="008320B7" w:rsidP="00667BE1">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Standardizing dates</w:t>
      </w:r>
    </w:p>
    <w:p w14:paraId="5F005C6D" w14:textId="71445170" w:rsidR="008320B7" w:rsidRPr="008320B7" w:rsidRDefault="008320B7" w:rsidP="00667BE1">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w:t>
      </w:r>
      <w:r w:rsidRPr="008320B7">
        <w:rPr>
          <w:rFonts w:ascii="Times New Roman" w:eastAsia="Times New Roman" w:hAnsi="Times New Roman" w:cs="Times New Roman"/>
          <w:b/>
          <w:bCs/>
          <w:sz w:val="24"/>
          <w:szCs w:val="24"/>
        </w:rPr>
        <w:t>Disbursement Date</w:t>
      </w:r>
      <w:r w:rsidRPr="008320B7">
        <w:rPr>
          <w:rFonts w:ascii="Times New Roman" w:eastAsia="Times New Roman" w:hAnsi="Times New Roman" w:cs="Times New Roman"/>
          <w:sz w:val="24"/>
          <w:szCs w:val="24"/>
        </w:rPr>
        <w:t xml:space="preserve"> and </w:t>
      </w:r>
      <w:r w:rsidRPr="008320B7">
        <w:rPr>
          <w:rFonts w:ascii="Times New Roman" w:eastAsia="Times New Roman" w:hAnsi="Times New Roman" w:cs="Times New Roman"/>
          <w:b/>
          <w:bCs/>
          <w:sz w:val="24"/>
          <w:szCs w:val="24"/>
        </w:rPr>
        <w:t>Last Payment Date</w:t>
      </w:r>
      <w:r w:rsidRPr="008320B7">
        <w:rPr>
          <w:rFonts w:ascii="Times New Roman" w:eastAsia="Times New Roman" w:hAnsi="Times New Roman" w:cs="Times New Roman"/>
          <w:sz w:val="24"/>
          <w:szCs w:val="24"/>
        </w:rPr>
        <w:t xml:space="preserve"> </w:t>
      </w:r>
      <w:r w:rsidR="00264A84">
        <w:rPr>
          <w:rFonts w:ascii="Times New Roman" w:eastAsia="Times New Roman" w:hAnsi="Times New Roman" w:cs="Times New Roman"/>
          <w:sz w:val="24"/>
          <w:szCs w:val="24"/>
        </w:rPr>
        <w:t>was</w:t>
      </w:r>
      <w:r w:rsidRPr="008320B7">
        <w:rPr>
          <w:rFonts w:ascii="Times New Roman" w:eastAsia="Times New Roman" w:hAnsi="Times New Roman" w:cs="Times New Roman"/>
          <w:sz w:val="24"/>
          <w:szCs w:val="24"/>
        </w:rPr>
        <w:t xml:space="preserve"> converted into consistent Excel date formats.</w:t>
      </w:r>
    </w:p>
    <w:p w14:paraId="2BE6A93A" w14:textId="77777777" w:rsidR="008320B7" w:rsidRPr="008320B7" w:rsidRDefault="008320B7" w:rsidP="00667BE1">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Checking numerical fields</w:t>
      </w:r>
    </w:p>
    <w:p w14:paraId="4AF6D190" w14:textId="77777777" w:rsidR="008320B7" w:rsidRPr="008320B7" w:rsidRDefault="008320B7" w:rsidP="00667BE1">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Numerical fields such as:</w:t>
      </w:r>
    </w:p>
    <w:p w14:paraId="79D263B1" w14:textId="77777777" w:rsidR="008320B7" w:rsidRPr="008320B7" w:rsidRDefault="008320B7" w:rsidP="00667BE1">
      <w:pPr>
        <w:numPr>
          <w:ilvl w:val="0"/>
          <w:numId w:val="5"/>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Loan Amount </w:t>
      </w:r>
    </w:p>
    <w:p w14:paraId="17476A19" w14:textId="77777777" w:rsidR="008320B7" w:rsidRPr="008320B7" w:rsidRDefault="008320B7" w:rsidP="00667BE1">
      <w:pPr>
        <w:numPr>
          <w:ilvl w:val="0"/>
          <w:numId w:val="5"/>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Interest Rate </w:t>
      </w:r>
    </w:p>
    <w:p w14:paraId="29BE1108" w14:textId="77777777" w:rsidR="008320B7" w:rsidRPr="008320B7" w:rsidRDefault="008320B7" w:rsidP="00667BE1">
      <w:pPr>
        <w:numPr>
          <w:ilvl w:val="0"/>
          <w:numId w:val="5"/>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Installment </w:t>
      </w:r>
    </w:p>
    <w:p w14:paraId="7BA03279" w14:textId="77777777" w:rsidR="008320B7" w:rsidRPr="008320B7" w:rsidRDefault="008320B7" w:rsidP="00667BE1">
      <w:pPr>
        <w:numPr>
          <w:ilvl w:val="0"/>
          <w:numId w:val="5"/>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Annual Income </w:t>
      </w:r>
    </w:p>
    <w:p w14:paraId="4BBD529A" w14:textId="77777777" w:rsidR="008320B7" w:rsidRPr="008320B7" w:rsidRDefault="008320B7" w:rsidP="00667BE1">
      <w:pPr>
        <w:numPr>
          <w:ilvl w:val="0"/>
          <w:numId w:val="5"/>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Debt Income Ratio </w:t>
      </w:r>
    </w:p>
    <w:p w14:paraId="3916C785" w14:textId="77777777" w:rsidR="008320B7" w:rsidRPr="008320B7" w:rsidRDefault="008320B7" w:rsidP="00667BE1">
      <w:pPr>
        <w:numPr>
          <w:ilvl w:val="0"/>
          <w:numId w:val="5"/>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Outstanding Principal Balance </w:t>
      </w:r>
    </w:p>
    <w:p w14:paraId="39F11089" w14:textId="77777777" w:rsidR="008320B7" w:rsidRPr="008320B7" w:rsidRDefault="008320B7" w:rsidP="00667BE1">
      <w:pPr>
        <w:numPr>
          <w:ilvl w:val="0"/>
          <w:numId w:val="5"/>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Total Payment </w:t>
      </w:r>
    </w:p>
    <w:p w14:paraId="4E78A51B" w14:textId="00631354" w:rsidR="008320B7" w:rsidRPr="008320B7" w:rsidRDefault="009A42DA" w:rsidP="00667BE1">
      <w:pPr>
        <w:spacing w:before="100" w:beforeAutospacing="1" w:after="100" w:afterAutospacing="1"/>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Was</w:t>
      </w:r>
      <w:r w:rsidR="008320B7" w:rsidRPr="008320B7">
        <w:rPr>
          <w:rFonts w:ascii="Times New Roman" w:eastAsia="Times New Roman" w:hAnsi="Times New Roman" w:cs="Times New Roman"/>
          <w:sz w:val="24"/>
          <w:szCs w:val="24"/>
        </w:rPr>
        <w:t xml:space="preserve"> correctly formatted as numerical values.</w:t>
      </w:r>
    </w:p>
    <w:p w14:paraId="54B00A72" w14:textId="77777777" w:rsidR="009A42DA" w:rsidRDefault="009A42DA" w:rsidP="008320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52CDB37D" w14:textId="77777777" w:rsidR="009A42DA" w:rsidRDefault="009A42DA" w:rsidP="008320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0562E470" w14:textId="008D965A" w:rsidR="008320B7" w:rsidRPr="008320B7" w:rsidRDefault="008320B7" w:rsidP="009A42DA">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lastRenderedPageBreak/>
        <w:t>9. Risk Classification</w:t>
      </w:r>
    </w:p>
    <w:p w14:paraId="3DE2582E" w14:textId="77777777" w:rsidR="008320B7" w:rsidRPr="008320B7" w:rsidRDefault="008320B7" w:rsidP="009A42DA">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To make the dashboard easier to interpret, the loan-status information was grouped into three analytical categories:</w:t>
      </w:r>
    </w:p>
    <w:p w14:paraId="2F5DBF18" w14:textId="77777777" w:rsidR="008320B7" w:rsidRPr="008320B7" w:rsidRDefault="008320B7" w:rsidP="009A42DA">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Performing</w:t>
      </w:r>
    </w:p>
    <w:p w14:paraId="3A78C227" w14:textId="77777777" w:rsidR="008320B7" w:rsidRPr="008320B7" w:rsidRDefault="008320B7" w:rsidP="009A42DA">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Loans that are currently performing normally according to the defined loan-status classification.</w:t>
      </w:r>
    </w:p>
    <w:p w14:paraId="45BD221E" w14:textId="77777777" w:rsidR="008320B7" w:rsidRPr="008320B7" w:rsidRDefault="008320B7" w:rsidP="009A42DA">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At Risk</w:t>
      </w:r>
    </w:p>
    <w:p w14:paraId="03D2AB79" w14:textId="77777777" w:rsidR="008320B7" w:rsidRPr="008320B7" w:rsidRDefault="008320B7" w:rsidP="009A42DA">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Loans showing a status that warrants closer monitoring or early intervention.</w:t>
      </w:r>
    </w:p>
    <w:p w14:paraId="4408FAE0" w14:textId="77777777" w:rsidR="008320B7" w:rsidRPr="008320B7" w:rsidRDefault="008320B7" w:rsidP="009A42DA">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Adverse</w:t>
      </w:r>
    </w:p>
    <w:p w14:paraId="278D4CE0" w14:textId="77777777" w:rsidR="008320B7" w:rsidRPr="008320B7" w:rsidRDefault="008320B7" w:rsidP="009A42DA">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Loans with unfavorable outcomes requiring greater credit-risk or recovery attention.</w:t>
      </w:r>
    </w:p>
    <w:p w14:paraId="7070AB34" w14:textId="07799A4E" w:rsidR="008320B7" w:rsidRPr="008320B7" w:rsidRDefault="008320B7" w:rsidP="009A42DA">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exact mapping of individual Loan Status values into these three categories </w:t>
      </w:r>
      <w:r w:rsidR="009A42DA">
        <w:rPr>
          <w:rFonts w:ascii="Times New Roman" w:eastAsia="Times New Roman" w:hAnsi="Times New Roman" w:cs="Times New Roman"/>
          <w:sz w:val="24"/>
          <w:szCs w:val="24"/>
        </w:rPr>
        <w:t xml:space="preserve">was </w:t>
      </w:r>
      <w:r w:rsidRPr="008320B7">
        <w:rPr>
          <w:rFonts w:ascii="Times New Roman" w:eastAsia="Times New Roman" w:hAnsi="Times New Roman" w:cs="Times New Roman"/>
          <w:sz w:val="24"/>
          <w:szCs w:val="24"/>
        </w:rPr>
        <w:t>documented in the Excel workbook so that the classification is transparent and reproducible.</w:t>
      </w:r>
    </w:p>
    <w:p w14:paraId="2D64E034" w14:textId="77777777" w:rsidR="008320B7" w:rsidRPr="008320B7" w:rsidRDefault="008320B7" w:rsidP="009A42DA">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t>10. Key Performance Indicators</w:t>
      </w:r>
    </w:p>
    <w:p w14:paraId="11F9FD8A" w14:textId="77777777" w:rsidR="008320B7" w:rsidRPr="008320B7" w:rsidRDefault="008320B7" w:rsidP="009A42DA">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dashboard contains several important KPIs.</w:t>
      </w:r>
    </w:p>
    <w:p w14:paraId="3E805805" w14:textId="77777777" w:rsidR="008320B7" w:rsidRPr="008320B7" w:rsidRDefault="008320B7" w:rsidP="009A42DA">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Total Loans</w:t>
      </w:r>
    </w:p>
    <w:p w14:paraId="5CBD9D31" w14:textId="77777777" w:rsidR="008320B7" w:rsidRPr="008320B7" w:rsidRDefault="008320B7" w:rsidP="009A42DA">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b/>
          <w:bCs/>
          <w:sz w:val="24"/>
          <w:szCs w:val="24"/>
        </w:rPr>
        <w:t>49,913</w:t>
      </w:r>
    </w:p>
    <w:p w14:paraId="714457C9" w14:textId="77777777" w:rsidR="008320B7" w:rsidRPr="008320B7" w:rsidRDefault="008320B7" w:rsidP="009A42DA">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This represents the total number of loan records analyzed.</w:t>
      </w:r>
    </w:p>
    <w:p w14:paraId="65E8A4F1" w14:textId="77777777" w:rsidR="008320B7" w:rsidRPr="008320B7" w:rsidRDefault="008320B7" w:rsidP="009A42DA">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Performing Loans</w:t>
      </w:r>
    </w:p>
    <w:p w14:paraId="290C932F" w14:textId="77777777" w:rsidR="008320B7" w:rsidRPr="008320B7" w:rsidRDefault="008320B7" w:rsidP="009A42DA">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b/>
          <w:bCs/>
          <w:sz w:val="24"/>
          <w:szCs w:val="24"/>
        </w:rPr>
        <w:t>42,671</w:t>
      </w:r>
    </w:p>
    <w:p w14:paraId="62773F8C" w14:textId="77777777" w:rsidR="008320B7" w:rsidRPr="008320B7" w:rsidRDefault="008320B7" w:rsidP="009A42DA">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Approximately </w:t>
      </w:r>
      <w:r w:rsidRPr="008320B7">
        <w:rPr>
          <w:rFonts w:ascii="Times New Roman" w:eastAsia="Times New Roman" w:hAnsi="Times New Roman" w:cs="Times New Roman"/>
          <w:b/>
          <w:bCs/>
          <w:sz w:val="24"/>
          <w:szCs w:val="24"/>
        </w:rPr>
        <w:t>85.5%</w:t>
      </w:r>
      <w:r w:rsidRPr="008320B7">
        <w:rPr>
          <w:rFonts w:ascii="Times New Roman" w:eastAsia="Times New Roman" w:hAnsi="Times New Roman" w:cs="Times New Roman"/>
          <w:sz w:val="24"/>
          <w:szCs w:val="24"/>
        </w:rPr>
        <w:t xml:space="preserve"> of the analyzed loans are classified as Performing.</w:t>
      </w:r>
    </w:p>
    <w:p w14:paraId="13CDD705" w14:textId="77777777" w:rsidR="008320B7" w:rsidRPr="008320B7" w:rsidRDefault="008320B7" w:rsidP="009A42DA">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Adverse Loans</w:t>
      </w:r>
    </w:p>
    <w:p w14:paraId="5ABEA9A4" w14:textId="77777777" w:rsidR="008320B7" w:rsidRPr="008320B7" w:rsidRDefault="008320B7" w:rsidP="009A42DA">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b/>
          <w:bCs/>
          <w:sz w:val="24"/>
          <w:szCs w:val="24"/>
        </w:rPr>
        <w:t>6,963</w:t>
      </w:r>
    </w:p>
    <w:p w14:paraId="5F7ED5B6" w14:textId="77777777" w:rsidR="008320B7" w:rsidRPr="008320B7" w:rsidRDefault="008320B7" w:rsidP="009A42DA">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Approximately </w:t>
      </w:r>
      <w:r w:rsidRPr="008320B7">
        <w:rPr>
          <w:rFonts w:ascii="Times New Roman" w:eastAsia="Times New Roman" w:hAnsi="Times New Roman" w:cs="Times New Roman"/>
          <w:b/>
          <w:bCs/>
          <w:sz w:val="24"/>
          <w:szCs w:val="24"/>
        </w:rPr>
        <w:t>14.0%</w:t>
      </w:r>
      <w:r w:rsidRPr="008320B7">
        <w:rPr>
          <w:rFonts w:ascii="Times New Roman" w:eastAsia="Times New Roman" w:hAnsi="Times New Roman" w:cs="Times New Roman"/>
          <w:sz w:val="24"/>
          <w:szCs w:val="24"/>
        </w:rPr>
        <w:t xml:space="preserve"> are classified as Adverse.</w:t>
      </w:r>
    </w:p>
    <w:p w14:paraId="2C26A8CF" w14:textId="77777777" w:rsidR="009A42DA" w:rsidRDefault="009A42DA" w:rsidP="009A42DA">
      <w:pPr>
        <w:spacing w:before="100" w:beforeAutospacing="1" w:after="100" w:afterAutospacing="1"/>
        <w:jc w:val="both"/>
        <w:outlineLvl w:val="2"/>
        <w:rPr>
          <w:rFonts w:ascii="Times New Roman" w:eastAsia="Times New Roman" w:hAnsi="Times New Roman" w:cs="Times New Roman"/>
          <w:b/>
          <w:bCs/>
          <w:sz w:val="24"/>
          <w:szCs w:val="24"/>
        </w:rPr>
      </w:pPr>
    </w:p>
    <w:p w14:paraId="1FD99EDB" w14:textId="649E68C8" w:rsidR="008320B7" w:rsidRPr="008320B7" w:rsidRDefault="008320B7" w:rsidP="009A42DA">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lastRenderedPageBreak/>
        <w:t>At-Risk Loans</w:t>
      </w:r>
    </w:p>
    <w:p w14:paraId="7AAFF512" w14:textId="77777777" w:rsidR="008320B7" w:rsidRPr="008320B7" w:rsidRDefault="008320B7" w:rsidP="009A42DA">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b/>
          <w:bCs/>
          <w:sz w:val="24"/>
          <w:szCs w:val="24"/>
        </w:rPr>
        <w:t>279</w:t>
      </w:r>
    </w:p>
    <w:p w14:paraId="4B59B89D" w14:textId="77777777" w:rsidR="008320B7" w:rsidRPr="008320B7" w:rsidRDefault="008320B7" w:rsidP="009A42DA">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Approximately </w:t>
      </w:r>
      <w:r w:rsidRPr="008320B7">
        <w:rPr>
          <w:rFonts w:ascii="Times New Roman" w:eastAsia="Times New Roman" w:hAnsi="Times New Roman" w:cs="Times New Roman"/>
          <w:b/>
          <w:bCs/>
          <w:sz w:val="24"/>
          <w:szCs w:val="24"/>
        </w:rPr>
        <w:t>0.6%</w:t>
      </w:r>
      <w:r w:rsidRPr="008320B7">
        <w:rPr>
          <w:rFonts w:ascii="Times New Roman" w:eastAsia="Times New Roman" w:hAnsi="Times New Roman" w:cs="Times New Roman"/>
          <w:sz w:val="24"/>
          <w:szCs w:val="24"/>
        </w:rPr>
        <w:t xml:space="preserve"> are classified as At Risk.</w:t>
      </w:r>
    </w:p>
    <w:p w14:paraId="4C0C294A" w14:textId="77777777" w:rsidR="008320B7" w:rsidRPr="008320B7" w:rsidRDefault="008320B7" w:rsidP="009A42DA">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KPI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15"/>
        <w:gridCol w:w="825"/>
      </w:tblGrid>
      <w:tr w:rsidR="008320B7" w:rsidRPr="008320B7" w14:paraId="11782DCE" w14:textId="77777777" w:rsidTr="008320B7">
        <w:trPr>
          <w:tblHeader/>
          <w:tblCellSpacing w:w="15" w:type="dxa"/>
        </w:trPr>
        <w:tc>
          <w:tcPr>
            <w:tcW w:w="0" w:type="auto"/>
            <w:vAlign w:val="center"/>
            <w:hideMark/>
          </w:tcPr>
          <w:p w14:paraId="0998D5F3" w14:textId="77777777" w:rsidR="008320B7" w:rsidRPr="008320B7" w:rsidRDefault="008320B7" w:rsidP="009A42DA">
            <w:pPr>
              <w:spacing w:after="0"/>
              <w:jc w:val="both"/>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KPI</w:t>
            </w:r>
          </w:p>
        </w:tc>
        <w:tc>
          <w:tcPr>
            <w:tcW w:w="0" w:type="auto"/>
            <w:vAlign w:val="center"/>
            <w:hideMark/>
          </w:tcPr>
          <w:p w14:paraId="47548B7E" w14:textId="77777777" w:rsidR="008320B7" w:rsidRPr="008320B7" w:rsidRDefault="008320B7" w:rsidP="009A42DA">
            <w:pPr>
              <w:spacing w:after="0"/>
              <w:jc w:val="both"/>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Result</w:t>
            </w:r>
          </w:p>
        </w:tc>
      </w:tr>
      <w:tr w:rsidR="008320B7" w:rsidRPr="008320B7" w14:paraId="12BE75FF" w14:textId="77777777" w:rsidTr="008320B7">
        <w:trPr>
          <w:tblCellSpacing w:w="15" w:type="dxa"/>
        </w:trPr>
        <w:tc>
          <w:tcPr>
            <w:tcW w:w="0" w:type="auto"/>
            <w:vAlign w:val="center"/>
            <w:hideMark/>
          </w:tcPr>
          <w:p w14:paraId="4A81E0D2" w14:textId="77777777" w:rsidR="008320B7" w:rsidRPr="008320B7" w:rsidRDefault="008320B7" w:rsidP="009A42DA">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Total Loans</w:t>
            </w:r>
          </w:p>
        </w:tc>
        <w:tc>
          <w:tcPr>
            <w:tcW w:w="0" w:type="auto"/>
            <w:vAlign w:val="center"/>
            <w:hideMark/>
          </w:tcPr>
          <w:p w14:paraId="739ABFD6" w14:textId="77777777" w:rsidR="008320B7" w:rsidRPr="008320B7" w:rsidRDefault="008320B7" w:rsidP="009A42DA">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49,913</w:t>
            </w:r>
          </w:p>
        </w:tc>
      </w:tr>
      <w:tr w:rsidR="008320B7" w:rsidRPr="008320B7" w14:paraId="572B610E" w14:textId="77777777" w:rsidTr="008320B7">
        <w:trPr>
          <w:tblCellSpacing w:w="15" w:type="dxa"/>
        </w:trPr>
        <w:tc>
          <w:tcPr>
            <w:tcW w:w="0" w:type="auto"/>
            <w:vAlign w:val="center"/>
            <w:hideMark/>
          </w:tcPr>
          <w:p w14:paraId="2FC177DA" w14:textId="77777777" w:rsidR="008320B7" w:rsidRPr="008320B7" w:rsidRDefault="008320B7" w:rsidP="009A42DA">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Performing Loans</w:t>
            </w:r>
          </w:p>
        </w:tc>
        <w:tc>
          <w:tcPr>
            <w:tcW w:w="0" w:type="auto"/>
            <w:vAlign w:val="center"/>
            <w:hideMark/>
          </w:tcPr>
          <w:p w14:paraId="2C1FB339" w14:textId="77777777" w:rsidR="008320B7" w:rsidRPr="008320B7" w:rsidRDefault="008320B7" w:rsidP="009A42DA">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42,671</w:t>
            </w:r>
          </w:p>
        </w:tc>
      </w:tr>
      <w:tr w:rsidR="008320B7" w:rsidRPr="008320B7" w14:paraId="5CB3D8F2" w14:textId="77777777" w:rsidTr="008320B7">
        <w:trPr>
          <w:tblCellSpacing w:w="15" w:type="dxa"/>
        </w:trPr>
        <w:tc>
          <w:tcPr>
            <w:tcW w:w="0" w:type="auto"/>
            <w:vAlign w:val="center"/>
            <w:hideMark/>
          </w:tcPr>
          <w:p w14:paraId="36373DA3" w14:textId="77777777" w:rsidR="008320B7" w:rsidRPr="008320B7" w:rsidRDefault="008320B7" w:rsidP="009A42DA">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Adverse Loans</w:t>
            </w:r>
          </w:p>
        </w:tc>
        <w:tc>
          <w:tcPr>
            <w:tcW w:w="0" w:type="auto"/>
            <w:vAlign w:val="center"/>
            <w:hideMark/>
          </w:tcPr>
          <w:p w14:paraId="0044711B" w14:textId="77777777" w:rsidR="008320B7" w:rsidRPr="008320B7" w:rsidRDefault="008320B7" w:rsidP="009A42DA">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6,963</w:t>
            </w:r>
          </w:p>
        </w:tc>
      </w:tr>
      <w:tr w:rsidR="008320B7" w:rsidRPr="008320B7" w14:paraId="18FD1A9E" w14:textId="77777777" w:rsidTr="008320B7">
        <w:trPr>
          <w:tblCellSpacing w:w="15" w:type="dxa"/>
        </w:trPr>
        <w:tc>
          <w:tcPr>
            <w:tcW w:w="0" w:type="auto"/>
            <w:vAlign w:val="center"/>
            <w:hideMark/>
          </w:tcPr>
          <w:p w14:paraId="7A96A855" w14:textId="77777777" w:rsidR="008320B7" w:rsidRPr="008320B7" w:rsidRDefault="008320B7" w:rsidP="009A42DA">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At-Risk Loans</w:t>
            </w:r>
          </w:p>
        </w:tc>
        <w:tc>
          <w:tcPr>
            <w:tcW w:w="0" w:type="auto"/>
            <w:vAlign w:val="center"/>
            <w:hideMark/>
          </w:tcPr>
          <w:p w14:paraId="00C4CD1A" w14:textId="77777777" w:rsidR="008320B7" w:rsidRPr="008320B7" w:rsidRDefault="008320B7" w:rsidP="009A42DA">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279</w:t>
            </w:r>
          </w:p>
        </w:tc>
      </w:tr>
      <w:tr w:rsidR="008320B7" w:rsidRPr="008320B7" w14:paraId="5EF088EA" w14:textId="77777777" w:rsidTr="008320B7">
        <w:trPr>
          <w:tblCellSpacing w:w="15" w:type="dxa"/>
        </w:trPr>
        <w:tc>
          <w:tcPr>
            <w:tcW w:w="0" w:type="auto"/>
            <w:vAlign w:val="center"/>
            <w:hideMark/>
          </w:tcPr>
          <w:p w14:paraId="40F2CD68" w14:textId="77777777" w:rsidR="008320B7" w:rsidRPr="008320B7" w:rsidRDefault="008320B7" w:rsidP="009A42DA">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Performing Rate</w:t>
            </w:r>
          </w:p>
        </w:tc>
        <w:tc>
          <w:tcPr>
            <w:tcW w:w="0" w:type="auto"/>
            <w:vAlign w:val="center"/>
            <w:hideMark/>
          </w:tcPr>
          <w:p w14:paraId="3DBEE1FD" w14:textId="77777777" w:rsidR="008320B7" w:rsidRPr="008320B7" w:rsidRDefault="008320B7" w:rsidP="009A42DA">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~85.5%</w:t>
            </w:r>
          </w:p>
        </w:tc>
      </w:tr>
      <w:tr w:rsidR="008320B7" w:rsidRPr="008320B7" w14:paraId="1B33E574" w14:textId="77777777" w:rsidTr="008320B7">
        <w:trPr>
          <w:tblCellSpacing w:w="15" w:type="dxa"/>
        </w:trPr>
        <w:tc>
          <w:tcPr>
            <w:tcW w:w="0" w:type="auto"/>
            <w:vAlign w:val="center"/>
            <w:hideMark/>
          </w:tcPr>
          <w:p w14:paraId="4CC16953" w14:textId="77777777" w:rsidR="008320B7" w:rsidRPr="008320B7" w:rsidRDefault="008320B7" w:rsidP="009A42DA">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Adverse Rate</w:t>
            </w:r>
          </w:p>
        </w:tc>
        <w:tc>
          <w:tcPr>
            <w:tcW w:w="0" w:type="auto"/>
            <w:vAlign w:val="center"/>
            <w:hideMark/>
          </w:tcPr>
          <w:p w14:paraId="32F279B5" w14:textId="77777777" w:rsidR="008320B7" w:rsidRPr="008320B7" w:rsidRDefault="008320B7" w:rsidP="009A42DA">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~14.0%</w:t>
            </w:r>
          </w:p>
        </w:tc>
      </w:tr>
      <w:tr w:rsidR="008320B7" w:rsidRPr="008320B7" w14:paraId="25816BD5" w14:textId="77777777" w:rsidTr="008320B7">
        <w:trPr>
          <w:tblCellSpacing w:w="15" w:type="dxa"/>
        </w:trPr>
        <w:tc>
          <w:tcPr>
            <w:tcW w:w="0" w:type="auto"/>
            <w:vAlign w:val="center"/>
            <w:hideMark/>
          </w:tcPr>
          <w:p w14:paraId="30F65EAB" w14:textId="77777777" w:rsidR="008320B7" w:rsidRPr="008320B7" w:rsidRDefault="008320B7" w:rsidP="009A42DA">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At-Risk Rate</w:t>
            </w:r>
          </w:p>
        </w:tc>
        <w:tc>
          <w:tcPr>
            <w:tcW w:w="0" w:type="auto"/>
            <w:vAlign w:val="center"/>
            <w:hideMark/>
          </w:tcPr>
          <w:p w14:paraId="769AA38E" w14:textId="77777777" w:rsidR="008320B7" w:rsidRPr="008320B7" w:rsidRDefault="008320B7" w:rsidP="009A42DA">
            <w:pPr>
              <w:spacing w:after="0"/>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~0.6%</w:t>
            </w:r>
          </w:p>
        </w:tc>
      </w:tr>
    </w:tbl>
    <w:p w14:paraId="724154E0" w14:textId="1C3E4ED0" w:rsidR="008320B7" w:rsidRPr="008320B7" w:rsidRDefault="008320B7" w:rsidP="009A42DA">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These figures provide</w:t>
      </w:r>
      <w:r w:rsidR="009A42DA">
        <w:rPr>
          <w:rFonts w:ascii="Times New Roman" w:eastAsia="Times New Roman" w:hAnsi="Times New Roman" w:cs="Times New Roman"/>
          <w:sz w:val="24"/>
          <w:szCs w:val="24"/>
        </w:rPr>
        <w:t xml:space="preserve"> </w:t>
      </w:r>
      <w:r w:rsidRPr="008320B7">
        <w:rPr>
          <w:rFonts w:ascii="Times New Roman" w:eastAsia="Times New Roman" w:hAnsi="Times New Roman" w:cs="Times New Roman"/>
          <w:sz w:val="24"/>
          <w:szCs w:val="24"/>
        </w:rPr>
        <w:t>an immediate overview of the portfolio's current risk distribution.</w:t>
      </w:r>
    </w:p>
    <w:p w14:paraId="4F62162D" w14:textId="77777777" w:rsidR="008320B7" w:rsidRPr="008320B7" w:rsidRDefault="008320B7" w:rsidP="009579F9">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t>11. Key Insight 1 — Overall Loan Performance</w:t>
      </w:r>
    </w:p>
    <w:p w14:paraId="00F99F7B" w14:textId="77777777" w:rsidR="008320B7" w:rsidRPr="008320B7" w:rsidRDefault="008320B7" w:rsidP="009579F9">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portfolio contains </w:t>
      </w:r>
      <w:r w:rsidRPr="008320B7">
        <w:rPr>
          <w:rFonts w:ascii="Times New Roman" w:eastAsia="Times New Roman" w:hAnsi="Times New Roman" w:cs="Times New Roman"/>
          <w:b/>
          <w:bCs/>
          <w:sz w:val="24"/>
          <w:szCs w:val="24"/>
        </w:rPr>
        <w:t>49,913 loans</w:t>
      </w:r>
      <w:r w:rsidRPr="008320B7">
        <w:rPr>
          <w:rFonts w:ascii="Times New Roman" w:eastAsia="Times New Roman" w:hAnsi="Times New Roman" w:cs="Times New Roman"/>
          <w:sz w:val="24"/>
          <w:szCs w:val="24"/>
        </w:rPr>
        <w:t xml:space="preserve">, of which </w:t>
      </w:r>
      <w:r w:rsidRPr="008320B7">
        <w:rPr>
          <w:rFonts w:ascii="Times New Roman" w:eastAsia="Times New Roman" w:hAnsi="Times New Roman" w:cs="Times New Roman"/>
          <w:b/>
          <w:bCs/>
          <w:sz w:val="24"/>
          <w:szCs w:val="24"/>
        </w:rPr>
        <w:t>42,671 are classified as Performing</w:t>
      </w:r>
      <w:r w:rsidRPr="008320B7">
        <w:rPr>
          <w:rFonts w:ascii="Times New Roman" w:eastAsia="Times New Roman" w:hAnsi="Times New Roman" w:cs="Times New Roman"/>
          <w:sz w:val="24"/>
          <w:szCs w:val="24"/>
        </w:rPr>
        <w:t>.</w:t>
      </w:r>
    </w:p>
    <w:p w14:paraId="0367F114" w14:textId="77777777" w:rsidR="008320B7" w:rsidRPr="008320B7" w:rsidRDefault="008320B7" w:rsidP="009579F9">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This means that approximately </w:t>
      </w:r>
      <w:r w:rsidRPr="008320B7">
        <w:rPr>
          <w:rFonts w:ascii="Times New Roman" w:eastAsia="Times New Roman" w:hAnsi="Times New Roman" w:cs="Times New Roman"/>
          <w:b/>
          <w:bCs/>
          <w:sz w:val="24"/>
          <w:szCs w:val="24"/>
        </w:rPr>
        <w:t>85.5% of the portfolio falls within the Performing category</w:t>
      </w:r>
      <w:r w:rsidRPr="008320B7">
        <w:rPr>
          <w:rFonts w:ascii="Times New Roman" w:eastAsia="Times New Roman" w:hAnsi="Times New Roman" w:cs="Times New Roman"/>
          <w:sz w:val="24"/>
          <w:szCs w:val="24"/>
        </w:rPr>
        <w:t>.</w:t>
      </w:r>
    </w:p>
    <w:p w14:paraId="45983301" w14:textId="77777777" w:rsidR="008320B7" w:rsidRPr="008320B7" w:rsidRDefault="008320B7" w:rsidP="009579F9">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However, </w:t>
      </w:r>
      <w:r w:rsidRPr="008320B7">
        <w:rPr>
          <w:rFonts w:ascii="Times New Roman" w:eastAsia="Times New Roman" w:hAnsi="Times New Roman" w:cs="Times New Roman"/>
          <w:b/>
          <w:bCs/>
          <w:sz w:val="24"/>
          <w:szCs w:val="24"/>
        </w:rPr>
        <w:t>6,963 loans are classified as Adverse</w:t>
      </w:r>
      <w:r w:rsidRPr="008320B7">
        <w:rPr>
          <w:rFonts w:ascii="Times New Roman" w:eastAsia="Times New Roman" w:hAnsi="Times New Roman" w:cs="Times New Roman"/>
          <w:sz w:val="24"/>
          <w:szCs w:val="24"/>
        </w:rPr>
        <w:t xml:space="preserve">, representing approximately </w:t>
      </w:r>
      <w:r w:rsidRPr="008320B7">
        <w:rPr>
          <w:rFonts w:ascii="Times New Roman" w:eastAsia="Times New Roman" w:hAnsi="Times New Roman" w:cs="Times New Roman"/>
          <w:b/>
          <w:bCs/>
          <w:sz w:val="24"/>
          <w:szCs w:val="24"/>
        </w:rPr>
        <w:t>14.0% of the portfolio</w:t>
      </w:r>
      <w:r w:rsidRPr="008320B7">
        <w:rPr>
          <w:rFonts w:ascii="Times New Roman" w:eastAsia="Times New Roman" w:hAnsi="Times New Roman" w:cs="Times New Roman"/>
          <w:sz w:val="24"/>
          <w:szCs w:val="24"/>
        </w:rPr>
        <w:t>.</w:t>
      </w:r>
    </w:p>
    <w:p w14:paraId="7AE98F2D" w14:textId="77777777" w:rsidR="008320B7" w:rsidRPr="008320B7" w:rsidRDefault="008320B7" w:rsidP="009579F9">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Business Insight</w:t>
      </w:r>
    </w:p>
    <w:p w14:paraId="6D269BD1" w14:textId="77777777" w:rsidR="008320B7" w:rsidRPr="008320B7" w:rsidRDefault="008320B7" w:rsidP="009579F9">
      <w:pPr>
        <w:spacing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majority of loans are performing, but the adverse segment represents a material portion of the portfolio and should receive continued monitoring, particularly where significant outstanding principal is involved.</w:t>
      </w:r>
    </w:p>
    <w:p w14:paraId="7D34A578" w14:textId="77777777" w:rsidR="008320B7" w:rsidRPr="008320B7" w:rsidRDefault="008320B7" w:rsidP="009579F9">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Recommendation</w:t>
      </w:r>
    </w:p>
    <w:p w14:paraId="57B24A63" w14:textId="5ADE26A4" w:rsidR="008320B7" w:rsidRPr="008320B7" w:rsidRDefault="008320B7" w:rsidP="009579F9">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Management should maintain regular monitoring of adverse loans and prioritize those with large outstanding balances for appropriate recovery and portfolio-management activities.</w:t>
      </w:r>
    </w:p>
    <w:p w14:paraId="4A20B0BD" w14:textId="77777777" w:rsidR="00DD2ACB" w:rsidRDefault="00DD2ACB" w:rsidP="00DD2ACB">
      <w:pPr>
        <w:spacing w:before="100" w:beforeAutospacing="1" w:after="100" w:afterAutospacing="1"/>
        <w:jc w:val="both"/>
        <w:outlineLvl w:val="0"/>
        <w:rPr>
          <w:rFonts w:ascii="Times New Roman" w:eastAsia="Times New Roman" w:hAnsi="Times New Roman" w:cs="Times New Roman"/>
          <w:b/>
          <w:bCs/>
          <w:kern w:val="36"/>
          <w:sz w:val="24"/>
          <w:szCs w:val="24"/>
        </w:rPr>
      </w:pPr>
    </w:p>
    <w:p w14:paraId="6DDC9EC4" w14:textId="62A40A01" w:rsidR="008320B7" w:rsidRPr="008320B7" w:rsidRDefault="008320B7" w:rsidP="00DD2ACB">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lastRenderedPageBreak/>
        <w:t>12. Key Insight 2 — Loan Grade Performance</w:t>
      </w:r>
    </w:p>
    <w:p w14:paraId="43C3A722" w14:textId="59601BDE" w:rsidR="008320B7" w:rsidRPr="00DD2ACB" w:rsidRDefault="008320B7" w:rsidP="00DD2ACB">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w:t>
      </w:r>
      <w:r w:rsidR="00DD2ACB">
        <w:rPr>
          <w:rFonts w:ascii="Times New Roman" w:eastAsia="Times New Roman" w:hAnsi="Times New Roman" w:cs="Times New Roman"/>
          <w:sz w:val="24"/>
          <w:szCs w:val="24"/>
        </w:rPr>
        <w:t>PIVOT report</w:t>
      </w:r>
      <w:r w:rsidRPr="008320B7">
        <w:rPr>
          <w:rFonts w:ascii="Times New Roman" w:eastAsia="Times New Roman" w:hAnsi="Times New Roman" w:cs="Times New Roman"/>
          <w:sz w:val="24"/>
          <w:szCs w:val="24"/>
        </w:rPr>
        <w:t xml:space="preserve"> compares Performing, At Risk, and Adverse loans across loan grades </w:t>
      </w:r>
      <w:r w:rsidRPr="008320B7">
        <w:rPr>
          <w:rFonts w:ascii="Times New Roman" w:eastAsia="Times New Roman" w:hAnsi="Times New Roman" w:cs="Times New Roman"/>
          <w:b/>
          <w:bCs/>
          <w:sz w:val="24"/>
          <w:szCs w:val="24"/>
        </w:rPr>
        <w:t>A through G</w:t>
      </w:r>
      <w:r w:rsidRPr="008320B7">
        <w:rPr>
          <w:rFonts w:ascii="Times New Roman" w:eastAsia="Times New Roman" w:hAnsi="Times New Roman" w:cs="Times New Roman"/>
          <w:sz w:val="24"/>
          <w:szCs w:val="24"/>
        </w:rPr>
        <w:t>.</w:t>
      </w:r>
    </w:p>
    <w:tbl>
      <w:tblPr>
        <w:tblW w:w="6340" w:type="dxa"/>
        <w:tblInd w:w="108" w:type="dxa"/>
        <w:tblLook w:val="04A0" w:firstRow="1" w:lastRow="0" w:firstColumn="1" w:lastColumn="0" w:noHBand="0" w:noVBand="1"/>
      </w:tblPr>
      <w:tblGrid>
        <w:gridCol w:w="1640"/>
        <w:gridCol w:w="1294"/>
        <w:gridCol w:w="1106"/>
        <w:gridCol w:w="1244"/>
        <w:gridCol w:w="1180"/>
      </w:tblGrid>
      <w:tr w:rsidR="009579F9" w:rsidRPr="009579F9" w14:paraId="7D36074B" w14:textId="77777777" w:rsidTr="009579F9">
        <w:trPr>
          <w:trHeight w:val="290"/>
        </w:trPr>
        <w:tc>
          <w:tcPr>
            <w:tcW w:w="1640" w:type="dxa"/>
            <w:tcBorders>
              <w:top w:val="nil"/>
              <w:left w:val="nil"/>
              <w:bottom w:val="nil"/>
              <w:right w:val="nil"/>
            </w:tcBorders>
            <w:shd w:val="clear" w:color="D9E1F2" w:fill="D9E1F2"/>
            <w:noWrap/>
            <w:vAlign w:val="bottom"/>
            <w:hideMark/>
          </w:tcPr>
          <w:p w14:paraId="332EEF2C" w14:textId="77777777" w:rsidR="009579F9" w:rsidRPr="009579F9" w:rsidRDefault="009579F9" w:rsidP="009579F9">
            <w:pPr>
              <w:spacing w:after="0" w:line="240" w:lineRule="auto"/>
              <w:rPr>
                <w:rFonts w:ascii="Calibri" w:eastAsia="Times New Roman" w:hAnsi="Calibri" w:cs="Calibri"/>
                <w:b/>
                <w:bCs/>
                <w:color w:val="000000"/>
              </w:rPr>
            </w:pPr>
            <w:r w:rsidRPr="009579F9">
              <w:rPr>
                <w:rFonts w:ascii="Calibri" w:eastAsia="Times New Roman" w:hAnsi="Calibri" w:cs="Calibri"/>
                <w:b/>
                <w:bCs/>
                <w:color w:val="000000"/>
              </w:rPr>
              <w:t xml:space="preserve">Count of </w:t>
            </w:r>
            <w:proofErr w:type="spellStart"/>
            <w:r w:rsidRPr="009579F9">
              <w:rPr>
                <w:rFonts w:ascii="Calibri" w:eastAsia="Times New Roman" w:hAnsi="Calibri" w:cs="Calibri"/>
                <w:b/>
                <w:bCs/>
                <w:color w:val="000000"/>
              </w:rPr>
              <w:t>loan_id</w:t>
            </w:r>
            <w:proofErr w:type="spellEnd"/>
          </w:p>
        </w:tc>
        <w:tc>
          <w:tcPr>
            <w:tcW w:w="2400" w:type="dxa"/>
            <w:gridSpan w:val="2"/>
            <w:tcBorders>
              <w:top w:val="nil"/>
              <w:left w:val="nil"/>
              <w:bottom w:val="nil"/>
              <w:right w:val="nil"/>
            </w:tcBorders>
            <w:shd w:val="clear" w:color="D9E1F2" w:fill="D9E1F2"/>
            <w:noWrap/>
            <w:vAlign w:val="bottom"/>
            <w:hideMark/>
          </w:tcPr>
          <w:p w14:paraId="2A9A3757" w14:textId="77777777" w:rsidR="009579F9" w:rsidRPr="009579F9" w:rsidRDefault="009579F9" w:rsidP="009579F9">
            <w:pPr>
              <w:spacing w:after="0" w:line="240" w:lineRule="auto"/>
              <w:rPr>
                <w:rFonts w:ascii="Calibri" w:eastAsia="Times New Roman" w:hAnsi="Calibri" w:cs="Calibri"/>
                <w:b/>
                <w:bCs/>
                <w:color w:val="000000"/>
              </w:rPr>
            </w:pPr>
            <w:r w:rsidRPr="009579F9">
              <w:rPr>
                <w:rFonts w:ascii="Calibri" w:eastAsia="Times New Roman" w:hAnsi="Calibri" w:cs="Calibri"/>
                <w:b/>
                <w:bCs/>
                <w:color w:val="000000"/>
              </w:rPr>
              <w:t>Loan Grade Performance</w:t>
            </w:r>
          </w:p>
        </w:tc>
        <w:tc>
          <w:tcPr>
            <w:tcW w:w="1120" w:type="dxa"/>
            <w:tcBorders>
              <w:top w:val="nil"/>
              <w:left w:val="nil"/>
              <w:bottom w:val="nil"/>
              <w:right w:val="nil"/>
            </w:tcBorders>
            <w:shd w:val="clear" w:color="D9E1F2" w:fill="D9E1F2"/>
            <w:noWrap/>
            <w:vAlign w:val="bottom"/>
            <w:hideMark/>
          </w:tcPr>
          <w:p w14:paraId="7949BB9A" w14:textId="77777777" w:rsidR="009579F9" w:rsidRPr="009579F9" w:rsidRDefault="009579F9" w:rsidP="009579F9">
            <w:pPr>
              <w:spacing w:after="0" w:line="240" w:lineRule="auto"/>
              <w:rPr>
                <w:rFonts w:ascii="Calibri" w:eastAsia="Times New Roman" w:hAnsi="Calibri" w:cs="Calibri"/>
                <w:b/>
                <w:bCs/>
                <w:color w:val="000000"/>
              </w:rPr>
            </w:pPr>
          </w:p>
        </w:tc>
        <w:tc>
          <w:tcPr>
            <w:tcW w:w="1180" w:type="dxa"/>
            <w:tcBorders>
              <w:top w:val="nil"/>
              <w:left w:val="nil"/>
              <w:bottom w:val="nil"/>
              <w:right w:val="nil"/>
            </w:tcBorders>
            <w:shd w:val="clear" w:color="D9E1F2" w:fill="D9E1F2"/>
            <w:noWrap/>
            <w:vAlign w:val="bottom"/>
            <w:hideMark/>
          </w:tcPr>
          <w:p w14:paraId="1CAEE93A" w14:textId="77777777" w:rsidR="009579F9" w:rsidRPr="009579F9" w:rsidRDefault="009579F9" w:rsidP="009579F9">
            <w:pPr>
              <w:spacing w:after="0" w:line="240" w:lineRule="auto"/>
              <w:rPr>
                <w:rFonts w:ascii="Times New Roman" w:eastAsia="Times New Roman" w:hAnsi="Times New Roman" w:cs="Times New Roman"/>
                <w:sz w:val="20"/>
                <w:szCs w:val="20"/>
              </w:rPr>
            </w:pPr>
          </w:p>
        </w:tc>
      </w:tr>
      <w:tr w:rsidR="009579F9" w:rsidRPr="009579F9" w14:paraId="43B60611" w14:textId="77777777" w:rsidTr="009579F9">
        <w:trPr>
          <w:trHeight w:val="290"/>
        </w:trPr>
        <w:tc>
          <w:tcPr>
            <w:tcW w:w="1640" w:type="dxa"/>
            <w:tcBorders>
              <w:top w:val="nil"/>
              <w:left w:val="nil"/>
              <w:bottom w:val="single" w:sz="4" w:space="0" w:color="8EA9DB"/>
              <w:right w:val="nil"/>
            </w:tcBorders>
            <w:shd w:val="clear" w:color="D9E1F2" w:fill="D9E1F2"/>
            <w:noWrap/>
            <w:vAlign w:val="bottom"/>
            <w:hideMark/>
          </w:tcPr>
          <w:p w14:paraId="1CC2D56A" w14:textId="1C1CFE9F" w:rsidR="009579F9" w:rsidRPr="009579F9" w:rsidRDefault="00D3643D" w:rsidP="009579F9">
            <w:pPr>
              <w:spacing w:after="0" w:line="240" w:lineRule="auto"/>
              <w:rPr>
                <w:rFonts w:ascii="Calibri" w:eastAsia="Times New Roman" w:hAnsi="Calibri" w:cs="Calibri"/>
                <w:b/>
                <w:bCs/>
                <w:color w:val="000000"/>
              </w:rPr>
            </w:pPr>
            <w:r>
              <w:rPr>
                <w:rFonts w:ascii="Calibri" w:eastAsia="Times New Roman" w:hAnsi="Calibri" w:cs="Calibri"/>
                <w:b/>
                <w:bCs/>
                <w:color w:val="000000"/>
              </w:rPr>
              <w:t>Loan Grade</w:t>
            </w:r>
          </w:p>
        </w:tc>
        <w:tc>
          <w:tcPr>
            <w:tcW w:w="1294" w:type="dxa"/>
            <w:tcBorders>
              <w:top w:val="nil"/>
              <w:left w:val="nil"/>
              <w:bottom w:val="single" w:sz="4" w:space="0" w:color="8EA9DB"/>
              <w:right w:val="nil"/>
            </w:tcBorders>
            <w:shd w:val="clear" w:color="D9E1F2" w:fill="D9E1F2"/>
            <w:noWrap/>
            <w:vAlign w:val="bottom"/>
            <w:hideMark/>
          </w:tcPr>
          <w:p w14:paraId="7981FF13" w14:textId="77777777" w:rsidR="009579F9" w:rsidRPr="009579F9" w:rsidRDefault="009579F9" w:rsidP="009579F9">
            <w:pPr>
              <w:spacing w:after="0" w:line="240" w:lineRule="auto"/>
              <w:rPr>
                <w:rFonts w:ascii="Calibri" w:eastAsia="Times New Roman" w:hAnsi="Calibri" w:cs="Calibri"/>
                <w:b/>
                <w:bCs/>
                <w:color w:val="000000"/>
              </w:rPr>
            </w:pPr>
            <w:r w:rsidRPr="009579F9">
              <w:rPr>
                <w:rFonts w:ascii="Calibri" w:eastAsia="Times New Roman" w:hAnsi="Calibri" w:cs="Calibri"/>
                <w:b/>
                <w:bCs/>
                <w:color w:val="000000"/>
              </w:rPr>
              <w:t>Adverse</w:t>
            </w:r>
          </w:p>
        </w:tc>
        <w:tc>
          <w:tcPr>
            <w:tcW w:w="1106" w:type="dxa"/>
            <w:tcBorders>
              <w:top w:val="nil"/>
              <w:left w:val="nil"/>
              <w:bottom w:val="single" w:sz="4" w:space="0" w:color="8EA9DB"/>
              <w:right w:val="nil"/>
            </w:tcBorders>
            <w:shd w:val="clear" w:color="D9E1F2" w:fill="D9E1F2"/>
            <w:noWrap/>
            <w:vAlign w:val="bottom"/>
            <w:hideMark/>
          </w:tcPr>
          <w:p w14:paraId="0B236541" w14:textId="77777777" w:rsidR="009579F9" w:rsidRPr="009579F9" w:rsidRDefault="009579F9" w:rsidP="009579F9">
            <w:pPr>
              <w:spacing w:after="0" w:line="240" w:lineRule="auto"/>
              <w:rPr>
                <w:rFonts w:ascii="Calibri" w:eastAsia="Times New Roman" w:hAnsi="Calibri" w:cs="Calibri"/>
                <w:b/>
                <w:bCs/>
                <w:color w:val="000000"/>
              </w:rPr>
            </w:pPr>
            <w:r w:rsidRPr="009579F9">
              <w:rPr>
                <w:rFonts w:ascii="Calibri" w:eastAsia="Times New Roman" w:hAnsi="Calibri" w:cs="Calibri"/>
                <w:b/>
                <w:bCs/>
                <w:color w:val="000000"/>
              </w:rPr>
              <w:t>At Risk</w:t>
            </w:r>
          </w:p>
        </w:tc>
        <w:tc>
          <w:tcPr>
            <w:tcW w:w="1120" w:type="dxa"/>
            <w:tcBorders>
              <w:top w:val="nil"/>
              <w:left w:val="nil"/>
              <w:bottom w:val="single" w:sz="4" w:space="0" w:color="8EA9DB"/>
              <w:right w:val="nil"/>
            </w:tcBorders>
            <w:shd w:val="clear" w:color="D9E1F2" w:fill="D9E1F2"/>
            <w:noWrap/>
            <w:vAlign w:val="bottom"/>
            <w:hideMark/>
          </w:tcPr>
          <w:p w14:paraId="67F03113" w14:textId="77777777" w:rsidR="009579F9" w:rsidRPr="009579F9" w:rsidRDefault="009579F9" w:rsidP="009579F9">
            <w:pPr>
              <w:spacing w:after="0" w:line="240" w:lineRule="auto"/>
              <w:rPr>
                <w:rFonts w:ascii="Calibri" w:eastAsia="Times New Roman" w:hAnsi="Calibri" w:cs="Calibri"/>
                <w:b/>
                <w:bCs/>
                <w:color w:val="000000"/>
              </w:rPr>
            </w:pPr>
            <w:r w:rsidRPr="009579F9">
              <w:rPr>
                <w:rFonts w:ascii="Calibri" w:eastAsia="Times New Roman" w:hAnsi="Calibri" w:cs="Calibri"/>
                <w:b/>
                <w:bCs/>
                <w:color w:val="000000"/>
              </w:rPr>
              <w:t>Performing</w:t>
            </w:r>
          </w:p>
        </w:tc>
        <w:tc>
          <w:tcPr>
            <w:tcW w:w="1180" w:type="dxa"/>
            <w:tcBorders>
              <w:top w:val="nil"/>
              <w:left w:val="nil"/>
              <w:bottom w:val="single" w:sz="4" w:space="0" w:color="8EA9DB"/>
              <w:right w:val="nil"/>
            </w:tcBorders>
            <w:shd w:val="clear" w:color="D9E1F2" w:fill="D9E1F2"/>
            <w:noWrap/>
            <w:vAlign w:val="bottom"/>
            <w:hideMark/>
          </w:tcPr>
          <w:p w14:paraId="0497842B" w14:textId="77777777" w:rsidR="009579F9" w:rsidRPr="009579F9" w:rsidRDefault="009579F9" w:rsidP="009579F9">
            <w:pPr>
              <w:spacing w:after="0" w:line="240" w:lineRule="auto"/>
              <w:rPr>
                <w:rFonts w:ascii="Calibri" w:eastAsia="Times New Roman" w:hAnsi="Calibri" w:cs="Calibri"/>
                <w:b/>
                <w:bCs/>
                <w:color w:val="000000"/>
              </w:rPr>
            </w:pPr>
            <w:r w:rsidRPr="009579F9">
              <w:rPr>
                <w:rFonts w:ascii="Calibri" w:eastAsia="Times New Roman" w:hAnsi="Calibri" w:cs="Calibri"/>
                <w:b/>
                <w:bCs/>
                <w:color w:val="000000"/>
              </w:rPr>
              <w:t>Grand Total</w:t>
            </w:r>
          </w:p>
        </w:tc>
      </w:tr>
      <w:tr w:rsidR="009579F9" w:rsidRPr="009579F9" w14:paraId="14663B76" w14:textId="77777777" w:rsidTr="009579F9">
        <w:trPr>
          <w:trHeight w:val="290"/>
        </w:trPr>
        <w:tc>
          <w:tcPr>
            <w:tcW w:w="1640" w:type="dxa"/>
            <w:tcBorders>
              <w:top w:val="nil"/>
              <w:left w:val="nil"/>
              <w:bottom w:val="nil"/>
              <w:right w:val="nil"/>
            </w:tcBorders>
            <w:shd w:val="clear" w:color="auto" w:fill="auto"/>
            <w:noWrap/>
            <w:vAlign w:val="bottom"/>
            <w:hideMark/>
          </w:tcPr>
          <w:p w14:paraId="3913869A" w14:textId="77777777" w:rsidR="009579F9" w:rsidRPr="009579F9" w:rsidRDefault="009579F9" w:rsidP="009579F9">
            <w:pPr>
              <w:spacing w:after="0" w:line="240" w:lineRule="auto"/>
              <w:rPr>
                <w:rFonts w:ascii="Calibri" w:eastAsia="Times New Roman" w:hAnsi="Calibri" w:cs="Calibri"/>
                <w:color w:val="000000"/>
              </w:rPr>
            </w:pPr>
            <w:r w:rsidRPr="009579F9">
              <w:rPr>
                <w:rFonts w:ascii="Calibri" w:eastAsia="Times New Roman" w:hAnsi="Calibri" w:cs="Calibri"/>
                <w:color w:val="000000"/>
              </w:rPr>
              <w:t>A</w:t>
            </w:r>
          </w:p>
        </w:tc>
        <w:tc>
          <w:tcPr>
            <w:tcW w:w="1294" w:type="dxa"/>
            <w:tcBorders>
              <w:top w:val="nil"/>
              <w:left w:val="nil"/>
              <w:bottom w:val="nil"/>
              <w:right w:val="nil"/>
            </w:tcBorders>
            <w:shd w:val="clear" w:color="auto" w:fill="auto"/>
            <w:noWrap/>
            <w:vAlign w:val="bottom"/>
            <w:hideMark/>
          </w:tcPr>
          <w:p w14:paraId="3D1FA646"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1.28%</w:t>
            </w:r>
          </w:p>
        </w:tc>
        <w:tc>
          <w:tcPr>
            <w:tcW w:w="1106" w:type="dxa"/>
            <w:tcBorders>
              <w:top w:val="nil"/>
              <w:left w:val="nil"/>
              <w:bottom w:val="nil"/>
              <w:right w:val="nil"/>
            </w:tcBorders>
            <w:shd w:val="clear" w:color="auto" w:fill="auto"/>
            <w:noWrap/>
            <w:vAlign w:val="bottom"/>
            <w:hideMark/>
          </w:tcPr>
          <w:p w14:paraId="023AAD97"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0.02%</w:t>
            </w:r>
          </w:p>
        </w:tc>
        <w:tc>
          <w:tcPr>
            <w:tcW w:w="1120" w:type="dxa"/>
            <w:tcBorders>
              <w:top w:val="nil"/>
              <w:left w:val="nil"/>
              <w:bottom w:val="nil"/>
              <w:right w:val="nil"/>
            </w:tcBorders>
            <w:shd w:val="clear" w:color="auto" w:fill="auto"/>
            <w:noWrap/>
            <w:vAlign w:val="bottom"/>
            <w:hideMark/>
          </w:tcPr>
          <w:p w14:paraId="20222B63"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21.29%</w:t>
            </w:r>
          </w:p>
        </w:tc>
        <w:tc>
          <w:tcPr>
            <w:tcW w:w="1180" w:type="dxa"/>
            <w:tcBorders>
              <w:top w:val="nil"/>
              <w:left w:val="nil"/>
              <w:bottom w:val="nil"/>
              <w:right w:val="nil"/>
            </w:tcBorders>
            <w:shd w:val="clear" w:color="auto" w:fill="auto"/>
            <w:noWrap/>
            <w:vAlign w:val="bottom"/>
            <w:hideMark/>
          </w:tcPr>
          <w:p w14:paraId="59E72AEA"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22.60%</w:t>
            </w:r>
          </w:p>
        </w:tc>
      </w:tr>
      <w:tr w:rsidR="009579F9" w:rsidRPr="009579F9" w14:paraId="160F8173" w14:textId="77777777" w:rsidTr="009579F9">
        <w:trPr>
          <w:trHeight w:val="290"/>
        </w:trPr>
        <w:tc>
          <w:tcPr>
            <w:tcW w:w="1640" w:type="dxa"/>
            <w:tcBorders>
              <w:top w:val="nil"/>
              <w:left w:val="nil"/>
              <w:bottom w:val="nil"/>
              <w:right w:val="nil"/>
            </w:tcBorders>
            <w:shd w:val="clear" w:color="auto" w:fill="auto"/>
            <w:noWrap/>
            <w:vAlign w:val="bottom"/>
            <w:hideMark/>
          </w:tcPr>
          <w:p w14:paraId="3103D949" w14:textId="77777777" w:rsidR="009579F9" w:rsidRPr="009579F9" w:rsidRDefault="009579F9" w:rsidP="009579F9">
            <w:pPr>
              <w:spacing w:after="0" w:line="240" w:lineRule="auto"/>
              <w:rPr>
                <w:rFonts w:ascii="Calibri" w:eastAsia="Times New Roman" w:hAnsi="Calibri" w:cs="Calibri"/>
                <w:color w:val="000000"/>
              </w:rPr>
            </w:pPr>
            <w:r w:rsidRPr="009579F9">
              <w:rPr>
                <w:rFonts w:ascii="Calibri" w:eastAsia="Times New Roman" w:hAnsi="Calibri" w:cs="Calibri"/>
                <w:color w:val="000000"/>
              </w:rPr>
              <w:t>B</w:t>
            </w:r>
          </w:p>
        </w:tc>
        <w:tc>
          <w:tcPr>
            <w:tcW w:w="1294" w:type="dxa"/>
            <w:tcBorders>
              <w:top w:val="nil"/>
              <w:left w:val="nil"/>
              <w:bottom w:val="nil"/>
              <w:right w:val="nil"/>
            </w:tcBorders>
            <w:shd w:val="clear" w:color="auto" w:fill="auto"/>
            <w:noWrap/>
            <w:vAlign w:val="bottom"/>
            <w:hideMark/>
          </w:tcPr>
          <w:p w14:paraId="7BB3A0EE"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3.22%</w:t>
            </w:r>
          </w:p>
        </w:tc>
        <w:tc>
          <w:tcPr>
            <w:tcW w:w="1106" w:type="dxa"/>
            <w:tcBorders>
              <w:top w:val="nil"/>
              <w:left w:val="nil"/>
              <w:bottom w:val="nil"/>
              <w:right w:val="nil"/>
            </w:tcBorders>
            <w:shd w:val="clear" w:color="auto" w:fill="auto"/>
            <w:noWrap/>
            <w:vAlign w:val="bottom"/>
            <w:hideMark/>
          </w:tcPr>
          <w:p w14:paraId="3531BB61"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0.12%</w:t>
            </w:r>
          </w:p>
        </w:tc>
        <w:tc>
          <w:tcPr>
            <w:tcW w:w="1120" w:type="dxa"/>
            <w:tcBorders>
              <w:top w:val="nil"/>
              <w:left w:val="nil"/>
              <w:bottom w:val="nil"/>
              <w:right w:val="nil"/>
            </w:tcBorders>
            <w:shd w:val="clear" w:color="auto" w:fill="auto"/>
            <w:noWrap/>
            <w:vAlign w:val="bottom"/>
            <w:hideMark/>
          </w:tcPr>
          <w:p w14:paraId="4FEE47E3"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25.71%</w:t>
            </w:r>
          </w:p>
        </w:tc>
        <w:tc>
          <w:tcPr>
            <w:tcW w:w="1180" w:type="dxa"/>
            <w:tcBorders>
              <w:top w:val="nil"/>
              <w:left w:val="nil"/>
              <w:bottom w:val="nil"/>
              <w:right w:val="nil"/>
            </w:tcBorders>
            <w:shd w:val="clear" w:color="auto" w:fill="auto"/>
            <w:noWrap/>
            <w:vAlign w:val="bottom"/>
            <w:hideMark/>
          </w:tcPr>
          <w:p w14:paraId="0348AC88"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29.05%</w:t>
            </w:r>
          </w:p>
        </w:tc>
      </w:tr>
      <w:tr w:rsidR="009579F9" w:rsidRPr="009579F9" w14:paraId="33887F14" w14:textId="77777777" w:rsidTr="009579F9">
        <w:trPr>
          <w:trHeight w:val="290"/>
        </w:trPr>
        <w:tc>
          <w:tcPr>
            <w:tcW w:w="1640" w:type="dxa"/>
            <w:tcBorders>
              <w:top w:val="nil"/>
              <w:left w:val="nil"/>
              <w:bottom w:val="nil"/>
              <w:right w:val="nil"/>
            </w:tcBorders>
            <w:shd w:val="clear" w:color="auto" w:fill="auto"/>
            <w:noWrap/>
            <w:vAlign w:val="bottom"/>
            <w:hideMark/>
          </w:tcPr>
          <w:p w14:paraId="6BE5DA6A" w14:textId="77777777" w:rsidR="009579F9" w:rsidRPr="009579F9" w:rsidRDefault="009579F9" w:rsidP="009579F9">
            <w:pPr>
              <w:spacing w:after="0" w:line="240" w:lineRule="auto"/>
              <w:rPr>
                <w:rFonts w:ascii="Calibri" w:eastAsia="Times New Roman" w:hAnsi="Calibri" w:cs="Calibri"/>
                <w:color w:val="000000"/>
              </w:rPr>
            </w:pPr>
            <w:r w:rsidRPr="009579F9">
              <w:rPr>
                <w:rFonts w:ascii="Calibri" w:eastAsia="Times New Roman" w:hAnsi="Calibri" w:cs="Calibri"/>
                <w:color w:val="000000"/>
              </w:rPr>
              <w:t>C</w:t>
            </w:r>
          </w:p>
        </w:tc>
        <w:tc>
          <w:tcPr>
            <w:tcW w:w="1294" w:type="dxa"/>
            <w:tcBorders>
              <w:top w:val="nil"/>
              <w:left w:val="nil"/>
              <w:bottom w:val="nil"/>
              <w:right w:val="nil"/>
            </w:tcBorders>
            <w:shd w:val="clear" w:color="auto" w:fill="auto"/>
            <w:noWrap/>
            <w:vAlign w:val="bottom"/>
            <w:hideMark/>
          </w:tcPr>
          <w:p w14:paraId="6BF909D8"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3.32%</w:t>
            </w:r>
          </w:p>
        </w:tc>
        <w:tc>
          <w:tcPr>
            <w:tcW w:w="1106" w:type="dxa"/>
            <w:tcBorders>
              <w:top w:val="nil"/>
              <w:left w:val="nil"/>
              <w:bottom w:val="nil"/>
              <w:right w:val="nil"/>
            </w:tcBorders>
            <w:shd w:val="clear" w:color="auto" w:fill="auto"/>
            <w:noWrap/>
            <w:vAlign w:val="bottom"/>
            <w:hideMark/>
          </w:tcPr>
          <w:p w14:paraId="4BFB8EB1"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0.17%</w:t>
            </w:r>
          </w:p>
        </w:tc>
        <w:tc>
          <w:tcPr>
            <w:tcW w:w="1120" w:type="dxa"/>
            <w:tcBorders>
              <w:top w:val="nil"/>
              <w:left w:val="nil"/>
              <w:bottom w:val="nil"/>
              <w:right w:val="nil"/>
            </w:tcBorders>
            <w:shd w:val="clear" w:color="auto" w:fill="auto"/>
            <w:noWrap/>
            <w:vAlign w:val="bottom"/>
            <w:hideMark/>
          </w:tcPr>
          <w:p w14:paraId="0C9DF372"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18.28%</w:t>
            </w:r>
          </w:p>
        </w:tc>
        <w:tc>
          <w:tcPr>
            <w:tcW w:w="1180" w:type="dxa"/>
            <w:tcBorders>
              <w:top w:val="nil"/>
              <w:left w:val="nil"/>
              <w:bottom w:val="nil"/>
              <w:right w:val="nil"/>
            </w:tcBorders>
            <w:shd w:val="clear" w:color="auto" w:fill="auto"/>
            <w:noWrap/>
            <w:vAlign w:val="bottom"/>
            <w:hideMark/>
          </w:tcPr>
          <w:p w14:paraId="22911968"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21.77%</w:t>
            </w:r>
          </w:p>
        </w:tc>
      </w:tr>
      <w:tr w:rsidR="009579F9" w:rsidRPr="009579F9" w14:paraId="2684A059" w14:textId="77777777" w:rsidTr="009579F9">
        <w:trPr>
          <w:trHeight w:val="290"/>
        </w:trPr>
        <w:tc>
          <w:tcPr>
            <w:tcW w:w="1640" w:type="dxa"/>
            <w:tcBorders>
              <w:top w:val="nil"/>
              <w:left w:val="nil"/>
              <w:bottom w:val="nil"/>
              <w:right w:val="nil"/>
            </w:tcBorders>
            <w:shd w:val="clear" w:color="auto" w:fill="auto"/>
            <w:noWrap/>
            <w:vAlign w:val="bottom"/>
            <w:hideMark/>
          </w:tcPr>
          <w:p w14:paraId="167FE302" w14:textId="77777777" w:rsidR="009579F9" w:rsidRPr="009579F9" w:rsidRDefault="009579F9" w:rsidP="009579F9">
            <w:pPr>
              <w:spacing w:after="0" w:line="240" w:lineRule="auto"/>
              <w:rPr>
                <w:rFonts w:ascii="Calibri" w:eastAsia="Times New Roman" w:hAnsi="Calibri" w:cs="Calibri"/>
                <w:color w:val="000000"/>
              </w:rPr>
            </w:pPr>
            <w:r w:rsidRPr="009579F9">
              <w:rPr>
                <w:rFonts w:ascii="Calibri" w:eastAsia="Times New Roman" w:hAnsi="Calibri" w:cs="Calibri"/>
                <w:color w:val="000000"/>
              </w:rPr>
              <w:t>D</w:t>
            </w:r>
          </w:p>
        </w:tc>
        <w:tc>
          <w:tcPr>
            <w:tcW w:w="1294" w:type="dxa"/>
            <w:tcBorders>
              <w:top w:val="nil"/>
              <w:left w:val="nil"/>
              <w:bottom w:val="nil"/>
              <w:right w:val="nil"/>
            </w:tcBorders>
            <w:shd w:val="clear" w:color="auto" w:fill="auto"/>
            <w:noWrap/>
            <w:vAlign w:val="bottom"/>
            <w:hideMark/>
          </w:tcPr>
          <w:p w14:paraId="433474CE"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2.95%</w:t>
            </w:r>
          </w:p>
        </w:tc>
        <w:tc>
          <w:tcPr>
            <w:tcW w:w="1106" w:type="dxa"/>
            <w:tcBorders>
              <w:top w:val="nil"/>
              <w:left w:val="nil"/>
              <w:bottom w:val="nil"/>
              <w:right w:val="nil"/>
            </w:tcBorders>
            <w:shd w:val="clear" w:color="auto" w:fill="auto"/>
            <w:noWrap/>
            <w:vAlign w:val="bottom"/>
            <w:hideMark/>
          </w:tcPr>
          <w:p w14:paraId="4E71DBB3"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0.14%</w:t>
            </w:r>
          </w:p>
        </w:tc>
        <w:tc>
          <w:tcPr>
            <w:tcW w:w="1120" w:type="dxa"/>
            <w:tcBorders>
              <w:top w:val="nil"/>
              <w:left w:val="nil"/>
              <w:bottom w:val="nil"/>
              <w:right w:val="nil"/>
            </w:tcBorders>
            <w:shd w:val="clear" w:color="auto" w:fill="auto"/>
            <w:noWrap/>
            <w:vAlign w:val="bottom"/>
            <w:hideMark/>
          </w:tcPr>
          <w:p w14:paraId="01064C34"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11.54%</w:t>
            </w:r>
          </w:p>
        </w:tc>
        <w:tc>
          <w:tcPr>
            <w:tcW w:w="1180" w:type="dxa"/>
            <w:tcBorders>
              <w:top w:val="nil"/>
              <w:left w:val="nil"/>
              <w:bottom w:val="nil"/>
              <w:right w:val="nil"/>
            </w:tcBorders>
            <w:shd w:val="clear" w:color="auto" w:fill="auto"/>
            <w:noWrap/>
            <w:vAlign w:val="bottom"/>
            <w:hideMark/>
          </w:tcPr>
          <w:p w14:paraId="69A62920"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14.63%</w:t>
            </w:r>
          </w:p>
        </w:tc>
      </w:tr>
      <w:tr w:rsidR="009579F9" w:rsidRPr="009579F9" w14:paraId="0BE17EA9" w14:textId="77777777" w:rsidTr="009579F9">
        <w:trPr>
          <w:trHeight w:val="290"/>
        </w:trPr>
        <w:tc>
          <w:tcPr>
            <w:tcW w:w="1640" w:type="dxa"/>
            <w:tcBorders>
              <w:top w:val="nil"/>
              <w:left w:val="nil"/>
              <w:bottom w:val="nil"/>
              <w:right w:val="nil"/>
            </w:tcBorders>
            <w:shd w:val="clear" w:color="auto" w:fill="auto"/>
            <w:noWrap/>
            <w:vAlign w:val="bottom"/>
            <w:hideMark/>
          </w:tcPr>
          <w:p w14:paraId="49082E9A" w14:textId="77777777" w:rsidR="009579F9" w:rsidRPr="009579F9" w:rsidRDefault="009579F9" w:rsidP="009579F9">
            <w:pPr>
              <w:spacing w:after="0" w:line="240" w:lineRule="auto"/>
              <w:rPr>
                <w:rFonts w:ascii="Calibri" w:eastAsia="Times New Roman" w:hAnsi="Calibri" w:cs="Calibri"/>
                <w:color w:val="000000"/>
              </w:rPr>
            </w:pPr>
            <w:r w:rsidRPr="009579F9">
              <w:rPr>
                <w:rFonts w:ascii="Calibri" w:eastAsia="Times New Roman" w:hAnsi="Calibri" w:cs="Calibri"/>
                <w:color w:val="000000"/>
              </w:rPr>
              <w:t>E</w:t>
            </w:r>
          </w:p>
        </w:tc>
        <w:tc>
          <w:tcPr>
            <w:tcW w:w="1294" w:type="dxa"/>
            <w:tcBorders>
              <w:top w:val="nil"/>
              <w:left w:val="nil"/>
              <w:bottom w:val="nil"/>
              <w:right w:val="nil"/>
            </w:tcBorders>
            <w:shd w:val="clear" w:color="auto" w:fill="auto"/>
            <w:noWrap/>
            <w:vAlign w:val="bottom"/>
            <w:hideMark/>
          </w:tcPr>
          <w:p w14:paraId="59F0B398"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1.91%</w:t>
            </w:r>
          </w:p>
        </w:tc>
        <w:tc>
          <w:tcPr>
            <w:tcW w:w="1106" w:type="dxa"/>
            <w:tcBorders>
              <w:top w:val="nil"/>
              <w:left w:val="nil"/>
              <w:bottom w:val="nil"/>
              <w:right w:val="nil"/>
            </w:tcBorders>
            <w:shd w:val="clear" w:color="auto" w:fill="auto"/>
            <w:noWrap/>
            <w:vAlign w:val="bottom"/>
            <w:hideMark/>
          </w:tcPr>
          <w:p w14:paraId="0226AC68"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0.08%</w:t>
            </w:r>
          </w:p>
        </w:tc>
        <w:tc>
          <w:tcPr>
            <w:tcW w:w="1120" w:type="dxa"/>
            <w:tcBorders>
              <w:top w:val="nil"/>
              <w:left w:val="nil"/>
              <w:bottom w:val="nil"/>
              <w:right w:val="nil"/>
            </w:tcBorders>
            <w:shd w:val="clear" w:color="auto" w:fill="auto"/>
            <w:noWrap/>
            <w:vAlign w:val="bottom"/>
            <w:hideMark/>
          </w:tcPr>
          <w:p w14:paraId="20B0D19F"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5.88%</w:t>
            </w:r>
          </w:p>
        </w:tc>
        <w:tc>
          <w:tcPr>
            <w:tcW w:w="1180" w:type="dxa"/>
            <w:tcBorders>
              <w:top w:val="nil"/>
              <w:left w:val="nil"/>
              <w:bottom w:val="nil"/>
              <w:right w:val="nil"/>
            </w:tcBorders>
            <w:shd w:val="clear" w:color="auto" w:fill="auto"/>
            <w:noWrap/>
            <w:vAlign w:val="bottom"/>
            <w:hideMark/>
          </w:tcPr>
          <w:p w14:paraId="3A669150"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7.87%</w:t>
            </w:r>
          </w:p>
        </w:tc>
      </w:tr>
      <w:tr w:rsidR="009579F9" w:rsidRPr="009579F9" w14:paraId="5FE7E2C6" w14:textId="77777777" w:rsidTr="009579F9">
        <w:trPr>
          <w:trHeight w:val="290"/>
        </w:trPr>
        <w:tc>
          <w:tcPr>
            <w:tcW w:w="1640" w:type="dxa"/>
            <w:tcBorders>
              <w:top w:val="nil"/>
              <w:left w:val="nil"/>
              <w:bottom w:val="nil"/>
              <w:right w:val="nil"/>
            </w:tcBorders>
            <w:shd w:val="clear" w:color="auto" w:fill="auto"/>
            <w:noWrap/>
            <w:vAlign w:val="bottom"/>
            <w:hideMark/>
          </w:tcPr>
          <w:p w14:paraId="64C4CFA4" w14:textId="77777777" w:rsidR="009579F9" w:rsidRPr="009579F9" w:rsidRDefault="009579F9" w:rsidP="009579F9">
            <w:pPr>
              <w:spacing w:after="0" w:line="240" w:lineRule="auto"/>
              <w:rPr>
                <w:rFonts w:ascii="Calibri" w:eastAsia="Times New Roman" w:hAnsi="Calibri" w:cs="Calibri"/>
                <w:color w:val="000000"/>
              </w:rPr>
            </w:pPr>
            <w:r w:rsidRPr="009579F9">
              <w:rPr>
                <w:rFonts w:ascii="Calibri" w:eastAsia="Times New Roman" w:hAnsi="Calibri" w:cs="Calibri"/>
                <w:color w:val="000000"/>
              </w:rPr>
              <w:t>F</w:t>
            </w:r>
          </w:p>
        </w:tc>
        <w:tc>
          <w:tcPr>
            <w:tcW w:w="1294" w:type="dxa"/>
            <w:tcBorders>
              <w:top w:val="nil"/>
              <w:left w:val="nil"/>
              <w:bottom w:val="nil"/>
              <w:right w:val="nil"/>
            </w:tcBorders>
            <w:shd w:val="clear" w:color="auto" w:fill="auto"/>
            <w:noWrap/>
            <w:vAlign w:val="bottom"/>
            <w:hideMark/>
          </w:tcPr>
          <w:p w14:paraId="6D5EB3E5"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0.89%</w:t>
            </w:r>
          </w:p>
        </w:tc>
        <w:tc>
          <w:tcPr>
            <w:tcW w:w="1106" w:type="dxa"/>
            <w:tcBorders>
              <w:top w:val="nil"/>
              <w:left w:val="nil"/>
              <w:bottom w:val="nil"/>
              <w:right w:val="nil"/>
            </w:tcBorders>
            <w:shd w:val="clear" w:color="auto" w:fill="auto"/>
            <w:noWrap/>
            <w:vAlign w:val="bottom"/>
            <w:hideMark/>
          </w:tcPr>
          <w:p w14:paraId="652858EB"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0.02%</w:t>
            </w:r>
          </w:p>
        </w:tc>
        <w:tc>
          <w:tcPr>
            <w:tcW w:w="1120" w:type="dxa"/>
            <w:tcBorders>
              <w:top w:val="nil"/>
              <w:left w:val="nil"/>
              <w:bottom w:val="nil"/>
              <w:right w:val="nil"/>
            </w:tcBorders>
            <w:shd w:val="clear" w:color="auto" w:fill="auto"/>
            <w:noWrap/>
            <w:vAlign w:val="bottom"/>
            <w:hideMark/>
          </w:tcPr>
          <w:p w14:paraId="57E80B9B"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2.05%</w:t>
            </w:r>
          </w:p>
        </w:tc>
        <w:tc>
          <w:tcPr>
            <w:tcW w:w="1180" w:type="dxa"/>
            <w:tcBorders>
              <w:top w:val="nil"/>
              <w:left w:val="nil"/>
              <w:bottom w:val="nil"/>
              <w:right w:val="nil"/>
            </w:tcBorders>
            <w:shd w:val="clear" w:color="auto" w:fill="auto"/>
            <w:noWrap/>
            <w:vAlign w:val="bottom"/>
            <w:hideMark/>
          </w:tcPr>
          <w:p w14:paraId="7C122A26"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2.96%</w:t>
            </w:r>
          </w:p>
        </w:tc>
      </w:tr>
      <w:tr w:rsidR="009579F9" w:rsidRPr="009579F9" w14:paraId="10871BE6" w14:textId="77777777" w:rsidTr="009579F9">
        <w:trPr>
          <w:trHeight w:val="290"/>
        </w:trPr>
        <w:tc>
          <w:tcPr>
            <w:tcW w:w="1640" w:type="dxa"/>
            <w:tcBorders>
              <w:top w:val="nil"/>
              <w:left w:val="nil"/>
              <w:bottom w:val="nil"/>
              <w:right w:val="nil"/>
            </w:tcBorders>
            <w:shd w:val="clear" w:color="auto" w:fill="auto"/>
            <w:noWrap/>
            <w:vAlign w:val="bottom"/>
            <w:hideMark/>
          </w:tcPr>
          <w:p w14:paraId="5DF3A037" w14:textId="77777777" w:rsidR="009579F9" w:rsidRPr="009579F9" w:rsidRDefault="009579F9" w:rsidP="009579F9">
            <w:pPr>
              <w:spacing w:after="0" w:line="240" w:lineRule="auto"/>
              <w:rPr>
                <w:rFonts w:ascii="Calibri" w:eastAsia="Times New Roman" w:hAnsi="Calibri" w:cs="Calibri"/>
                <w:color w:val="000000"/>
              </w:rPr>
            </w:pPr>
            <w:r w:rsidRPr="009579F9">
              <w:rPr>
                <w:rFonts w:ascii="Calibri" w:eastAsia="Times New Roman" w:hAnsi="Calibri" w:cs="Calibri"/>
                <w:color w:val="000000"/>
              </w:rPr>
              <w:t>G</w:t>
            </w:r>
          </w:p>
        </w:tc>
        <w:tc>
          <w:tcPr>
            <w:tcW w:w="1294" w:type="dxa"/>
            <w:tcBorders>
              <w:top w:val="nil"/>
              <w:left w:val="nil"/>
              <w:bottom w:val="nil"/>
              <w:right w:val="nil"/>
            </w:tcBorders>
            <w:shd w:val="clear" w:color="auto" w:fill="auto"/>
            <w:noWrap/>
            <w:vAlign w:val="bottom"/>
            <w:hideMark/>
          </w:tcPr>
          <w:p w14:paraId="66565976"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0.37%</w:t>
            </w:r>
          </w:p>
        </w:tc>
        <w:tc>
          <w:tcPr>
            <w:tcW w:w="1106" w:type="dxa"/>
            <w:tcBorders>
              <w:top w:val="nil"/>
              <w:left w:val="nil"/>
              <w:bottom w:val="nil"/>
              <w:right w:val="nil"/>
            </w:tcBorders>
            <w:shd w:val="clear" w:color="auto" w:fill="auto"/>
            <w:noWrap/>
            <w:vAlign w:val="bottom"/>
            <w:hideMark/>
          </w:tcPr>
          <w:p w14:paraId="19B2EAE5"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0.01%</w:t>
            </w:r>
          </w:p>
        </w:tc>
        <w:tc>
          <w:tcPr>
            <w:tcW w:w="1120" w:type="dxa"/>
            <w:tcBorders>
              <w:top w:val="nil"/>
              <w:left w:val="nil"/>
              <w:bottom w:val="nil"/>
              <w:right w:val="nil"/>
            </w:tcBorders>
            <w:shd w:val="clear" w:color="auto" w:fill="auto"/>
            <w:noWrap/>
            <w:vAlign w:val="bottom"/>
            <w:hideMark/>
          </w:tcPr>
          <w:p w14:paraId="7FEA23A9"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0.75%</w:t>
            </w:r>
          </w:p>
        </w:tc>
        <w:tc>
          <w:tcPr>
            <w:tcW w:w="1180" w:type="dxa"/>
            <w:tcBorders>
              <w:top w:val="nil"/>
              <w:left w:val="nil"/>
              <w:bottom w:val="nil"/>
              <w:right w:val="nil"/>
            </w:tcBorders>
            <w:shd w:val="clear" w:color="auto" w:fill="auto"/>
            <w:noWrap/>
            <w:vAlign w:val="bottom"/>
            <w:hideMark/>
          </w:tcPr>
          <w:p w14:paraId="54670DBE" w14:textId="77777777" w:rsidR="009579F9" w:rsidRPr="009579F9" w:rsidRDefault="009579F9" w:rsidP="009579F9">
            <w:pPr>
              <w:spacing w:after="0" w:line="240" w:lineRule="auto"/>
              <w:jc w:val="right"/>
              <w:rPr>
                <w:rFonts w:ascii="Calibri" w:eastAsia="Times New Roman" w:hAnsi="Calibri" w:cs="Calibri"/>
                <w:color w:val="000000"/>
              </w:rPr>
            </w:pPr>
            <w:r w:rsidRPr="009579F9">
              <w:rPr>
                <w:rFonts w:ascii="Calibri" w:eastAsia="Times New Roman" w:hAnsi="Calibri" w:cs="Calibri"/>
                <w:color w:val="000000"/>
              </w:rPr>
              <w:t>1.12%</w:t>
            </w:r>
          </w:p>
        </w:tc>
      </w:tr>
      <w:tr w:rsidR="009579F9" w:rsidRPr="009579F9" w14:paraId="2BD061E2" w14:textId="77777777" w:rsidTr="009579F9">
        <w:trPr>
          <w:trHeight w:val="290"/>
        </w:trPr>
        <w:tc>
          <w:tcPr>
            <w:tcW w:w="1640" w:type="dxa"/>
            <w:tcBorders>
              <w:top w:val="single" w:sz="4" w:space="0" w:color="8EA9DB"/>
              <w:left w:val="nil"/>
              <w:bottom w:val="nil"/>
              <w:right w:val="nil"/>
            </w:tcBorders>
            <w:shd w:val="clear" w:color="D9E1F2" w:fill="D9E1F2"/>
            <w:noWrap/>
            <w:vAlign w:val="bottom"/>
            <w:hideMark/>
          </w:tcPr>
          <w:p w14:paraId="2A461348" w14:textId="77777777" w:rsidR="009579F9" w:rsidRPr="009579F9" w:rsidRDefault="009579F9" w:rsidP="009579F9">
            <w:pPr>
              <w:spacing w:after="0" w:line="240" w:lineRule="auto"/>
              <w:rPr>
                <w:rFonts w:ascii="Calibri" w:eastAsia="Times New Roman" w:hAnsi="Calibri" w:cs="Calibri"/>
                <w:b/>
                <w:bCs/>
                <w:color w:val="000000"/>
              </w:rPr>
            </w:pPr>
            <w:r w:rsidRPr="009579F9">
              <w:rPr>
                <w:rFonts w:ascii="Calibri" w:eastAsia="Times New Roman" w:hAnsi="Calibri" w:cs="Calibri"/>
                <w:b/>
                <w:bCs/>
                <w:color w:val="000000"/>
              </w:rPr>
              <w:t>Grand Total</w:t>
            </w:r>
          </w:p>
        </w:tc>
        <w:tc>
          <w:tcPr>
            <w:tcW w:w="1294" w:type="dxa"/>
            <w:tcBorders>
              <w:top w:val="single" w:sz="4" w:space="0" w:color="8EA9DB"/>
              <w:left w:val="nil"/>
              <w:bottom w:val="nil"/>
              <w:right w:val="nil"/>
            </w:tcBorders>
            <w:shd w:val="clear" w:color="D9E1F2" w:fill="D9E1F2"/>
            <w:noWrap/>
            <w:vAlign w:val="bottom"/>
            <w:hideMark/>
          </w:tcPr>
          <w:p w14:paraId="5D5E8AFE" w14:textId="77777777" w:rsidR="009579F9" w:rsidRPr="009579F9" w:rsidRDefault="009579F9" w:rsidP="009579F9">
            <w:pPr>
              <w:spacing w:after="0" w:line="240" w:lineRule="auto"/>
              <w:jc w:val="right"/>
              <w:rPr>
                <w:rFonts w:ascii="Calibri" w:eastAsia="Times New Roman" w:hAnsi="Calibri" w:cs="Calibri"/>
                <w:b/>
                <w:bCs/>
                <w:color w:val="000000"/>
              </w:rPr>
            </w:pPr>
            <w:r w:rsidRPr="009579F9">
              <w:rPr>
                <w:rFonts w:ascii="Calibri" w:eastAsia="Times New Roman" w:hAnsi="Calibri" w:cs="Calibri"/>
                <w:b/>
                <w:bCs/>
                <w:color w:val="000000"/>
              </w:rPr>
              <w:t>13.95%</w:t>
            </w:r>
          </w:p>
        </w:tc>
        <w:tc>
          <w:tcPr>
            <w:tcW w:w="1106" w:type="dxa"/>
            <w:tcBorders>
              <w:top w:val="single" w:sz="4" w:space="0" w:color="8EA9DB"/>
              <w:left w:val="nil"/>
              <w:bottom w:val="nil"/>
              <w:right w:val="nil"/>
            </w:tcBorders>
            <w:shd w:val="clear" w:color="D9E1F2" w:fill="D9E1F2"/>
            <w:noWrap/>
            <w:vAlign w:val="bottom"/>
            <w:hideMark/>
          </w:tcPr>
          <w:p w14:paraId="0F072A50" w14:textId="77777777" w:rsidR="009579F9" w:rsidRPr="009579F9" w:rsidRDefault="009579F9" w:rsidP="009579F9">
            <w:pPr>
              <w:spacing w:after="0" w:line="240" w:lineRule="auto"/>
              <w:jc w:val="right"/>
              <w:rPr>
                <w:rFonts w:ascii="Calibri" w:eastAsia="Times New Roman" w:hAnsi="Calibri" w:cs="Calibri"/>
                <w:b/>
                <w:bCs/>
                <w:color w:val="000000"/>
              </w:rPr>
            </w:pPr>
            <w:r w:rsidRPr="009579F9">
              <w:rPr>
                <w:rFonts w:ascii="Calibri" w:eastAsia="Times New Roman" w:hAnsi="Calibri" w:cs="Calibri"/>
                <w:b/>
                <w:bCs/>
                <w:color w:val="000000"/>
              </w:rPr>
              <w:t>0.56%</w:t>
            </w:r>
          </w:p>
        </w:tc>
        <w:tc>
          <w:tcPr>
            <w:tcW w:w="1120" w:type="dxa"/>
            <w:tcBorders>
              <w:top w:val="single" w:sz="4" w:space="0" w:color="8EA9DB"/>
              <w:left w:val="nil"/>
              <w:bottom w:val="nil"/>
              <w:right w:val="nil"/>
            </w:tcBorders>
            <w:shd w:val="clear" w:color="D9E1F2" w:fill="D9E1F2"/>
            <w:noWrap/>
            <w:vAlign w:val="bottom"/>
            <w:hideMark/>
          </w:tcPr>
          <w:p w14:paraId="20EEF217" w14:textId="77777777" w:rsidR="009579F9" w:rsidRPr="009579F9" w:rsidRDefault="009579F9" w:rsidP="009579F9">
            <w:pPr>
              <w:spacing w:after="0" w:line="240" w:lineRule="auto"/>
              <w:jc w:val="right"/>
              <w:rPr>
                <w:rFonts w:ascii="Calibri" w:eastAsia="Times New Roman" w:hAnsi="Calibri" w:cs="Calibri"/>
                <w:b/>
                <w:bCs/>
                <w:color w:val="000000"/>
              </w:rPr>
            </w:pPr>
            <w:r w:rsidRPr="009579F9">
              <w:rPr>
                <w:rFonts w:ascii="Calibri" w:eastAsia="Times New Roman" w:hAnsi="Calibri" w:cs="Calibri"/>
                <w:b/>
                <w:bCs/>
                <w:color w:val="000000"/>
              </w:rPr>
              <w:t>85.49%</w:t>
            </w:r>
          </w:p>
        </w:tc>
        <w:tc>
          <w:tcPr>
            <w:tcW w:w="1180" w:type="dxa"/>
            <w:tcBorders>
              <w:top w:val="single" w:sz="4" w:space="0" w:color="8EA9DB"/>
              <w:left w:val="nil"/>
              <w:bottom w:val="nil"/>
              <w:right w:val="nil"/>
            </w:tcBorders>
            <w:shd w:val="clear" w:color="D9E1F2" w:fill="D9E1F2"/>
            <w:noWrap/>
            <w:vAlign w:val="bottom"/>
            <w:hideMark/>
          </w:tcPr>
          <w:p w14:paraId="09CA2A96" w14:textId="77777777" w:rsidR="009579F9" w:rsidRPr="009579F9" w:rsidRDefault="009579F9" w:rsidP="009579F9">
            <w:pPr>
              <w:spacing w:after="0" w:line="240" w:lineRule="auto"/>
              <w:jc w:val="right"/>
              <w:rPr>
                <w:rFonts w:ascii="Calibri" w:eastAsia="Times New Roman" w:hAnsi="Calibri" w:cs="Calibri"/>
                <w:b/>
                <w:bCs/>
                <w:color w:val="000000"/>
              </w:rPr>
            </w:pPr>
            <w:r w:rsidRPr="009579F9">
              <w:rPr>
                <w:rFonts w:ascii="Calibri" w:eastAsia="Times New Roman" w:hAnsi="Calibri" w:cs="Calibri"/>
                <w:b/>
                <w:bCs/>
                <w:color w:val="000000"/>
              </w:rPr>
              <w:t>100.00%</w:t>
            </w:r>
          </w:p>
        </w:tc>
      </w:tr>
    </w:tbl>
    <w:p w14:paraId="43EFACC7" w14:textId="77777777" w:rsidR="008320B7" w:rsidRPr="008320B7" w:rsidRDefault="008320B7" w:rsidP="00DD2ACB">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This analysis allows management to determine whether certain credit grades contain disproportionately higher adverse outcomes.</w:t>
      </w:r>
    </w:p>
    <w:p w14:paraId="5CC41792" w14:textId="77777777" w:rsidR="008320B7" w:rsidRPr="008320B7" w:rsidRDefault="008320B7" w:rsidP="00DD2ACB">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Business Insight</w:t>
      </w:r>
    </w:p>
    <w:p w14:paraId="69C92E9A" w14:textId="265C9E32" w:rsidR="008320B7" w:rsidRPr="008320B7" w:rsidRDefault="008320B7" w:rsidP="00DD2ACB">
      <w:pPr>
        <w:spacing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Loan-grade analysis provides a useful way of segmenting the portfolio according to credit characteristics and identifying grades that require closer performance monitoring.</w:t>
      </w:r>
      <w:r w:rsidR="009579F9" w:rsidRPr="00DD2ACB">
        <w:rPr>
          <w:rFonts w:ascii="Times New Roman" w:eastAsia="Times New Roman" w:hAnsi="Times New Roman" w:cs="Times New Roman"/>
          <w:sz w:val="24"/>
          <w:szCs w:val="24"/>
        </w:rPr>
        <w:t xml:space="preserve"> </w:t>
      </w:r>
      <w:proofErr w:type="spellStart"/>
      <w:r w:rsidR="009579F9" w:rsidRPr="00DD2ACB">
        <w:rPr>
          <w:rFonts w:ascii="Times New Roman" w:eastAsia="Times New Roman" w:hAnsi="Times New Roman" w:cs="Times New Roman"/>
          <w:sz w:val="24"/>
          <w:szCs w:val="24"/>
        </w:rPr>
        <w:t>Ie</w:t>
      </w:r>
      <w:proofErr w:type="spellEnd"/>
      <w:r w:rsidR="009579F9" w:rsidRPr="00DD2ACB">
        <w:rPr>
          <w:rFonts w:ascii="Times New Roman" w:eastAsia="Times New Roman" w:hAnsi="Times New Roman" w:cs="Times New Roman"/>
          <w:sz w:val="24"/>
          <w:szCs w:val="24"/>
        </w:rPr>
        <w:t xml:space="preserve"> </w:t>
      </w:r>
      <w:r w:rsidR="009579F9" w:rsidRPr="00DD2ACB">
        <w:rPr>
          <w:rFonts w:ascii="Times New Roman" w:hAnsi="Times New Roman" w:cs="Times New Roman"/>
          <w:sz w:val="24"/>
          <w:szCs w:val="24"/>
        </w:rPr>
        <w:t xml:space="preserve">The analysis indicates that adverse loan outcomes are more concentrated in the </w:t>
      </w:r>
      <w:r w:rsidR="009579F9" w:rsidRPr="00DD2ACB">
        <w:rPr>
          <w:rFonts w:ascii="Times New Roman" w:hAnsi="Times New Roman" w:cs="Times New Roman"/>
          <w:sz w:val="24"/>
          <w:szCs w:val="24"/>
        </w:rPr>
        <w:t>C</w:t>
      </w:r>
      <w:r w:rsidR="009579F9" w:rsidRPr="00DD2ACB">
        <w:rPr>
          <w:rFonts w:ascii="Times New Roman" w:hAnsi="Times New Roman" w:cs="Times New Roman"/>
          <w:sz w:val="24"/>
          <w:szCs w:val="24"/>
        </w:rPr>
        <w:t xml:space="preserve"> loan grades.</w:t>
      </w:r>
      <w:r w:rsidR="009579F9" w:rsidRPr="00DD2ACB">
        <w:rPr>
          <w:rFonts w:ascii="Times New Roman" w:hAnsi="Times New Roman" w:cs="Times New Roman"/>
          <w:sz w:val="24"/>
          <w:szCs w:val="24"/>
        </w:rPr>
        <w:t xml:space="preserve"> </w:t>
      </w:r>
      <w:r w:rsidR="009579F9" w:rsidRPr="00DD2ACB">
        <w:rPr>
          <w:rFonts w:ascii="Times New Roman" w:hAnsi="Times New Roman" w:cs="Times New Roman"/>
          <w:sz w:val="24"/>
          <w:szCs w:val="24"/>
        </w:rPr>
        <w:t xml:space="preserve">Grade </w:t>
      </w:r>
      <w:r w:rsidR="009579F9" w:rsidRPr="00DD2ACB">
        <w:rPr>
          <w:rFonts w:ascii="Times New Roman" w:hAnsi="Times New Roman" w:cs="Times New Roman"/>
          <w:sz w:val="24"/>
          <w:szCs w:val="24"/>
        </w:rPr>
        <w:t>C</w:t>
      </w:r>
      <w:r w:rsidR="009579F9" w:rsidRPr="00DD2ACB">
        <w:rPr>
          <w:rFonts w:ascii="Times New Roman" w:hAnsi="Times New Roman" w:cs="Times New Roman"/>
          <w:sz w:val="24"/>
          <w:szCs w:val="24"/>
        </w:rPr>
        <w:t xml:space="preserve"> records the highest adverse rate at approximately </w:t>
      </w:r>
      <w:r w:rsidR="009579F9" w:rsidRPr="00DD2ACB">
        <w:rPr>
          <w:rFonts w:ascii="Times New Roman" w:hAnsi="Times New Roman" w:cs="Times New Roman"/>
          <w:sz w:val="24"/>
          <w:szCs w:val="24"/>
        </w:rPr>
        <w:t>3</w:t>
      </w:r>
      <w:r w:rsidR="009579F9" w:rsidRPr="00DD2ACB">
        <w:rPr>
          <w:rFonts w:ascii="Times New Roman" w:hAnsi="Times New Roman" w:cs="Times New Roman"/>
          <w:sz w:val="24"/>
          <w:szCs w:val="24"/>
        </w:rPr>
        <w:t>.</w:t>
      </w:r>
      <w:r w:rsidR="009579F9" w:rsidRPr="00DD2ACB">
        <w:rPr>
          <w:rFonts w:ascii="Times New Roman" w:hAnsi="Times New Roman" w:cs="Times New Roman"/>
          <w:sz w:val="24"/>
          <w:szCs w:val="24"/>
        </w:rPr>
        <w:t>32</w:t>
      </w:r>
      <w:r w:rsidR="009579F9" w:rsidRPr="00DD2ACB">
        <w:rPr>
          <w:rFonts w:ascii="Times New Roman" w:hAnsi="Times New Roman" w:cs="Times New Roman"/>
          <w:sz w:val="24"/>
          <w:szCs w:val="24"/>
        </w:rPr>
        <w:t xml:space="preserve">%, suggesting that </w:t>
      </w:r>
      <w:r w:rsidR="009579F9" w:rsidRPr="00DD2ACB">
        <w:rPr>
          <w:rFonts w:ascii="Times New Roman" w:hAnsi="Times New Roman" w:cs="Times New Roman"/>
          <w:sz w:val="24"/>
          <w:szCs w:val="24"/>
        </w:rPr>
        <w:t>C</w:t>
      </w:r>
      <w:r w:rsidR="009579F9" w:rsidRPr="00DD2ACB">
        <w:rPr>
          <w:rFonts w:ascii="Times New Roman" w:hAnsi="Times New Roman" w:cs="Times New Roman"/>
          <w:sz w:val="24"/>
          <w:szCs w:val="24"/>
        </w:rPr>
        <w:t>-grade loans represent a higher-risk segment of the portfolio.</w:t>
      </w:r>
    </w:p>
    <w:p w14:paraId="660DBFBB" w14:textId="77777777" w:rsidR="008320B7" w:rsidRPr="008320B7" w:rsidRDefault="008320B7" w:rsidP="00DD2ACB">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Recommendation</w:t>
      </w:r>
    </w:p>
    <w:p w14:paraId="38815774" w14:textId="254DE84C" w:rsidR="008320B7" w:rsidRPr="008320B7" w:rsidRDefault="008320B7" w:rsidP="00DD2ACB">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Management should regularly compare the proportion of Performing, At Risk, and Adverse loans within each grade rather than relying only on the total number of loans.</w:t>
      </w:r>
      <w:r w:rsidR="00DD2ACB" w:rsidRPr="00DD2ACB">
        <w:rPr>
          <w:rFonts w:ascii="Times New Roman" w:eastAsia="Times New Roman" w:hAnsi="Times New Roman" w:cs="Times New Roman"/>
          <w:sz w:val="24"/>
          <w:szCs w:val="24"/>
        </w:rPr>
        <w:t xml:space="preserve"> </w:t>
      </w:r>
      <w:r w:rsidR="00DD2ACB" w:rsidRPr="00DD2ACB">
        <w:rPr>
          <w:rFonts w:ascii="Times New Roman" w:hAnsi="Times New Roman" w:cs="Times New Roman"/>
          <w:sz w:val="24"/>
          <w:szCs w:val="24"/>
        </w:rPr>
        <w:t xml:space="preserve">Management should apply enhanced credit assessment and monitoring to </w:t>
      </w:r>
      <w:r w:rsidR="00DD2ACB" w:rsidRPr="00DD2ACB">
        <w:rPr>
          <w:rFonts w:ascii="Times New Roman" w:hAnsi="Times New Roman" w:cs="Times New Roman"/>
          <w:sz w:val="24"/>
          <w:szCs w:val="24"/>
        </w:rPr>
        <w:t>C</w:t>
      </w:r>
      <w:r w:rsidR="00DD2ACB" w:rsidRPr="00DD2ACB">
        <w:rPr>
          <w:rFonts w:ascii="Times New Roman" w:hAnsi="Times New Roman" w:cs="Times New Roman"/>
          <w:sz w:val="24"/>
          <w:szCs w:val="24"/>
        </w:rPr>
        <w:t>-grade loan segments and review appropriate lending limits and risk-based pricing for these borrowers.</w:t>
      </w:r>
    </w:p>
    <w:p w14:paraId="35425229" w14:textId="35319C2E" w:rsidR="008320B7" w:rsidRPr="008320B7" w:rsidRDefault="008320B7" w:rsidP="00DD2ACB">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Grades demonstrating consistently higher adverse proportions should receive additional review within the institution's credit-risk management process.</w:t>
      </w:r>
    </w:p>
    <w:p w14:paraId="3E88A240" w14:textId="77777777" w:rsidR="00DD2ACB" w:rsidRDefault="00DD2ACB" w:rsidP="00DD2ACB">
      <w:pPr>
        <w:spacing w:before="100" w:beforeAutospacing="1" w:after="100" w:afterAutospacing="1"/>
        <w:jc w:val="both"/>
        <w:outlineLvl w:val="0"/>
        <w:rPr>
          <w:rFonts w:ascii="Times New Roman" w:eastAsia="Times New Roman" w:hAnsi="Times New Roman" w:cs="Times New Roman"/>
          <w:b/>
          <w:bCs/>
          <w:kern w:val="36"/>
          <w:sz w:val="24"/>
          <w:szCs w:val="24"/>
        </w:rPr>
      </w:pPr>
    </w:p>
    <w:p w14:paraId="1B5AA000" w14:textId="77777777" w:rsidR="00DD2ACB" w:rsidRDefault="00DD2ACB" w:rsidP="00DD2ACB">
      <w:pPr>
        <w:spacing w:before="100" w:beforeAutospacing="1" w:after="100" w:afterAutospacing="1"/>
        <w:jc w:val="both"/>
        <w:outlineLvl w:val="0"/>
        <w:rPr>
          <w:rFonts w:ascii="Times New Roman" w:eastAsia="Times New Roman" w:hAnsi="Times New Roman" w:cs="Times New Roman"/>
          <w:b/>
          <w:bCs/>
          <w:kern w:val="36"/>
          <w:sz w:val="24"/>
          <w:szCs w:val="24"/>
        </w:rPr>
      </w:pPr>
    </w:p>
    <w:p w14:paraId="4C56B16E" w14:textId="1AC53A4F" w:rsidR="008320B7" w:rsidRPr="008320B7" w:rsidRDefault="008320B7" w:rsidP="00DD2ACB">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lastRenderedPageBreak/>
        <w:t>13. Key Insight 3 — Outstanding Principal Exposure</w:t>
      </w:r>
    </w:p>
    <w:p w14:paraId="30D65A0D" w14:textId="77777777" w:rsidR="00C86B17" w:rsidRPr="008320B7" w:rsidRDefault="008320B7" w:rsidP="00DD2ACB">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w:t>
      </w:r>
      <w:r w:rsidR="00DD2ACB">
        <w:rPr>
          <w:rFonts w:ascii="Times New Roman" w:eastAsia="Times New Roman" w:hAnsi="Times New Roman" w:cs="Times New Roman"/>
          <w:sz w:val="24"/>
          <w:szCs w:val="24"/>
        </w:rPr>
        <w:t>pivot report</w:t>
      </w:r>
      <w:r w:rsidRPr="008320B7">
        <w:rPr>
          <w:rFonts w:ascii="Times New Roman" w:eastAsia="Times New Roman" w:hAnsi="Times New Roman" w:cs="Times New Roman"/>
          <w:sz w:val="24"/>
          <w:szCs w:val="24"/>
        </w:rPr>
        <w:t xml:space="preserve"> analyzes the </w:t>
      </w:r>
      <w:r w:rsidRPr="008320B7">
        <w:rPr>
          <w:rFonts w:ascii="Times New Roman" w:eastAsia="Times New Roman" w:hAnsi="Times New Roman" w:cs="Times New Roman"/>
          <w:b/>
          <w:bCs/>
          <w:sz w:val="24"/>
          <w:szCs w:val="24"/>
        </w:rPr>
        <w:t>Outstanding Principal Balance</w:t>
      </w:r>
      <w:r w:rsidRPr="008320B7">
        <w:rPr>
          <w:rFonts w:ascii="Times New Roman" w:eastAsia="Times New Roman" w:hAnsi="Times New Roman" w:cs="Times New Roman"/>
          <w:sz w:val="24"/>
          <w:szCs w:val="24"/>
        </w:rPr>
        <w:t xml:space="preserve"> by loan grade.</w:t>
      </w:r>
    </w:p>
    <w:tbl>
      <w:tblPr>
        <w:tblW w:w="4760" w:type="dxa"/>
        <w:tblInd w:w="108" w:type="dxa"/>
        <w:tblLook w:val="04A0" w:firstRow="1" w:lastRow="0" w:firstColumn="1" w:lastColumn="0" w:noHBand="0" w:noVBand="1"/>
      </w:tblPr>
      <w:tblGrid>
        <w:gridCol w:w="1640"/>
        <w:gridCol w:w="1680"/>
        <w:gridCol w:w="1440"/>
      </w:tblGrid>
      <w:tr w:rsidR="00C86B17" w:rsidRPr="00C86B17" w14:paraId="16E6BC74" w14:textId="77777777" w:rsidTr="00C86B17">
        <w:trPr>
          <w:trHeight w:val="290"/>
        </w:trPr>
        <w:tc>
          <w:tcPr>
            <w:tcW w:w="1640" w:type="dxa"/>
            <w:tcBorders>
              <w:top w:val="nil"/>
              <w:left w:val="nil"/>
              <w:bottom w:val="nil"/>
              <w:right w:val="nil"/>
            </w:tcBorders>
            <w:shd w:val="clear" w:color="D9E1F2" w:fill="D9E1F2"/>
            <w:noWrap/>
            <w:vAlign w:val="bottom"/>
            <w:hideMark/>
          </w:tcPr>
          <w:p w14:paraId="2A4969E2" w14:textId="77777777" w:rsidR="00C86B17" w:rsidRPr="00C86B17" w:rsidRDefault="00C86B17" w:rsidP="00C86B17">
            <w:pPr>
              <w:spacing w:after="0" w:line="240" w:lineRule="auto"/>
              <w:rPr>
                <w:rFonts w:ascii="Calibri" w:eastAsia="Times New Roman" w:hAnsi="Calibri" w:cs="Calibri"/>
                <w:b/>
                <w:bCs/>
                <w:color w:val="000000"/>
              </w:rPr>
            </w:pPr>
            <w:r w:rsidRPr="00C86B17">
              <w:rPr>
                <w:rFonts w:ascii="Calibri" w:eastAsia="Times New Roman" w:hAnsi="Calibri" w:cs="Calibri"/>
                <w:b/>
                <w:bCs/>
                <w:color w:val="000000"/>
              </w:rPr>
              <w:t>Sum of outstanding principal Balance</w:t>
            </w:r>
          </w:p>
        </w:tc>
        <w:tc>
          <w:tcPr>
            <w:tcW w:w="1680" w:type="dxa"/>
            <w:tcBorders>
              <w:top w:val="nil"/>
              <w:left w:val="nil"/>
              <w:bottom w:val="nil"/>
              <w:right w:val="nil"/>
            </w:tcBorders>
            <w:shd w:val="clear" w:color="D9E1F2" w:fill="D9E1F2"/>
            <w:noWrap/>
            <w:vAlign w:val="bottom"/>
            <w:hideMark/>
          </w:tcPr>
          <w:p w14:paraId="5D6FCFAD" w14:textId="3A523C2F" w:rsidR="00C86B17" w:rsidRPr="00C86B17" w:rsidRDefault="00C86B17" w:rsidP="00C86B17">
            <w:pPr>
              <w:spacing w:after="0" w:line="240" w:lineRule="auto"/>
              <w:rPr>
                <w:rFonts w:ascii="Calibri" w:eastAsia="Times New Roman" w:hAnsi="Calibri" w:cs="Calibri"/>
                <w:b/>
                <w:bCs/>
                <w:color w:val="000000"/>
              </w:rPr>
            </w:pPr>
            <w:r>
              <w:rPr>
                <w:rFonts w:ascii="Calibri" w:eastAsia="Times New Roman" w:hAnsi="Calibri" w:cs="Calibri"/>
                <w:b/>
                <w:bCs/>
                <w:color w:val="000000"/>
              </w:rPr>
              <w:t>Outstanding Principal Exposure</w:t>
            </w:r>
          </w:p>
        </w:tc>
        <w:tc>
          <w:tcPr>
            <w:tcW w:w="1440" w:type="dxa"/>
            <w:tcBorders>
              <w:top w:val="nil"/>
              <w:left w:val="nil"/>
              <w:bottom w:val="nil"/>
              <w:right w:val="nil"/>
            </w:tcBorders>
            <w:shd w:val="clear" w:color="D9E1F2" w:fill="D9E1F2"/>
            <w:noWrap/>
            <w:vAlign w:val="bottom"/>
            <w:hideMark/>
          </w:tcPr>
          <w:p w14:paraId="257F121E" w14:textId="77777777" w:rsidR="00C86B17" w:rsidRPr="00C86B17" w:rsidRDefault="00C86B17" w:rsidP="00C86B17">
            <w:pPr>
              <w:spacing w:after="0" w:line="240" w:lineRule="auto"/>
              <w:rPr>
                <w:rFonts w:ascii="Calibri" w:eastAsia="Times New Roman" w:hAnsi="Calibri" w:cs="Calibri"/>
                <w:b/>
                <w:bCs/>
                <w:color w:val="000000"/>
              </w:rPr>
            </w:pPr>
          </w:p>
        </w:tc>
      </w:tr>
      <w:tr w:rsidR="00C86B17" w:rsidRPr="00C86B17" w14:paraId="6B1F9071" w14:textId="77777777" w:rsidTr="00C86B17">
        <w:trPr>
          <w:trHeight w:val="290"/>
        </w:trPr>
        <w:tc>
          <w:tcPr>
            <w:tcW w:w="1640" w:type="dxa"/>
            <w:tcBorders>
              <w:top w:val="nil"/>
              <w:left w:val="nil"/>
              <w:bottom w:val="single" w:sz="4" w:space="0" w:color="8EA9DB"/>
              <w:right w:val="nil"/>
            </w:tcBorders>
            <w:shd w:val="clear" w:color="D9E1F2" w:fill="D9E1F2"/>
            <w:noWrap/>
            <w:vAlign w:val="bottom"/>
            <w:hideMark/>
          </w:tcPr>
          <w:p w14:paraId="2CD8606B" w14:textId="57FF7B5F" w:rsidR="00C86B17" w:rsidRPr="00C86B17" w:rsidRDefault="00D3643D" w:rsidP="00C86B17">
            <w:pPr>
              <w:spacing w:after="0" w:line="240" w:lineRule="auto"/>
              <w:rPr>
                <w:rFonts w:ascii="Calibri" w:eastAsia="Times New Roman" w:hAnsi="Calibri" w:cs="Calibri"/>
                <w:b/>
                <w:bCs/>
                <w:color w:val="000000"/>
              </w:rPr>
            </w:pPr>
            <w:r>
              <w:rPr>
                <w:rFonts w:ascii="Calibri" w:eastAsia="Times New Roman" w:hAnsi="Calibri" w:cs="Calibri"/>
                <w:b/>
                <w:bCs/>
                <w:color w:val="000000"/>
              </w:rPr>
              <w:t>Loan Grade</w:t>
            </w:r>
          </w:p>
        </w:tc>
        <w:tc>
          <w:tcPr>
            <w:tcW w:w="1680" w:type="dxa"/>
            <w:tcBorders>
              <w:top w:val="nil"/>
              <w:left w:val="nil"/>
              <w:bottom w:val="single" w:sz="4" w:space="0" w:color="8EA9DB"/>
              <w:right w:val="nil"/>
            </w:tcBorders>
            <w:shd w:val="clear" w:color="D9E1F2" w:fill="D9E1F2"/>
            <w:noWrap/>
            <w:vAlign w:val="bottom"/>
            <w:hideMark/>
          </w:tcPr>
          <w:p w14:paraId="03F7BE25" w14:textId="77777777" w:rsidR="00C86B17" w:rsidRPr="00C86B17" w:rsidRDefault="00C86B17" w:rsidP="00C86B17">
            <w:pPr>
              <w:spacing w:after="0" w:line="240" w:lineRule="auto"/>
              <w:rPr>
                <w:rFonts w:ascii="Calibri" w:eastAsia="Times New Roman" w:hAnsi="Calibri" w:cs="Calibri"/>
                <w:b/>
                <w:bCs/>
                <w:color w:val="000000"/>
              </w:rPr>
            </w:pPr>
            <w:r w:rsidRPr="00C86B17">
              <w:rPr>
                <w:rFonts w:ascii="Calibri" w:eastAsia="Times New Roman" w:hAnsi="Calibri" w:cs="Calibri"/>
                <w:b/>
                <w:bCs/>
                <w:color w:val="000000"/>
              </w:rPr>
              <w:t>Adverse</w:t>
            </w:r>
          </w:p>
        </w:tc>
        <w:tc>
          <w:tcPr>
            <w:tcW w:w="1440" w:type="dxa"/>
            <w:tcBorders>
              <w:top w:val="nil"/>
              <w:left w:val="nil"/>
              <w:bottom w:val="single" w:sz="4" w:space="0" w:color="8EA9DB"/>
              <w:right w:val="nil"/>
            </w:tcBorders>
            <w:shd w:val="clear" w:color="D9E1F2" w:fill="D9E1F2"/>
            <w:noWrap/>
            <w:vAlign w:val="bottom"/>
            <w:hideMark/>
          </w:tcPr>
          <w:p w14:paraId="524639AD" w14:textId="77777777" w:rsidR="00C86B17" w:rsidRPr="00C86B17" w:rsidRDefault="00C86B17" w:rsidP="00C86B17">
            <w:pPr>
              <w:spacing w:after="0" w:line="240" w:lineRule="auto"/>
              <w:rPr>
                <w:rFonts w:ascii="Calibri" w:eastAsia="Times New Roman" w:hAnsi="Calibri" w:cs="Calibri"/>
                <w:b/>
                <w:bCs/>
                <w:color w:val="000000"/>
              </w:rPr>
            </w:pPr>
            <w:r w:rsidRPr="00C86B17">
              <w:rPr>
                <w:rFonts w:ascii="Calibri" w:eastAsia="Times New Roman" w:hAnsi="Calibri" w:cs="Calibri"/>
                <w:b/>
                <w:bCs/>
                <w:color w:val="000000"/>
              </w:rPr>
              <w:t>Grand Total</w:t>
            </w:r>
          </w:p>
        </w:tc>
      </w:tr>
      <w:tr w:rsidR="00C86B17" w:rsidRPr="00C86B17" w14:paraId="281B8C7D" w14:textId="77777777" w:rsidTr="00C86B17">
        <w:trPr>
          <w:trHeight w:val="290"/>
        </w:trPr>
        <w:tc>
          <w:tcPr>
            <w:tcW w:w="1640" w:type="dxa"/>
            <w:tcBorders>
              <w:top w:val="nil"/>
              <w:left w:val="nil"/>
              <w:bottom w:val="nil"/>
              <w:right w:val="nil"/>
            </w:tcBorders>
            <w:shd w:val="clear" w:color="auto" w:fill="auto"/>
            <w:noWrap/>
            <w:vAlign w:val="bottom"/>
            <w:hideMark/>
          </w:tcPr>
          <w:p w14:paraId="34F51CC9" w14:textId="77777777" w:rsidR="00C86B17" w:rsidRPr="00C86B17" w:rsidRDefault="00C86B17" w:rsidP="00C86B17">
            <w:pPr>
              <w:spacing w:after="0" w:line="240" w:lineRule="auto"/>
              <w:rPr>
                <w:rFonts w:ascii="Calibri" w:eastAsia="Times New Roman" w:hAnsi="Calibri" w:cs="Calibri"/>
                <w:color w:val="000000"/>
              </w:rPr>
            </w:pPr>
            <w:r w:rsidRPr="00C86B17">
              <w:rPr>
                <w:rFonts w:ascii="Calibri" w:eastAsia="Times New Roman" w:hAnsi="Calibri" w:cs="Calibri"/>
                <w:color w:val="000000"/>
              </w:rPr>
              <w:t>A</w:t>
            </w:r>
          </w:p>
        </w:tc>
        <w:tc>
          <w:tcPr>
            <w:tcW w:w="1680" w:type="dxa"/>
            <w:tcBorders>
              <w:top w:val="nil"/>
              <w:left w:val="nil"/>
              <w:bottom w:val="nil"/>
              <w:right w:val="nil"/>
            </w:tcBorders>
            <w:shd w:val="clear" w:color="auto" w:fill="auto"/>
            <w:noWrap/>
            <w:vAlign w:val="bottom"/>
            <w:hideMark/>
          </w:tcPr>
          <w:p w14:paraId="3A5E2DDA" w14:textId="77777777" w:rsidR="00C86B17" w:rsidRPr="00C86B17" w:rsidRDefault="00C86B17" w:rsidP="00C86B17">
            <w:pPr>
              <w:spacing w:after="0" w:line="240" w:lineRule="auto"/>
              <w:jc w:val="right"/>
              <w:rPr>
                <w:rFonts w:ascii="Calibri" w:eastAsia="Times New Roman" w:hAnsi="Calibri" w:cs="Calibri"/>
                <w:color w:val="000000"/>
              </w:rPr>
            </w:pPr>
            <w:r w:rsidRPr="00C86B17">
              <w:rPr>
                <w:rFonts w:ascii="Calibri" w:eastAsia="Times New Roman" w:hAnsi="Calibri" w:cs="Calibri"/>
                <w:color w:val="000000"/>
              </w:rPr>
              <w:t>0</w:t>
            </w:r>
          </w:p>
        </w:tc>
        <w:tc>
          <w:tcPr>
            <w:tcW w:w="1440" w:type="dxa"/>
            <w:tcBorders>
              <w:top w:val="nil"/>
              <w:left w:val="nil"/>
              <w:bottom w:val="nil"/>
              <w:right w:val="nil"/>
            </w:tcBorders>
            <w:shd w:val="clear" w:color="auto" w:fill="auto"/>
            <w:noWrap/>
            <w:vAlign w:val="bottom"/>
            <w:hideMark/>
          </w:tcPr>
          <w:p w14:paraId="4A11CE13" w14:textId="77777777" w:rsidR="00C86B17" w:rsidRPr="00C86B17" w:rsidRDefault="00C86B17" w:rsidP="00C86B17">
            <w:pPr>
              <w:spacing w:after="0" w:line="240" w:lineRule="auto"/>
              <w:jc w:val="right"/>
              <w:rPr>
                <w:rFonts w:ascii="Calibri" w:eastAsia="Times New Roman" w:hAnsi="Calibri" w:cs="Calibri"/>
                <w:color w:val="000000"/>
              </w:rPr>
            </w:pPr>
            <w:r w:rsidRPr="00C86B17">
              <w:rPr>
                <w:rFonts w:ascii="Calibri" w:eastAsia="Times New Roman" w:hAnsi="Calibri" w:cs="Calibri"/>
                <w:color w:val="000000"/>
              </w:rPr>
              <w:t>0</w:t>
            </w:r>
          </w:p>
        </w:tc>
      </w:tr>
      <w:tr w:rsidR="00C86B17" w:rsidRPr="00C86B17" w14:paraId="04FD746B" w14:textId="77777777" w:rsidTr="00C86B17">
        <w:trPr>
          <w:trHeight w:val="290"/>
        </w:trPr>
        <w:tc>
          <w:tcPr>
            <w:tcW w:w="1640" w:type="dxa"/>
            <w:tcBorders>
              <w:top w:val="nil"/>
              <w:left w:val="nil"/>
              <w:bottom w:val="nil"/>
              <w:right w:val="nil"/>
            </w:tcBorders>
            <w:shd w:val="clear" w:color="auto" w:fill="auto"/>
            <w:noWrap/>
            <w:vAlign w:val="bottom"/>
            <w:hideMark/>
          </w:tcPr>
          <w:p w14:paraId="43E96C3B" w14:textId="77777777" w:rsidR="00C86B17" w:rsidRPr="00C86B17" w:rsidRDefault="00C86B17" w:rsidP="00C86B17">
            <w:pPr>
              <w:spacing w:after="0" w:line="240" w:lineRule="auto"/>
              <w:rPr>
                <w:rFonts w:ascii="Calibri" w:eastAsia="Times New Roman" w:hAnsi="Calibri" w:cs="Calibri"/>
                <w:color w:val="000000"/>
              </w:rPr>
            </w:pPr>
            <w:r w:rsidRPr="00C86B17">
              <w:rPr>
                <w:rFonts w:ascii="Calibri" w:eastAsia="Times New Roman" w:hAnsi="Calibri" w:cs="Calibri"/>
                <w:color w:val="000000"/>
              </w:rPr>
              <w:t>B</w:t>
            </w:r>
          </w:p>
        </w:tc>
        <w:tc>
          <w:tcPr>
            <w:tcW w:w="1680" w:type="dxa"/>
            <w:tcBorders>
              <w:top w:val="nil"/>
              <w:left w:val="nil"/>
              <w:bottom w:val="nil"/>
              <w:right w:val="nil"/>
            </w:tcBorders>
            <w:shd w:val="clear" w:color="auto" w:fill="auto"/>
            <w:noWrap/>
            <w:vAlign w:val="bottom"/>
            <w:hideMark/>
          </w:tcPr>
          <w:p w14:paraId="6CE9DE96" w14:textId="77777777" w:rsidR="00C86B17" w:rsidRPr="00C86B17" w:rsidRDefault="00C86B17" w:rsidP="00C86B17">
            <w:pPr>
              <w:spacing w:after="0" w:line="240" w:lineRule="auto"/>
              <w:jc w:val="right"/>
              <w:rPr>
                <w:rFonts w:ascii="Calibri" w:eastAsia="Times New Roman" w:hAnsi="Calibri" w:cs="Calibri"/>
                <w:color w:val="000000"/>
              </w:rPr>
            </w:pPr>
            <w:r w:rsidRPr="00C86B17">
              <w:rPr>
                <w:rFonts w:ascii="Calibri" w:eastAsia="Times New Roman" w:hAnsi="Calibri" w:cs="Calibri"/>
                <w:color w:val="000000"/>
              </w:rPr>
              <w:t>10251.57</w:t>
            </w:r>
          </w:p>
        </w:tc>
        <w:tc>
          <w:tcPr>
            <w:tcW w:w="1440" w:type="dxa"/>
            <w:tcBorders>
              <w:top w:val="nil"/>
              <w:left w:val="nil"/>
              <w:bottom w:val="nil"/>
              <w:right w:val="nil"/>
            </w:tcBorders>
            <w:shd w:val="clear" w:color="auto" w:fill="auto"/>
            <w:noWrap/>
            <w:vAlign w:val="bottom"/>
            <w:hideMark/>
          </w:tcPr>
          <w:p w14:paraId="630D0173" w14:textId="77777777" w:rsidR="00C86B17" w:rsidRPr="00C86B17" w:rsidRDefault="00C86B17" w:rsidP="00C86B17">
            <w:pPr>
              <w:spacing w:after="0" w:line="240" w:lineRule="auto"/>
              <w:jc w:val="right"/>
              <w:rPr>
                <w:rFonts w:ascii="Calibri" w:eastAsia="Times New Roman" w:hAnsi="Calibri" w:cs="Calibri"/>
                <w:color w:val="000000"/>
              </w:rPr>
            </w:pPr>
            <w:r w:rsidRPr="00C86B17">
              <w:rPr>
                <w:rFonts w:ascii="Calibri" w:eastAsia="Times New Roman" w:hAnsi="Calibri" w:cs="Calibri"/>
                <w:color w:val="000000"/>
              </w:rPr>
              <w:t>10251.57</w:t>
            </w:r>
          </w:p>
        </w:tc>
      </w:tr>
      <w:tr w:rsidR="00C86B17" w:rsidRPr="00C86B17" w14:paraId="3E30A48C" w14:textId="77777777" w:rsidTr="00C86B17">
        <w:trPr>
          <w:trHeight w:val="290"/>
        </w:trPr>
        <w:tc>
          <w:tcPr>
            <w:tcW w:w="1640" w:type="dxa"/>
            <w:tcBorders>
              <w:top w:val="nil"/>
              <w:left w:val="nil"/>
              <w:bottom w:val="nil"/>
              <w:right w:val="nil"/>
            </w:tcBorders>
            <w:shd w:val="clear" w:color="auto" w:fill="auto"/>
            <w:noWrap/>
            <w:vAlign w:val="bottom"/>
            <w:hideMark/>
          </w:tcPr>
          <w:p w14:paraId="0A67E5F8" w14:textId="77777777" w:rsidR="00C86B17" w:rsidRPr="00C86B17" w:rsidRDefault="00C86B17" w:rsidP="00C86B17">
            <w:pPr>
              <w:spacing w:after="0" w:line="240" w:lineRule="auto"/>
              <w:rPr>
                <w:rFonts w:ascii="Calibri" w:eastAsia="Times New Roman" w:hAnsi="Calibri" w:cs="Calibri"/>
                <w:color w:val="000000"/>
              </w:rPr>
            </w:pPr>
            <w:r w:rsidRPr="00C86B17">
              <w:rPr>
                <w:rFonts w:ascii="Calibri" w:eastAsia="Times New Roman" w:hAnsi="Calibri" w:cs="Calibri"/>
                <w:color w:val="000000"/>
              </w:rPr>
              <w:t>C</w:t>
            </w:r>
          </w:p>
        </w:tc>
        <w:tc>
          <w:tcPr>
            <w:tcW w:w="1680" w:type="dxa"/>
            <w:tcBorders>
              <w:top w:val="nil"/>
              <w:left w:val="nil"/>
              <w:bottom w:val="nil"/>
              <w:right w:val="nil"/>
            </w:tcBorders>
            <w:shd w:val="clear" w:color="auto" w:fill="auto"/>
            <w:noWrap/>
            <w:vAlign w:val="bottom"/>
            <w:hideMark/>
          </w:tcPr>
          <w:p w14:paraId="4EEE1E4E" w14:textId="77777777" w:rsidR="00C86B17" w:rsidRPr="00C86B17" w:rsidRDefault="00C86B17" w:rsidP="00C86B17">
            <w:pPr>
              <w:spacing w:after="0" w:line="240" w:lineRule="auto"/>
              <w:jc w:val="right"/>
              <w:rPr>
                <w:rFonts w:ascii="Calibri" w:eastAsia="Times New Roman" w:hAnsi="Calibri" w:cs="Calibri"/>
                <w:color w:val="000000"/>
              </w:rPr>
            </w:pPr>
            <w:r w:rsidRPr="00C86B17">
              <w:rPr>
                <w:rFonts w:ascii="Calibri" w:eastAsia="Times New Roman" w:hAnsi="Calibri" w:cs="Calibri"/>
                <w:color w:val="000000"/>
              </w:rPr>
              <w:t>90008.08</w:t>
            </w:r>
          </w:p>
        </w:tc>
        <w:tc>
          <w:tcPr>
            <w:tcW w:w="1440" w:type="dxa"/>
            <w:tcBorders>
              <w:top w:val="nil"/>
              <w:left w:val="nil"/>
              <w:bottom w:val="nil"/>
              <w:right w:val="nil"/>
            </w:tcBorders>
            <w:shd w:val="clear" w:color="auto" w:fill="auto"/>
            <w:noWrap/>
            <w:vAlign w:val="bottom"/>
            <w:hideMark/>
          </w:tcPr>
          <w:p w14:paraId="200D6D8E" w14:textId="77777777" w:rsidR="00C86B17" w:rsidRPr="00C86B17" w:rsidRDefault="00C86B17" w:rsidP="00C86B17">
            <w:pPr>
              <w:spacing w:after="0" w:line="240" w:lineRule="auto"/>
              <w:jc w:val="right"/>
              <w:rPr>
                <w:rFonts w:ascii="Calibri" w:eastAsia="Times New Roman" w:hAnsi="Calibri" w:cs="Calibri"/>
                <w:color w:val="000000"/>
              </w:rPr>
            </w:pPr>
            <w:r w:rsidRPr="00C86B17">
              <w:rPr>
                <w:rFonts w:ascii="Calibri" w:eastAsia="Times New Roman" w:hAnsi="Calibri" w:cs="Calibri"/>
                <w:color w:val="000000"/>
              </w:rPr>
              <w:t>90008.08</w:t>
            </w:r>
          </w:p>
        </w:tc>
      </w:tr>
      <w:tr w:rsidR="00C86B17" w:rsidRPr="00C86B17" w14:paraId="2DCB94D0" w14:textId="77777777" w:rsidTr="00C86B17">
        <w:trPr>
          <w:trHeight w:val="290"/>
        </w:trPr>
        <w:tc>
          <w:tcPr>
            <w:tcW w:w="1640" w:type="dxa"/>
            <w:tcBorders>
              <w:top w:val="nil"/>
              <w:left w:val="nil"/>
              <w:bottom w:val="nil"/>
              <w:right w:val="nil"/>
            </w:tcBorders>
            <w:shd w:val="clear" w:color="auto" w:fill="auto"/>
            <w:noWrap/>
            <w:vAlign w:val="bottom"/>
            <w:hideMark/>
          </w:tcPr>
          <w:p w14:paraId="6B255F08" w14:textId="77777777" w:rsidR="00C86B17" w:rsidRPr="00C86B17" w:rsidRDefault="00C86B17" w:rsidP="00C86B17">
            <w:pPr>
              <w:spacing w:after="0" w:line="240" w:lineRule="auto"/>
              <w:rPr>
                <w:rFonts w:ascii="Calibri" w:eastAsia="Times New Roman" w:hAnsi="Calibri" w:cs="Calibri"/>
                <w:color w:val="000000"/>
              </w:rPr>
            </w:pPr>
            <w:r w:rsidRPr="00C86B17">
              <w:rPr>
                <w:rFonts w:ascii="Calibri" w:eastAsia="Times New Roman" w:hAnsi="Calibri" w:cs="Calibri"/>
                <w:color w:val="000000"/>
              </w:rPr>
              <w:t>D</w:t>
            </w:r>
          </w:p>
        </w:tc>
        <w:tc>
          <w:tcPr>
            <w:tcW w:w="1680" w:type="dxa"/>
            <w:tcBorders>
              <w:top w:val="nil"/>
              <w:left w:val="nil"/>
              <w:bottom w:val="nil"/>
              <w:right w:val="nil"/>
            </w:tcBorders>
            <w:shd w:val="clear" w:color="auto" w:fill="auto"/>
            <w:noWrap/>
            <w:vAlign w:val="bottom"/>
            <w:hideMark/>
          </w:tcPr>
          <w:p w14:paraId="13BB9D63" w14:textId="77777777" w:rsidR="00C86B17" w:rsidRPr="00C86B17" w:rsidRDefault="00C86B17" w:rsidP="00C86B17">
            <w:pPr>
              <w:spacing w:after="0" w:line="240" w:lineRule="auto"/>
              <w:jc w:val="right"/>
              <w:rPr>
                <w:rFonts w:ascii="Calibri" w:eastAsia="Times New Roman" w:hAnsi="Calibri" w:cs="Calibri"/>
                <w:color w:val="000000"/>
              </w:rPr>
            </w:pPr>
            <w:r w:rsidRPr="00C86B17">
              <w:rPr>
                <w:rFonts w:ascii="Calibri" w:eastAsia="Times New Roman" w:hAnsi="Calibri" w:cs="Calibri"/>
                <w:color w:val="000000"/>
              </w:rPr>
              <w:t>34479.98</w:t>
            </w:r>
          </w:p>
        </w:tc>
        <w:tc>
          <w:tcPr>
            <w:tcW w:w="1440" w:type="dxa"/>
            <w:tcBorders>
              <w:top w:val="nil"/>
              <w:left w:val="nil"/>
              <w:bottom w:val="nil"/>
              <w:right w:val="nil"/>
            </w:tcBorders>
            <w:shd w:val="clear" w:color="auto" w:fill="auto"/>
            <w:noWrap/>
            <w:vAlign w:val="bottom"/>
            <w:hideMark/>
          </w:tcPr>
          <w:p w14:paraId="1F918C99" w14:textId="77777777" w:rsidR="00C86B17" w:rsidRPr="00C86B17" w:rsidRDefault="00C86B17" w:rsidP="00C86B17">
            <w:pPr>
              <w:spacing w:after="0" w:line="240" w:lineRule="auto"/>
              <w:jc w:val="right"/>
              <w:rPr>
                <w:rFonts w:ascii="Calibri" w:eastAsia="Times New Roman" w:hAnsi="Calibri" w:cs="Calibri"/>
                <w:color w:val="000000"/>
              </w:rPr>
            </w:pPr>
            <w:r w:rsidRPr="00C86B17">
              <w:rPr>
                <w:rFonts w:ascii="Calibri" w:eastAsia="Times New Roman" w:hAnsi="Calibri" w:cs="Calibri"/>
                <w:color w:val="000000"/>
              </w:rPr>
              <w:t>34479.98</w:t>
            </w:r>
          </w:p>
        </w:tc>
      </w:tr>
      <w:tr w:rsidR="00C86B17" w:rsidRPr="00C86B17" w14:paraId="2956E0A9" w14:textId="77777777" w:rsidTr="00C86B17">
        <w:trPr>
          <w:trHeight w:val="290"/>
        </w:trPr>
        <w:tc>
          <w:tcPr>
            <w:tcW w:w="1640" w:type="dxa"/>
            <w:tcBorders>
              <w:top w:val="nil"/>
              <w:left w:val="nil"/>
              <w:bottom w:val="nil"/>
              <w:right w:val="nil"/>
            </w:tcBorders>
            <w:shd w:val="clear" w:color="auto" w:fill="auto"/>
            <w:noWrap/>
            <w:vAlign w:val="bottom"/>
            <w:hideMark/>
          </w:tcPr>
          <w:p w14:paraId="7618B11F" w14:textId="77777777" w:rsidR="00C86B17" w:rsidRPr="00C86B17" w:rsidRDefault="00C86B17" w:rsidP="00C86B17">
            <w:pPr>
              <w:spacing w:after="0" w:line="240" w:lineRule="auto"/>
              <w:rPr>
                <w:rFonts w:ascii="Calibri" w:eastAsia="Times New Roman" w:hAnsi="Calibri" w:cs="Calibri"/>
                <w:color w:val="000000"/>
              </w:rPr>
            </w:pPr>
            <w:r w:rsidRPr="00C86B17">
              <w:rPr>
                <w:rFonts w:ascii="Calibri" w:eastAsia="Times New Roman" w:hAnsi="Calibri" w:cs="Calibri"/>
                <w:color w:val="000000"/>
              </w:rPr>
              <w:t>E</w:t>
            </w:r>
          </w:p>
        </w:tc>
        <w:tc>
          <w:tcPr>
            <w:tcW w:w="1680" w:type="dxa"/>
            <w:tcBorders>
              <w:top w:val="nil"/>
              <w:left w:val="nil"/>
              <w:bottom w:val="nil"/>
              <w:right w:val="nil"/>
            </w:tcBorders>
            <w:shd w:val="clear" w:color="auto" w:fill="auto"/>
            <w:noWrap/>
            <w:vAlign w:val="bottom"/>
            <w:hideMark/>
          </w:tcPr>
          <w:p w14:paraId="2C4FEFFE" w14:textId="77777777" w:rsidR="00C86B17" w:rsidRPr="00C86B17" w:rsidRDefault="00C86B17" w:rsidP="00C86B17">
            <w:pPr>
              <w:spacing w:after="0" w:line="240" w:lineRule="auto"/>
              <w:jc w:val="right"/>
              <w:rPr>
                <w:rFonts w:ascii="Calibri" w:eastAsia="Times New Roman" w:hAnsi="Calibri" w:cs="Calibri"/>
                <w:color w:val="000000"/>
              </w:rPr>
            </w:pPr>
            <w:r w:rsidRPr="00C86B17">
              <w:rPr>
                <w:rFonts w:ascii="Calibri" w:eastAsia="Times New Roman" w:hAnsi="Calibri" w:cs="Calibri"/>
                <w:color w:val="000000"/>
              </w:rPr>
              <w:t>13267.51</w:t>
            </w:r>
          </w:p>
        </w:tc>
        <w:tc>
          <w:tcPr>
            <w:tcW w:w="1440" w:type="dxa"/>
            <w:tcBorders>
              <w:top w:val="nil"/>
              <w:left w:val="nil"/>
              <w:bottom w:val="nil"/>
              <w:right w:val="nil"/>
            </w:tcBorders>
            <w:shd w:val="clear" w:color="auto" w:fill="auto"/>
            <w:noWrap/>
            <w:vAlign w:val="bottom"/>
            <w:hideMark/>
          </w:tcPr>
          <w:p w14:paraId="11B6B553" w14:textId="77777777" w:rsidR="00C86B17" w:rsidRPr="00C86B17" w:rsidRDefault="00C86B17" w:rsidP="00C86B17">
            <w:pPr>
              <w:spacing w:after="0" w:line="240" w:lineRule="auto"/>
              <w:jc w:val="right"/>
              <w:rPr>
                <w:rFonts w:ascii="Calibri" w:eastAsia="Times New Roman" w:hAnsi="Calibri" w:cs="Calibri"/>
                <w:color w:val="000000"/>
              </w:rPr>
            </w:pPr>
            <w:r w:rsidRPr="00C86B17">
              <w:rPr>
                <w:rFonts w:ascii="Calibri" w:eastAsia="Times New Roman" w:hAnsi="Calibri" w:cs="Calibri"/>
                <w:color w:val="000000"/>
              </w:rPr>
              <w:t>13267.51</w:t>
            </w:r>
          </w:p>
        </w:tc>
      </w:tr>
      <w:tr w:rsidR="00C86B17" w:rsidRPr="00C86B17" w14:paraId="73952694" w14:textId="77777777" w:rsidTr="00C86B17">
        <w:trPr>
          <w:trHeight w:val="290"/>
        </w:trPr>
        <w:tc>
          <w:tcPr>
            <w:tcW w:w="1640" w:type="dxa"/>
            <w:tcBorders>
              <w:top w:val="nil"/>
              <w:left w:val="nil"/>
              <w:bottom w:val="nil"/>
              <w:right w:val="nil"/>
            </w:tcBorders>
            <w:shd w:val="clear" w:color="auto" w:fill="auto"/>
            <w:noWrap/>
            <w:vAlign w:val="bottom"/>
            <w:hideMark/>
          </w:tcPr>
          <w:p w14:paraId="04F56D05" w14:textId="77777777" w:rsidR="00C86B17" w:rsidRPr="00C86B17" w:rsidRDefault="00C86B17" w:rsidP="00C86B17">
            <w:pPr>
              <w:spacing w:after="0" w:line="240" w:lineRule="auto"/>
              <w:rPr>
                <w:rFonts w:ascii="Calibri" w:eastAsia="Times New Roman" w:hAnsi="Calibri" w:cs="Calibri"/>
                <w:color w:val="000000"/>
              </w:rPr>
            </w:pPr>
            <w:r w:rsidRPr="00C86B17">
              <w:rPr>
                <w:rFonts w:ascii="Calibri" w:eastAsia="Times New Roman" w:hAnsi="Calibri" w:cs="Calibri"/>
                <w:color w:val="000000"/>
              </w:rPr>
              <w:t>F</w:t>
            </w:r>
          </w:p>
        </w:tc>
        <w:tc>
          <w:tcPr>
            <w:tcW w:w="1680" w:type="dxa"/>
            <w:tcBorders>
              <w:top w:val="nil"/>
              <w:left w:val="nil"/>
              <w:bottom w:val="nil"/>
              <w:right w:val="nil"/>
            </w:tcBorders>
            <w:shd w:val="clear" w:color="auto" w:fill="auto"/>
            <w:noWrap/>
            <w:vAlign w:val="bottom"/>
            <w:hideMark/>
          </w:tcPr>
          <w:p w14:paraId="56640014" w14:textId="77777777" w:rsidR="00C86B17" w:rsidRPr="00C86B17" w:rsidRDefault="00C86B17" w:rsidP="00C86B17">
            <w:pPr>
              <w:spacing w:after="0" w:line="240" w:lineRule="auto"/>
              <w:jc w:val="right"/>
              <w:rPr>
                <w:rFonts w:ascii="Calibri" w:eastAsia="Times New Roman" w:hAnsi="Calibri" w:cs="Calibri"/>
                <w:color w:val="000000"/>
              </w:rPr>
            </w:pPr>
            <w:r w:rsidRPr="00C86B17">
              <w:rPr>
                <w:rFonts w:ascii="Calibri" w:eastAsia="Times New Roman" w:hAnsi="Calibri" w:cs="Calibri"/>
                <w:color w:val="000000"/>
              </w:rPr>
              <w:t>27631.06</w:t>
            </w:r>
          </w:p>
        </w:tc>
        <w:tc>
          <w:tcPr>
            <w:tcW w:w="1440" w:type="dxa"/>
            <w:tcBorders>
              <w:top w:val="nil"/>
              <w:left w:val="nil"/>
              <w:bottom w:val="nil"/>
              <w:right w:val="nil"/>
            </w:tcBorders>
            <w:shd w:val="clear" w:color="auto" w:fill="auto"/>
            <w:noWrap/>
            <w:vAlign w:val="bottom"/>
            <w:hideMark/>
          </w:tcPr>
          <w:p w14:paraId="5563DFFF" w14:textId="77777777" w:rsidR="00C86B17" w:rsidRPr="00C86B17" w:rsidRDefault="00C86B17" w:rsidP="00C86B17">
            <w:pPr>
              <w:spacing w:after="0" w:line="240" w:lineRule="auto"/>
              <w:jc w:val="right"/>
              <w:rPr>
                <w:rFonts w:ascii="Calibri" w:eastAsia="Times New Roman" w:hAnsi="Calibri" w:cs="Calibri"/>
                <w:color w:val="000000"/>
              </w:rPr>
            </w:pPr>
            <w:r w:rsidRPr="00C86B17">
              <w:rPr>
                <w:rFonts w:ascii="Calibri" w:eastAsia="Times New Roman" w:hAnsi="Calibri" w:cs="Calibri"/>
                <w:color w:val="000000"/>
              </w:rPr>
              <w:t>27631.06</w:t>
            </w:r>
          </w:p>
        </w:tc>
      </w:tr>
      <w:tr w:rsidR="00C86B17" w:rsidRPr="00C86B17" w14:paraId="1C9C3C49" w14:textId="77777777" w:rsidTr="00C86B17">
        <w:trPr>
          <w:trHeight w:val="290"/>
        </w:trPr>
        <w:tc>
          <w:tcPr>
            <w:tcW w:w="1640" w:type="dxa"/>
            <w:tcBorders>
              <w:top w:val="nil"/>
              <w:left w:val="nil"/>
              <w:bottom w:val="nil"/>
              <w:right w:val="nil"/>
            </w:tcBorders>
            <w:shd w:val="clear" w:color="auto" w:fill="auto"/>
            <w:noWrap/>
            <w:vAlign w:val="bottom"/>
            <w:hideMark/>
          </w:tcPr>
          <w:p w14:paraId="3BF60004" w14:textId="77777777" w:rsidR="00C86B17" w:rsidRPr="00C86B17" w:rsidRDefault="00C86B17" w:rsidP="00C86B17">
            <w:pPr>
              <w:spacing w:after="0" w:line="240" w:lineRule="auto"/>
              <w:rPr>
                <w:rFonts w:ascii="Calibri" w:eastAsia="Times New Roman" w:hAnsi="Calibri" w:cs="Calibri"/>
                <w:color w:val="000000"/>
              </w:rPr>
            </w:pPr>
            <w:r w:rsidRPr="00C86B17">
              <w:rPr>
                <w:rFonts w:ascii="Calibri" w:eastAsia="Times New Roman" w:hAnsi="Calibri" w:cs="Calibri"/>
                <w:color w:val="000000"/>
              </w:rPr>
              <w:t>G</w:t>
            </w:r>
          </w:p>
        </w:tc>
        <w:tc>
          <w:tcPr>
            <w:tcW w:w="1680" w:type="dxa"/>
            <w:tcBorders>
              <w:top w:val="nil"/>
              <w:left w:val="nil"/>
              <w:bottom w:val="nil"/>
              <w:right w:val="nil"/>
            </w:tcBorders>
            <w:shd w:val="clear" w:color="auto" w:fill="auto"/>
            <w:noWrap/>
            <w:vAlign w:val="bottom"/>
            <w:hideMark/>
          </w:tcPr>
          <w:p w14:paraId="676B63DB" w14:textId="77777777" w:rsidR="00C86B17" w:rsidRPr="00C86B17" w:rsidRDefault="00C86B17" w:rsidP="00C86B17">
            <w:pPr>
              <w:spacing w:after="0" w:line="240" w:lineRule="auto"/>
              <w:jc w:val="right"/>
              <w:rPr>
                <w:rFonts w:ascii="Calibri" w:eastAsia="Times New Roman" w:hAnsi="Calibri" w:cs="Calibri"/>
                <w:color w:val="000000"/>
              </w:rPr>
            </w:pPr>
            <w:r w:rsidRPr="00C86B17">
              <w:rPr>
                <w:rFonts w:ascii="Calibri" w:eastAsia="Times New Roman" w:hAnsi="Calibri" w:cs="Calibri"/>
                <w:color w:val="000000"/>
              </w:rPr>
              <w:t>0</w:t>
            </w:r>
          </w:p>
        </w:tc>
        <w:tc>
          <w:tcPr>
            <w:tcW w:w="1440" w:type="dxa"/>
            <w:tcBorders>
              <w:top w:val="nil"/>
              <w:left w:val="nil"/>
              <w:bottom w:val="nil"/>
              <w:right w:val="nil"/>
            </w:tcBorders>
            <w:shd w:val="clear" w:color="auto" w:fill="auto"/>
            <w:noWrap/>
            <w:vAlign w:val="bottom"/>
            <w:hideMark/>
          </w:tcPr>
          <w:p w14:paraId="1DE2B090" w14:textId="77777777" w:rsidR="00C86B17" w:rsidRPr="00C86B17" w:rsidRDefault="00C86B17" w:rsidP="00C86B17">
            <w:pPr>
              <w:spacing w:after="0" w:line="240" w:lineRule="auto"/>
              <w:jc w:val="right"/>
              <w:rPr>
                <w:rFonts w:ascii="Calibri" w:eastAsia="Times New Roman" w:hAnsi="Calibri" w:cs="Calibri"/>
                <w:color w:val="000000"/>
              </w:rPr>
            </w:pPr>
            <w:r w:rsidRPr="00C86B17">
              <w:rPr>
                <w:rFonts w:ascii="Calibri" w:eastAsia="Times New Roman" w:hAnsi="Calibri" w:cs="Calibri"/>
                <w:color w:val="000000"/>
              </w:rPr>
              <w:t>0</w:t>
            </w:r>
          </w:p>
        </w:tc>
      </w:tr>
      <w:tr w:rsidR="00C86B17" w:rsidRPr="00C86B17" w14:paraId="32429AC1" w14:textId="77777777" w:rsidTr="00C86B17">
        <w:trPr>
          <w:trHeight w:val="290"/>
        </w:trPr>
        <w:tc>
          <w:tcPr>
            <w:tcW w:w="1640" w:type="dxa"/>
            <w:tcBorders>
              <w:top w:val="single" w:sz="4" w:space="0" w:color="8EA9DB"/>
              <w:left w:val="nil"/>
              <w:bottom w:val="nil"/>
              <w:right w:val="nil"/>
            </w:tcBorders>
            <w:shd w:val="clear" w:color="D9E1F2" w:fill="D9E1F2"/>
            <w:noWrap/>
            <w:vAlign w:val="bottom"/>
            <w:hideMark/>
          </w:tcPr>
          <w:p w14:paraId="30C18A4C" w14:textId="77777777" w:rsidR="00C86B17" w:rsidRPr="00C86B17" w:rsidRDefault="00C86B17" w:rsidP="00C86B17">
            <w:pPr>
              <w:spacing w:after="0" w:line="240" w:lineRule="auto"/>
              <w:rPr>
                <w:rFonts w:ascii="Calibri" w:eastAsia="Times New Roman" w:hAnsi="Calibri" w:cs="Calibri"/>
                <w:b/>
                <w:bCs/>
                <w:color w:val="000000"/>
              </w:rPr>
            </w:pPr>
            <w:r w:rsidRPr="00C86B17">
              <w:rPr>
                <w:rFonts w:ascii="Calibri" w:eastAsia="Times New Roman" w:hAnsi="Calibri" w:cs="Calibri"/>
                <w:b/>
                <w:bCs/>
                <w:color w:val="000000"/>
              </w:rPr>
              <w:t>Grand Total</w:t>
            </w:r>
          </w:p>
        </w:tc>
        <w:tc>
          <w:tcPr>
            <w:tcW w:w="1680" w:type="dxa"/>
            <w:tcBorders>
              <w:top w:val="single" w:sz="4" w:space="0" w:color="8EA9DB"/>
              <w:left w:val="nil"/>
              <w:bottom w:val="nil"/>
              <w:right w:val="nil"/>
            </w:tcBorders>
            <w:shd w:val="clear" w:color="D9E1F2" w:fill="D9E1F2"/>
            <w:noWrap/>
            <w:vAlign w:val="bottom"/>
            <w:hideMark/>
          </w:tcPr>
          <w:p w14:paraId="0BE34DEB" w14:textId="77777777" w:rsidR="00C86B17" w:rsidRPr="00C86B17" w:rsidRDefault="00C86B17" w:rsidP="00C86B17">
            <w:pPr>
              <w:spacing w:after="0" w:line="240" w:lineRule="auto"/>
              <w:jc w:val="right"/>
              <w:rPr>
                <w:rFonts w:ascii="Calibri" w:eastAsia="Times New Roman" w:hAnsi="Calibri" w:cs="Calibri"/>
                <w:b/>
                <w:bCs/>
                <w:color w:val="000000"/>
              </w:rPr>
            </w:pPr>
            <w:r w:rsidRPr="00C86B17">
              <w:rPr>
                <w:rFonts w:ascii="Calibri" w:eastAsia="Times New Roman" w:hAnsi="Calibri" w:cs="Calibri"/>
                <w:b/>
                <w:bCs/>
                <w:color w:val="000000"/>
              </w:rPr>
              <w:t>175638.2</w:t>
            </w:r>
          </w:p>
        </w:tc>
        <w:tc>
          <w:tcPr>
            <w:tcW w:w="1440" w:type="dxa"/>
            <w:tcBorders>
              <w:top w:val="single" w:sz="4" w:space="0" w:color="8EA9DB"/>
              <w:left w:val="nil"/>
              <w:bottom w:val="nil"/>
              <w:right w:val="nil"/>
            </w:tcBorders>
            <w:shd w:val="clear" w:color="D9E1F2" w:fill="D9E1F2"/>
            <w:noWrap/>
            <w:vAlign w:val="bottom"/>
            <w:hideMark/>
          </w:tcPr>
          <w:p w14:paraId="2A30EEB7" w14:textId="77777777" w:rsidR="00C86B17" w:rsidRPr="00C86B17" w:rsidRDefault="00C86B17" w:rsidP="00C86B17">
            <w:pPr>
              <w:spacing w:after="0" w:line="240" w:lineRule="auto"/>
              <w:jc w:val="right"/>
              <w:rPr>
                <w:rFonts w:ascii="Calibri" w:eastAsia="Times New Roman" w:hAnsi="Calibri" w:cs="Calibri"/>
                <w:b/>
                <w:bCs/>
                <w:color w:val="000000"/>
              </w:rPr>
            </w:pPr>
            <w:r w:rsidRPr="00C86B17">
              <w:rPr>
                <w:rFonts w:ascii="Calibri" w:eastAsia="Times New Roman" w:hAnsi="Calibri" w:cs="Calibri"/>
                <w:b/>
                <w:bCs/>
                <w:color w:val="000000"/>
              </w:rPr>
              <w:t>175638.2</w:t>
            </w:r>
          </w:p>
        </w:tc>
      </w:tr>
    </w:tbl>
    <w:p w14:paraId="61F09836" w14:textId="28B1C31B" w:rsidR="008320B7" w:rsidRPr="008320B7" w:rsidRDefault="008320B7" w:rsidP="00DD2ACB">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This is particularly important because the number of risky loans does not necessarily represent the full financial risk.</w:t>
      </w:r>
      <w:r w:rsidR="00C86B17">
        <w:rPr>
          <w:rFonts w:ascii="Times New Roman" w:eastAsia="Times New Roman" w:hAnsi="Times New Roman" w:cs="Times New Roman"/>
          <w:sz w:val="24"/>
          <w:szCs w:val="24"/>
        </w:rPr>
        <w:t xml:space="preserve"> </w:t>
      </w:r>
      <w:r w:rsidRPr="008320B7">
        <w:rPr>
          <w:rFonts w:ascii="Times New Roman" w:eastAsia="Times New Roman" w:hAnsi="Times New Roman" w:cs="Times New Roman"/>
          <w:sz w:val="24"/>
          <w:szCs w:val="24"/>
        </w:rPr>
        <w:t>For example, ten high-risk loans with large outstanding balances may represent greater financial exposure than fifty smaller loans.</w:t>
      </w:r>
    </w:p>
    <w:p w14:paraId="660C306C" w14:textId="77777777" w:rsidR="008320B7" w:rsidRPr="008320B7" w:rsidRDefault="008320B7" w:rsidP="00DD2ACB">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Business Insight</w:t>
      </w:r>
    </w:p>
    <w:p w14:paraId="7CAA9325" w14:textId="7083462E" w:rsidR="008320B7" w:rsidRPr="008320B7" w:rsidRDefault="008320B7" w:rsidP="00DD2ACB">
      <w:pPr>
        <w:spacing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Outstanding principal exposure is concentrated unevenly across loan grades, indicating that portfolio risk should be evaluated not only by loan count but also by the amount of capital remaining outstanding.</w:t>
      </w:r>
      <w:r w:rsidR="00C86B17" w:rsidRPr="00C86B17">
        <w:t xml:space="preserve"> </w:t>
      </w:r>
      <w:r w:rsidR="00C86B17" w:rsidRPr="00C86B17">
        <w:rPr>
          <w:rFonts w:ascii="Times New Roman" w:hAnsi="Times New Roman" w:cs="Times New Roman"/>
          <w:sz w:val="24"/>
          <w:szCs w:val="24"/>
        </w:rPr>
        <w:t xml:space="preserve">The analysis shows that the greatest financial exposure is concentrated within the </w:t>
      </w:r>
      <w:r w:rsidR="00C86B17">
        <w:rPr>
          <w:rFonts w:ascii="Times New Roman" w:hAnsi="Times New Roman" w:cs="Times New Roman"/>
          <w:sz w:val="24"/>
          <w:szCs w:val="24"/>
        </w:rPr>
        <w:t>grade C</w:t>
      </w:r>
      <w:r w:rsidR="00C86B17" w:rsidRPr="00C86B17">
        <w:rPr>
          <w:rFonts w:ascii="Times New Roman" w:hAnsi="Times New Roman" w:cs="Times New Roman"/>
          <w:sz w:val="24"/>
          <w:szCs w:val="24"/>
        </w:rPr>
        <w:t xml:space="preserve"> loan segments.</w:t>
      </w:r>
      <w:r w:rsidR="00C86B17">
        <w:rPr>
          <w:rFonts w:ascii="Times New Roman" w:hAnsi="Times New Roman" w:cs="Times New Roman"/>
          <w:sz w:val="24"/>
          <w:szCs w:val="24"/>
        </w:rPr>
        <w:t xml:space="preserve"> </w:t>
      </w:r>
      <w:r w:rsidR="00C86B17" w:rsidRPr="00C86B17">
        <w:rPr>
          <w:rFonts w:ascii="Times New Roman" w:hAnsi="Times New Roman" w:cs="Times New Roman"/>
          <w:sz w:val="24"/>
          <w:szCs w:val="24"/>
        </w:rPr>
        <w:t xml:space="preserve">Grade </w:t>
      </w:r>
      <w:r w:rsidR="00C86B17">
        <w:rPr>
          <w:rFonts w:ascii="Times New Roman" w:hAnsi="Times New Roman" w:cs="Times New Roman"/>
          <w:sz w:val="24"/>
          <w:szCs w:val="24"/>
        </w:rPr>
        <w:t>C</w:t>
      </w:r>
      <w:r w:rsidR="00C86B17" w:rsidRPr="00C86B17">
        <w:rPr>
          <w:rFonts w:ascii="Times New Roman" w:hAnsi="Times New Roman" w:cs="Times New Roman"/>
          <w:sz w:val="24"/>
          <w:szCs w:val="24"/>
        </w:rPr>
        <w:t xml:space="preserve"> has </w:t>
      </w:r>
      <w:r w:rsidR="00C86B17">
        <w:rPr>
          <w:rFonts w:ascii="Times New Roman" w:hAnsi="Times New Roman" w:cs="Times New Roman"/>
          <w:sz w:val="24"/>
          <w:szCs w:val="24"/>
        </w:rPr>
        <w:t xml:space="preserve">about </w:t>
      </w:r>
      <w:r w:rsidR="00C86B17" w:rsidRPr="00C86B17">
        <w:rPr>
          <w:rFonts w:ascii="Times New Roman" w:hAnsi="Times New Roman" w:cs="Times New Roman"/>
          <w:sz w:val="24"/>
          <w:szCs w:val="24"/>
        </w:rPr>
        <w:t>₦</w:t>
      </w:r>
      <w:r w:rsidR="00C86B17">
        <w:rPr>
          <w:rFonts w:ascii="Times New Roman" w:hAnsi="Times New Roman" w:cs="Times New Roman"/>
          <w:sz w:val="24"/>
          <w:szCs w:val="24"/>
        </w:rPr>
        <w:t>90 thousand</w:t>
      </w:r>
      <w:r w:rsidR="00C86B17" w:rsidRPr="00C86B17">
        <w:rPr>
          <w:rFonts w:ascii="Times New Roman" w:hAnsi="Times New Roman" w:cs="Times New Roman"/>
          <w:sz w:val="24"/>
          <w:szCs w:val="24"/>
        </w:rPr>
        <w:t xml:space="preserve"> in outstanding principal associated with adverse loans, making it a priority area for portfolio monitoring and recovery.</w:t>
      </w:r>
    </w:p>
    <w:p w14:paraId="36DBF292" w14:textId="2BE6A603" w:rsidR="008320B7" w:rsidRDefault="008320B7" w:rsidP="00DD2ACB">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Recommendation</w:t>
      </w:r>
    </w:p>
    <w:p w14:paraId="3CB70972" w14:textId="77777777" w:rsidR="00D656F1" w:rsidRDefault="00D656F1" w:rsidP="00D656F1">
      <w:pPr>
        <w:spacing w:before="100" w:beforeAutospacing="1" w:after="100" w:afterAutospacing="1"/>
        <w:jc w:val="both"/>
        <w:outlineLvl w:val="2"/>
        <w:rPr>
          <w:rFonts w:ascii="Times New Roman" w:eastAsia="Times New Roman" w:hAnsi="Times New Roman" w:cs="Times New Roman"/>
          <w:b/>
          <w:bCs/>
          <w:sz w:val="24"/>
          <w:szCs w:val="24"/>
        </w:rPr>
      </w:pPr>
      <w:r w:rsidRPr="00D656F1">
        <w:rPr>
          <w:rFonts w:ascii="Times New Roman" w:hAnsi="Times New Roman" w:cs="Times New Roman"/>
          <w:sz w:val="24"/>
          <w:szCs w:val="24"/>
        </w:rPr>
        <w:t xml:space="preserve">Management should prioritize </w:t>
      </w:r>
      <w:r>
        <w:rPr>
          <w:rFonts w:ascii="Times New Roman" w:hAnsi="Times New Roman" w:cs="Times New Roman"/>
          <w:sz w:val="24"/>
          <w:szCs w:val="24"/>
        </w:rPr>
        <w:t>grade C</w:t>
      </w:r>
      <w:r w:rsidRPr="00D656F1">
        <w:rPr>
          <w:rFonts w:ascii="Times New Roman" w:hAnsi="Times New Roman" w:cs="Times New Roman"/>
          <w:sz w:val="24"/>
          <w:szCs w:val="24"/>
        </w:rPr>
        <w:t xml:space="preserve"> loans with substantial outstanding balances for proactive monitoring and collection activities. Risk management should consider both the number of risky loans and the amount of capital exposed.</w:t>
      </w:r>
      <w:r>
        <w:rPr>
          <w:rFonts w:ascii="Times New Roman" w:eastAsia="Times New Roman" w:hAnsi="Times New Roman" w:cs="Times New Roman"/>
          <w:b/>
          <w:bCs/>
          <w:sz w:val="24"/>
          <w:szCs w:val="24"/>
        </w:rPr>
        <w:t xml:space="preserve"> </w:t>
      </w:r>
    </w:p>
    <w:p w14:paraId="2EF595E5" w14:textId="32CB4F89" w:rsidR="008320B7" w:rsidRPr="008320B7" w:rsidRDefault="008320B7" w:rsidP="00D656F1">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sz w:val="24"/>
          <w:szCs w:val="24"/>
        </w:rPr>
        <w:t>Management should prioritize loans using a combination of:</w:t>
      </w:r>
    </w:p>
    <w:p w14:paraId="1E843747" w14:textId="77777777" w:rsidR="008320B7" w:rsidRPr="008320B7" w:rsidRDefault="008320B7" w:rsidP="00DD2ACB">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b/>
          <w:bCs/>
          <w:sz w:val="24"/>
          <w:szCs w:val="24"/>
        </w:rPr>
        <w:t>Risk level + Outstanding Principal Balance</w:t>
      </w:r>
    </w:p>
    <w:p w14:paraId="51496467" w14:textId="77777777" w:rsidR="008320B7" w:rsidRPr="008320B7" w:rsidRDefault="008320B7" w:rsidP="00DD2ACB">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rather than focusing on loan count alone.</w:t>
      </w:r>
    </w:p>
    <w:p w14:paraId="079D9372" w14:textId="54F2299D" w:rsidR="008320B7" w:rsidRPr="008320B7" w:rsidRDefault="008320B7" w:rsidP="008320B7">
      <w:pPr>
        <w:spacing w:after="0" w:line="240" w:lineRule="auto"/>
        <w:rPr>
          <w:rFonts w:ascii="Times New Roman" w:eastAsia="Times New Roman" w:hAnsi="Times New Roman" w:cs="Times New Roman"/>
          <w:sz w:val="24"/>
          <w:szCs w:val="24"/>
        </w:rPr>
      </w:pPr>
    </w:p>
    <w:p w14:paraId="432E2F97" w14:textId="77777777" w:rsidR="008320B7" w:rsidRPr="008320B7" w:rsidRDefault="008320B7" w:rsidP="00D656F1">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lastRenderedPageBreak/>
        <w:t>14. Key Insight 4 — Debt-to-Income Ratio</w:t>
      </w:r>
    </w:p>
    <w:p w14:paraId="08A60164" w14:textId="77777777" w:rsidR="00D656F1" w:rsidRPr="008320B7" w:rsidRDefault="008320B7" w:rsidP="00D656F1">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w:t>
      </w:r>
      <w:r w:rsidR="00D656F1">
        <w:rPr>
          <w:rFonts w:ascii="Times New Roman" w:eastAsia="Times New Roman" w:hAnsi="Times New Roman" w:cs="Times New Roman"/>
          <w:sz w:val="24"/>
          <w:szCs w:val="24"/>
        </w:rPr>
        <w:t>pivot report</w:t>
      </w:r>
      <w:r w:rsidRPr="008320B7">
        <w:rPr>
          <w:rFonts w:ascii="Times New Roman" w:eastAsia="Times New Roman" w:hAnsi="Times New Roman" w:cs="Times New Roman"/>
          <w:sz w:val="24"/>
          <w:szCs w:val="24"/>
        </w:rPr>
        <w:t xml:space="preserve"> shows the distribution of borrowers by DTI category:</w:t>
      </w:r>
    </w:p>
    <w:tbl>
      <w:tblPr>
        <w:tblW w:w="4760" w:type="dxa"/>
        <w:tblInd w:w="108" w:type="dxa"/>
        <w:tblLook w:val="04A0" w:firstRow="1" w:lastRow="0" w:firstColumn="1" w:lastColumn="0" w:noHBand="0" w:noVBand="1"/>
      </w:tblPr>
      <w:tblGrid>
        <w:gridCol w:w="1640"/>
        <w:gridCol w:w="1680"/>
        <w:gridCol w:w="1440"/>
      </w:tblGrid>
      <w:tr w:rsidR="00D656F1" w:rsidRPr="00D656F1" w14:paraId="7BD79AA0" w14:textId="77777777" w:rsidTr="00D656F1">
        <w:trPr>
          <w:trHeight w:val="290"/>
        </w:trPr>
        <w:tc>
          <w:tcPr>
            <w:tcW w:w="1640" w:type="dxa"/>
            <w:tcBorders>
              <w:top w:val="nil"/>
              <w:left w:val="nil"/>
              <w:bottom w:val="nil"/>
              <w:right w:val="nil"/>
            </w:tcBorders>
            <w:shd w:val="clear" w:color="D9E1F2" w:fill="D9E1F2"/>
            <w:noWrap/>
            <w:vAlign w:val="bottom"/>
            <w:hideMark/>
          </w:tcPr>
          <w:p w14:paraId="63901259" w14:textId="77777777" w:rsidR="00D656F1" w:rsidRPr="00D656F1" w:rsidRDefault="00D656F1" w:rsidP="00D656F1">
            <w:pPr>
              <w:spacing w:after="0" w:line="240" w:lineRule="auto"/>
              <w:rPr>
                <w:rFonts w:ascii="Calibri" w:eastAsia="Times New Roman" w:hAnsi="Calibri" w:cs="Calibri"/>
                <w:b/>
                <w:bCs/>
                <w:color w:val="000000"/>
              </w:rPr>
            </w:pPr>
            <w:r w:rsidRPr="00D656F1">
              <w:rPr>
                <w:rFonts w:ascii="Calibri" w:eastAsia="Times New Roman" w:hAnsi="Calibri" w:cs="Calibri"/>
                <w:b/>
                <w:bCs/>
                <w:color w:val="000000"/>
              </w:rPr>
              <w:t xml:space="preserve">Count of </w:t>
            </w:r>
            <w:proofErr w:type="spellStart"/>
            <w:r w:rsidRPr="00D656F1">
              <w:rPr>
                <w:rFonts w:ascii="Calibri" w:eastAsia="Times New Roman" w:hAnsi="Calibri" w:cs="Calibri"/>
                <w:b/>
                <w:bCs/>
                <w:color w:val="000000"/>
              </w:rPr>
              <w:t>loan_id</w:t>
            </w:r>
            <w:proofErr w:type="spellEnd"/>
          </w:p>
        </w:tc>
        <w:tc>
          <w:tcPr>
            <w:tcW w:w="1680" w:type="dxa"/>
            <w:tcBorders>
              <w:top w:val="nil"/>
              <w:left w:val="nil"/>
              <w:bottom w:val="nil"/>
              <w:right w:val="nil"/>
            </w:tcBorders>
            <w:shd w:val="clear" w:color="D9E1F2" w:fill="D9E1F2"/>
            <w:noWrap/>
            <w:vAlign w:val="bottom"/>
            <w:hideMark/>
          </w:tcPr>
          <w:p w14:paraId="291CC2F0" w14:textId="13B0A275" w:rsidR="00D656F1" w:rsidRPr="00D656F1" w:rsidRDefault="00D656F1" w:rsidP="00D656F1">
            <w:pPr>
              <w:spacing w:after="0" w:line="240" w:lineRule="auto"/>
              <w:rPr>
                <w:rFonts w:ascii="Calibri" w:eastAsia="Times New Roman" w:hAnsi="Calibri" w:cs="Calibri"/>
                <w:b/>
                <w:bCs/>
                <w:color w:val="000000"/>
              </w:rPr>
            </w:pPr>
            <w:r>
              <w:rPr>
                <w:rFonts w:ascii="Calibri" w:eastAsia="Times New Roman" w:hAnsi="Calibri" w:cs="Calibri"/>
                <w:b/>
                <w:bCs/>
                <w:color w:val="000000"/>
              </w:rPr>
              <w:t>Dept to Income Ratio</w:t>
            </w:r>
          </w:p>
        </w:tc>
        <w:tc>
          <w:tcPr>
            <w:tcW w:w="1440" w:type="dxa"/>
            <w:tcBorders>
              <w:top w:val="nil"/>
              <w:left w:val="nil"/>
              <w:bottom w:val="nil"/>
              <w:right w:val="nil"/>
            </w:tcBorders>
            <w:shd w:val="clear" w:color="D9E1F2" w:fill="D9E1F2"/>
            <w:noWrap/>
            <w:vAlign w:val="bottom"/>
            <w:hideMark/>
          </w:tcPr>
          <w:p w14:paraId="4F6F4C86" w14:textId="77777777" w:rsidR="00D656F1" w:rsidRPr="00D656F1" w:rsidRDefault="00D656F1" w:rsidP="00D656F1">
            <w:pPr>
              <w:spacing w:after="0" w:line="240" w:lineRule="auto"/>
              <w:rPr>
                <w:rFonts w:ascii="Calibri" w:eastAsia="Times New Roman" w:hAnsi="Calibri" w:cs="Calibri"/>
                <w:b/>
                <w:bCs/>
                <w:color w:val="000000"/>
              </w:rPr>
            </w:pPr>
          </w:p>
        </w:tc>
      </w:tr>
      <w:tr w:rsidR="00D656F1" w:rsidRPr="00D656F1" w14:paraId="7E833280" w14:textId="77777777" w:rsidTr="00D656F1">
        <w:trPr>
          <w:trHeight w:val="290"/>
        </w:trPr>
        <w:tc>
          <w:tcPr>
            <w:tcW w:w="1640" w:type="dxa"/>
            <w:tcBorders>
              <w:top w:val="nil"/>
              <w:left w:val="nil"/>
              <w:bottom w:val="single" w:sz="4" w:space="0" w:color="8EA9DB"/>
              <w:right w:val="nil"/>
            </w:tcBorders>
            <w:shd w:val="clear" w:color="D9E1F2" w:fill="D9E1F2"/>
            <w:noWrap/>
            <w:vAlign w:val="bottom"/>
            <w:hideMark/>
          </w:tcPr>
          <w:p w14:paraId="1953E630" w14:textId="080684AA" w:rsidR="00D656F1" w:rsidRPr="00D656F1" w:rsidRDefault="00D3643D" w:rsidP="00D656F1">
            <w:pPr>
              <w:spacing w:after="0" w:line="240" w:lineRule="auto"/>
              <w:rPr>
                <w:rFonts w:ascii="Calibri" w:eastAsia="Times New Roman" w:hAnsi="Calibri" w:cs="Calibri"/>
                <w:b/>
                <w:bCs/>
                <w:color w:val="000000"/>
              </w:rPr>
            </w:pPr>
            <w:r>
              <w:rPr>
                <w:rFonts w:ascii="Calibri" w:eastAsia="Times New Roman" w:hAnsi="Calibri" w:cs="Calibri"/>
                <w:b/>
                <w:bCs/>
                <w:color w:val="000000"/>
              </w:rPr>
              <w:t>DTI</w:t>
            </w:r>
          </w:p>
        </w:tc>
        <w:tc>
          <w:tcPr>
            <w:tcW w:w="1680" w:type="dxa"/>
            <w:tcBorders>
              <w:top w:val="nil"/>
              <w:left w:val="nil"/>
              <w:bottom w:val="single" w:sz="4" w:space="0" w:color="8EA9DB"/>
              <w:right w:val="nil"/>
            </w:tcBorders>
            <w:shd w:val="clear" w:color="D9E1F2" w:fill="D9E1F2"/>
            <w:noWrap/>
            <w:vAlign w:val="bottom"/>
            <w:hideMark/>
          </w:tcPr>
          <w:p w14:paraId="42B26EDE" w14:textId="77777777" w:rsidR="00D656F1" w:rsidRPr="00D656F1" w:rsidRDefault="00D656F1" w:rsidP="00D656F1">
            <w:pPr>
              <w:spacing w:after="0" w:line="240" w:lineRule="auto"/>
              <w:rPr>
                <w:rFonts w:ascii="Calibri" w:eastAsia="Times New Roman" w:hAnsi="Calibri" w:cs="Calibri"/>
                <w:b/>
                <w:bCs/>
                <w:color w:val="000000"/>
              </w:rPr>
            </w:pPr>
            <w:r w:rsidRPr="00D656F1">
              <w:rPr>
                <w:rFonts w:ascii="Calibri" w:eastAsia="Times New Roman" w:hAnsi="Calibri" w:cs="Calibri"/>
                <w:b/>
                <w:bCs/>
                <w:color w:val="000000"/>
              </w:rPr>
              <w:t>Adverse</w:t>
            </w:r>
          </w:p>
        </w:tc>
        <w:tc>
          <w:tcPr>
            <w:tcW w:w="1440" w:type="dxa"/>
            <w:tcBorders>
              <w:top w:val="nil"/>
              <w:left w:val="nil"/>
              <w:bottom w:val="single" w:sz="4" w:space="0" w:color="8EA9DB"/>
              <w:right w:val="nil"/>
            </w:tcBorders>
            <w:shd w:val="clear" w:color="D9E1F2" w:fill="D9E1F2"/>
            <w:noWrap/>
            <w:vAlign w:val="bottom"/>
            <w:hideMark/>
          </w:tcPr>
          <w:p w14:paraId="525413AA" w14:textId="77777777" w:rsidR="00D656F1" w:rsidRPr="00D656F1" w:rsidRDefault="00D656F1" w:rsidP="00D656F1">
            <w:pPr>
              <w:spacing w:after="0" w:line="240" w:lineRule="auto"/>
              <w:rPr>
                <w:rFonts w:ascii="Calibri" w:eastAsia="Times New Roman" w:hAnsi="Calibri" w:cs="Calibri"/>
                <w:b/>
                <w:bCs/>
                <w:color w:val="000000"/>
              </w:rPr>
            </w:pPr>
            <w:r w:rsidRPr="00D656F1">
              <w:rPr>
                <w:rFonts w:ascii="Calibri" w:eastAsia="Times New Roman" w:hAnsi="Calibri" w:cs="Calibri"/>
                <w:b/>
                <w:bCs/>
                <w:color w:val="000000"/>
              </w:rPr>
              <w:t>Grand Total</w:t>
            </w:r>
          </w:p>
        </w:tc>
      </w:tr>
      <w:tr w:rsidR="00D656F1" w:rsidRPr="00D656F1" w14:paraId="3E5CAC8A" w14:textId="77777777" w:rsidTr="00D656F1">
        <w:trPr>
          <w:trHeight w:val="290"/>
        </w:trPr>
        <w:tc>
          <w:tcPr>
            <w:tcW w:w="1640" w:type="dxa"/>
            <w:tcBorders>
              <w:top w:val="nil"/>
              <w:left w:val="nil"/>
              <w:bottom w:val="nil"/>
              <w:right w:val="nil"/>
            </w:tcBorders>
            <w:shd w:val="clear" w:color="auto" w:fill="auto"/>
            <w:noWrap/>
            <w:vAlign w:val="bottom"/>
            <w:hideMark/>
          </w:tcPr>
          <w:p w14:paraId="0A355F3A" w14:textId="77777777" w:rsidR="00D656F1" w:rsidRPr="00D656F1" w:rsidRDefault="00D656F1" w:rsidP="00D656F1">
            <w:pPr>
              <w:spacing w:after="0" w:line="240" w:lineRule="auto"/>
              <w:rPr>
                <w:rFonts w:ascii="Calibri" w:eastAsia="Times New Roman" w:hAnsi="Calibri" w:cs="Calibri"/>
                <w:color w:val="000000"/>
              </w:rPr>
            </w:pPr>
            <w:r w:rsidRPr="00D656F1">
              <w:rPr>
                <w:rFonts w:ascii="Calibri" w:eastAsia="Times New Roman" w:hAnsi="Calibri" w:cs="Calibri"/>
                <w:color w:val="000000"/>
              </w:rPr>
              <w:t>High</w:t>
            </w:r>
          </w:p>
        </w:tc>
        <w:tc>
          <w:tcPr>
            <w:tcW w:w="1680" w:type="dxa"/>
            <w:tcBorders>
              <w:top w:val="nil"/>
              <w:left w:val="nil"/>
              <w:bottom w:val="nil"/>
              <w:right w:val="nil"/>
            </w:tcBorders>
            <w:shd w:val="clear" w:color="auto" w:fill="auto"/>
            <w:noWrap/>
            <w:vAlign w:val="bottom"/>
            <w:hideMark/>
          </w:tcPr>
          <w:p w14:paraId="3C92D7F6" w14:textId="77777777" w:rsidR="00D656F1" w:rsidRPr="00D656F1" w:rsidRDefault="00D656F1" w:rsidP="00D656F1">
            <w:pPr>
              <w:spacing w:after="0" w:line="240" w:lineRule="auto"/>
              <w:jc w:val="right"/>
              <w:rPr>
                <w:rFonts w:ascii="Calibri" w:eastAsia="Times New Roman" w:hAnsi="Calibri" w:cs="Calibri"/>
                <w:color w:val="000000"/>
              </w:rPr>
            </w:pPr>
            <w:r w:rsidRPr="00D656F1">
              <w:rPr>
                <w:rFonts w:ascii="Calibri" w:eastAsia="Times New Roman" w:hAnsi="Calibri" w:cs="Calibri"/>
                <w:color w:val="000000"/>
              </w:rPr>
              <w:t>23.80%</w:t>
            </w:r>
          </w:p>
        </w:tc>
        <w:tc>
          <w:tcPr>
            <w:tcW w:w="1440" w:type="dxa"/>
            <w:tcBorders>
              <w:top w:val="nil"/>
              <w:left w:val="nil"/>
              <w:bottom w:val="nil"/>
              <w:right w:val="nil"/>
            </w:tcBorders>
            <w:shd w:val="clear" w:color="auto" w:fill="auto"/>
            <w:noWrap/>
            <w:vAlign w:val="bottom"/>
            <w:hideMark/>
          </w:tcPr>
          <w:p w14:paraId="6873D26E" w14:textId="77777777" w:rsidR="00D656F1" w:rsidRPr="00D656F1" w:rsidRDefault="00D656F1" w:rsidP="00D656F1">
            <w:pPr>
              <w:spacing w:after="0" w:line="240" w:lineRule="auto"/>
              <w:jc w:val="right"/>
              <w:rPr>
                <w:rFonts w:ascii="Calibri" w:eastAsia="Times New Roman" w:hAnsi="Calibri" w:cs="Calibri"/>
                <w:color w:val="000000"/>
              </w:rPr>
            </w:pPr>
            <w:r w:rsidRPr="00D656F1">
              <w:rPr>
                <w:rFonts w:ascii="Calibri" w:eastAsia="Times New Roman" w:hAnsi="Calibri" w:cs="Calibri"/>
                <w:color w:val="000000"/>
              </w:rPr>
              <w:t>23.80%</w:t>
            </w:r>
          </w:p>
        </w:tc>
      </w:tr>
      <w:tr w:rsidR="00D656F1" w:rsidRPr="00D656F1" w14:paraId="4D2D44CA" w14:textId="77777777" w:rsidTr="00D656F1">
        <w:trPr>
          <w:trHeight w:val="290"/>
        </w:trPr>
        <w:tc>
          <w:tcPr>
            <w:tcW w:w="1640" w:type="dxa"/>
            <w:tcBorders>
              <w:top w:val="nil"/>
              <w:left w:val="nil"/>
              <w:bottom w:val="nil"/>
              <w:right w:val="nil"/>
            </w:tcBorders>
            <w:shd w:val="clear" w:color="auto" w:fill="auto"/>
            <w:noWrap/>
            <w:vAlign w:val="bottom"/>
            <w:hideMark/>
          </w:tcPr>
          <w:p w14:paraId="0453F72A" w14:textId="77777777" w:rsidR="00D656F1" w:rsidRPr="00D656F1" w:rsidRDefault="00D656F1" w:rsidP="00D656F1">
            <w:pPr>
              <w:spacing w:after="0" w:line="240" w:lineRule="auto"/>
              <w:rPr>
                <w:rFonts w:ascii="Calibri" w:eastAsia="Times New Roman" w:hAnsi="Calibri" w:cs="Calibri"/>
                <w:color w:val="000000"/>
              </w:rPr>
            </w:pPr>
            <w:r w:rsidRPr="00D656F1">
              <w:rPr>
                <w:rFonts w:ascii="Calibri" w:eastAsia="Times New Roman" w:hAnsi="Calibri" w:cs="Calibri"/>
                <w:color w:val="000000"/>
              </w:rPr>
              <w:t>Low</w:t>
            </w:r>
          </w:p>
        </w:tc>
        <w:tc>
          <w:tcPr>
            <w:tcW w:w="1680" w:type="dxa"/>
            <w:tcBorders>
              <w:top w:val="nil"/>
              <w:left w:val="nil"/>
              <w:bottom w:val="nil"/>
              <w:right w:val="nil"/>
            </w:tcBorders>
            <w:shd w:val="clear" w:color="auto" w:fill="auto"/>
            <w:noWrap/>
            <w:vAlign w:val="bottom"/>
            <w:hideMark/>
          </w:tcPr>
          <w:p w14:paraId="243DAF3F" w14:textId="77777777" w:rsidR="00D656F1" w:rsidRPr="00D656F1" w:rsidRDefault="00D656F1" w:rsidP="00D656F1">
            <w:pPr>
              <w:spacing w:after="0" w:line="240" w:lineRule="auto"/>
              <w:jc w:val="right"/>
              <w:rPr>
                <w:rFonts w:ascii="Calibri" w:eastAsia="Times New Roman" w:hAnsi="Calibri" w:cs="Calibri"/>
                <w:color w:val="000000"/>
              </w:rPr>
            </w:pPr>
            <w:r w:rsidRPr="00D656F1">
              <w:rPr>
                <w:rFonts w:ascii="Calibri" w:eastAsia="Times New Roman" w:hAnsi="Calibri" w:cs="Calibri"/>
                <w:color w:val="000000"/>
              </w:rPr>
              <w:t>27.57%</w:t>
            </w:r>
          </w:p>
        </w:tc>
        <w:tc>
          <w:tcPr>
            <w:tcW w:w="1440" w:type="dxa"/>
            <w:tcBorders>
              <w:top w:val="nil"/>
              <w:left w:val="nil"/>
              <w:bottom w:val="nil"/>
              <w:right w:val="nil"/>
            </w:tcBorders>
            <w:shd w:val="clear" w:color="auto" w:fill="auto"/>
            <w:noWrap/>
            <w:vAlign w:val="bottom"/>
            <w:hideMark/>
          </w:tcPr>
          <w:p w14:paraId="6D78C512" w14:textId="77777777" w:rsidR="00D656F1" w:rsidRPr="00D656F1" w:rsidRDefault="00D656F1" w:rsidP="00D656F1">
            <w:pPr>
              <w:spacing w:after="0" w:line="240" w:lineRule="auto"/>
              <w:jc w:val="right"/>
              <w:rPr>
                <w:rFonts w:ascii="Calibri" w:eastAsia="Times New Roman" w:hAnsi="Calibri" w:cs="Calibri"/>
                <w:color w:val="000000"/>
              </w:rPr>
            </w:pPr>
            <w:r w:rsidRPr="00D656F1">
              <w:rPr>
                <w:rFonts w:ascii="Calibri" w:eastAsia="Times New Roman" w:hAnsi="Calibri" w:cs="Calibri"/>
                <w:color w:val="000000"/>
              </w:rPr>
              <w:t>27.57%</w:t>
            </w:r>
          </w:p>
        </w:tc>
      </w:tr>
      <w:tr w:rsidR="00D656F1" w:rsidRPr="00D656F1" w14:paraId="5F62262F" w14:textId="77777777" w:rsidTr="00D656F1">
        <w:trPr>
          <w:trHeight w:val="290"/>
        </w:trPr>
        <w:tc>
          <w:tcPr>
            <w:tcW w:w="1640" w:type="dxa"/>
            <w:tcBorders>
              <w:top w:val="nil"/>
              <w:left w:val="nil"/>
              <w:bottom w:val="nil"/>
              <w:right w:val="nil"/>
            </w:tcBorders>
            <w:shd w:val="clear" w:color="auto" w:fill="auto"/>
            <w:noWrap/>
            <w:vAlign w:val="bottom"/>
            <w:hideMark/>
          </w:tcPr>
          <w:p w14:paraId="5CB4DFF5" w14:textId="77777777" w:rsidR="00D656F1" w:rsidRPr="00D656F1" w:rsidRDefault="00D656F1" w:rsidP="00D656F1">
            <w:pPr>
              <w:spacing w:after="0" w:line="240" w:lineRule="auto"/>
              <w:rPr>
                <w:rFonts w:ascii="Calibri" w:eastAsia="Times New Roman" w:hAnsi="Calibri" w:cs="Calibri"/>
                <w:color w:val="000000"/>
              </w:rPr>
            </w:pPr>
            <w:r w:rsidRPr="00D656F1">
              <w:rPr>
                <w:rFonts w:ascii="Calibri" w:eastAsia="Times New Roman" w:hAnsi="Calibri" w:cs="Calibri"/>
                <w:color w:val="000000"/>
              </w:rPr>
              <w:t>Medium</w:t>
            </w:r>
          </w:p>
        </w:tc>
        <w:tc>
          <w:tcPr>
            <w:tcW w:w="1680" w:type="dxa"/>
            <w:tcBorders>
              <w:top w:val="nil"/>
              <w:left w:val="nil"/>
              <w:bottom w:val="nil"/>
              <w:right w:val="nil"/>
            </w:tcBorders>
            <w:shd w:val="clear" w:color="auto" w:fill="auto"/>
            <w:noWrap/>
            <w:vAlign w:val="bottom"/>
            <w:hideMark/>
          </w:tcPr>
          <w:p w14:paraId="2200AD65" w14:textId="77777777" w:rsidR="00D656F1" w:rsidRPr="00D656F1" w:rsidRDefault="00D656F1" w:rsidP="00D656F1">
            <w:pPr>
              <w:spacing w:after="0" w:line="240" w:lineRule="auto"/>
              <w:jc w:val="right"/>
              <w:rPr>
                <w:rFonts w:ascii="Calibri" w:eastAsia="Times New Roman" w:hAnsi="Calibri" w:cs="Calibri"/>
                <w:color w:val="000000"/>
              </w:rPr>
            </w:pPr>
            <w:r w:rsidRPr="00D656F1">
              <w:rPr>
                <w:rFonts w:ascii="Calibri" w:eastAsia="Times New Roman" w:hAnsi="Calibri" w:cs="Calibri"/>
                <w:color w:val="000000"/>
              </w:rPr>
              <w:t>48.63%</w:t>
            </w:r>
          </w:p>
        </w:tc>
        <w:tc>
          <w:tcPr>
            <w:tcW w:w="1440" w:type="dxa"/>
            <w:tcBorders>
              <w:top w:val="nil"/>
              <w:left w:val="nil"/>
              <w:bottom w:val="nil"/>
              <w:right w:val="nil"/>
            </w:tcBorders>
            <w:shd w:val="clear" w:color="auto" w:fill="auto"/>
            <w:noWrap/>
            <w:vAlign w:val="bottom"/>
            <w:hideMark/>
          </w:tcPr>
          <w:p w14:paraId="0F08CB0B" w14:textId="77777777" w:rsidR="00D656F1" w:rsidRPr="00D656F1" w:rsidRDefault="00D656F1" w:rsidP="00D656F1">
            <w:pPr>
              <w:spacing w:after="0" w:line="240" w:lineRule="auto"/>
              <w:jc w:val="right"/>
              <w:rPr>
                <w:rFonts w:ascii="Calibri" w:eastAsia="Times New Roman" w:hAnsi="Calibri" w:cs="Calibri"/>
                <w:color w:val="000000"/>
              </w:rPr>
            </w:pPr>
            <w:r w:rsidRPr="00D656F1">
              <w:rPr>
                <w:rFonts w:ascii="Calibri" w:eastAsia="Times New Roman" w:hAnsi="Calibri" w:cs="Calibri"/>
                <w:color w:val="000000"/>
              </w:rPr>
              <w:t>48.63%</w:t>
            </w:r>
          </w:p>
        </w:tc>
      </w:tr>
      <w:tr w:rsidR="00D656F1" w:rsidRPr="00D656F1" w14:paraId="57DCED02" w14:textId="77777777" w:rsidTr="00D656F1">
        <w:trPr>
          <w:trHeight w:val="290"/>
        </w:trPr>
        <w:tc>
          <w:tcPr>
            <w:tcW w:w="1640" w:type="dxa"/>
            <w:tcBorders>
              <w:top w:val="single" w:sz="4" w:space="0" w:color="8EA9DB"/>
              <w:left w:val="nil"/>
              <w:bottom w:val="nil"/>
              <w:right w:val="nil"/>
            </w:tcBorders>
            <w:shd w:val="clear" w:color="D9E1F2" w:fill="D9E1F2"/>
            <w:noWrap/>
            <w:vAlign w:val="bottom"/>
            <w:hideMark/>
          </w:tcPr>
          <w:p w14:paraId="535FB3F6" w14:textId="77777777" w:rsidR="00D656F1" w:rsidRPr="00D656F1" w:rsidRDefault="00D656F1" w:rsidP="00D656F1">
            <w:pPr>
              <w:spacing w:after="0" w:line="240" w:lineRule="auto"/>
              <w:rPr>
                <w:rFonts w:ascii="Calibri" w:eastAsia="Times New Roman" w:hAnsi="Calibri" w:cs="Calibri"/>
                <w:b/>
                <w:bCs/>
                <w:color w:val="000000"/>
              </w:rPr>
            </w:pPr>
            <w:r w:rsidRPr="00D656F1">
              <w:rPr>
                <w:rFonts w:ascii="Calibri" w:eastAsia="Times New Roman" w:hAnsi="Calibri" w:cs="Calibri"/>
                <w:b/>
                <w:bCs/>
                <w:color w:val="000000"/>
              </w:rPr>
              <w:t>Grand Total</w:t>
            </w:r>
          </w:p>
        </w:tc>
        <w:tc>
          <w:tcPr>
            <w:tcW w:w="1680" w:type="dxa"/>
            <w:tcBorders>
              <w:top w:val="single" w:sz="4" w:space="0" w:color="8EA9DB"/>
              <w:left w:val="nil"/>
              <w:bottom w:val="nil"/>
              <w:right w:val="nil"/>
            </w:tcBorders>
            <w:shd w:val="clear" w:color="D9E1F2" w:fill="D9E1F2"/>
            <w:noWrap/>
            <w:vAlign w:val="bottom"/>
            <w:hideMark/>
          </w:tcPr>
          <w:p w14:paraId="1987CADF" w14:textId="77777777" w:rsidR="00D656F1" w:rsidRPr="00D656F1" w:rsidRDefault="00D656F1" w:rsidP="00D656F1">
            <w:pPr>
              <w:spacing w:after="0" w:line="240" w:lineRule="auto"/>
              <w:jc w:val="right"/>
              <w:rPr>
                <w:rFonts w:ascii="Calibri" w:eastAsia="Times New Roman" w:hAnsi="Calibri" w:cs="Calibri"/>
                <w:b/>
                <w:bCs/>
                <w:color w:val="000000"/>
              </w:rPr>
            </w:pPr>
            <w:r w:rsidRPr="00D656F1">
              <w:rPr>
                <w:rFonts w:ascii="Calibri" w:eastAsia="Times New Roman" w:hAnsi="Calibri" w:cs="Calibri"/>
                <w:b/>
                <w:bCs/>
                <w:color w:val="000000"/>
              </w:rPr>
              <w:t>100.00%</w:t>
            </w:r>
          </w:p>
        </w:tc>
        <w:tc>
          <w:tcPr>
            <w:tcW w:w="1440" w:type="dxa"/>
            <w:tcBorders>
              <w:top w:val="single" w:sz="4" w:space="0" w:color="8EA9DB"/>
              <w:left w:val="nil"/>
              <w:bottom w:val="nil"/>
              <w:right w:val="nil"/>
            </w:tcBorders>
            <w:shd w:val="clear" w:color="D9E1F2" w:fill="D9E1F2"/>
            <w:noWrap/>
            <w:vAlign w:val="bottom"/>
            <w:hideMark/>
          </w:tcPr>
          <w:p w14:paraId="097E9313" w14:textId="77777777" w:rsidR="00D656F1" w:rsidRPr="00D656F1" w:rsidRDefault="00D656F1" w:rsidP="00D656F1">
            <w:pPr>
              <w:spacing w:after="0" w:line="240" w:lineRule="auto"/>
              <w:jc w:val="right"/>
              <w:rPr>
                <w:rFonts w:ascii="Calibri" w:eastAsia="Times New Roman" w:hAnsi="Calibri" w:cs="Calibri"/>
                <w:b/>
                <w:bCs/>
                <w:color w:val="000000"/>
              </w:rPr>
            </w:pPr>
            <w:r w:rsidRPr="00D656F1">
              <w:rPr>
                <w:rFonts w:ascii="Calibri" w:eastAsia="Times New Roman" w:hAnsi="Calibri" w:cs="Calibri"/>
                <w:b/>
                <w:bCs/>
                <w:color w:val="000000"/>
              </w:rPr>
              <w:t>100.00%</w:t>
            </w:r>
          </w:p>
        </w:tc>
      </w:tr>
    </w:tbl>
    <w:p w14:paraId="49A8AF75" w14:textId="77777777" w:rsidR="008320B7" w:rsidRPr="008320B7" w:rsidRDefault="008320B7" w:rsidP="00D656F1">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Medium category represents the largest portion of the portfolio.</w:t>
      </w:r>
    </w:p>
    <w:p w14:paraId="675FF4E4" w14:textId="77777777" w:rsidR="008320B7" w:rsidRPr="008320B7" w:rsidRDefault="008320B7" w:rsidP="00D656F1">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Business Insight</w:t>
      </w:r>
    </w:p>
    <w:p w14:paraId="6742C36A" w14:textId="3692310C" w:rsidR="008320B7" w:rsidRPr="008320B7" w:rsidRDefault="008320B7" w:rsidP="00D656F1">
      <w:pPr>
        <w:spacing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DTI distribution provides management with an overview of borrower debt burden and affordability characteristics across the portfolio.</w:t>
      </w:r>
      <w:r w:rsidR="00D656F1" w:rsidRPr="00D656F1">
        <w:rPr>
          <w:rFonts w:ascii="Times New Roman" w:eastAsia="Times New Roman" w:hAnsi="Times New Roman" w:cs="Times New Roman"/>
          <w:sz w:val="24"/>
          <w:szCs w:val="24"/>
        </w:rPr>
        <w:t xml:space="preserve"> </w:t>
      </w:r>
      <w:r w:rsidR="00D656F1" w:rsidRPr="00D656F1">
        <w:rPr>
          <w:rFonts w:ascii="Times New Roman" w:hAnsi="Times New Roman" w:cs="Times New Roman"/>
          <w:sz w:val="24"/>
          <w:szCs w:val="24"/>
        </w:rPr>
        <w:t>Th</w:t>
      </w:r>
      <w:r w:rsidR="00D656F1">
        <w:rPr>
          <w:rFonts w:ascii="Times New Roman" w:hAnsi="Times New Roman" w:cs="Times New Roman"/>
          <w:sz w:val="24"/>
          <w:szCs w:val="24"/>
        </w:rPr>
        <w:t>is</w:t>
      </w:r>
      <w:r w:rsidR="00D656F1" w:rsidRPr="00D656F1">
        <w:rPr>
          <w:rFonts w:ascii="Times New Roman" w:hAnsi="Times New Roman" w:cs="Times New Roman"/>
          <w:sz w:val="24"/>
          <w:szCs w:val="24"/>
        </w:rPr>
        <w:t xml:space="preserve"> indicates that borrowers with </w:t>
      </w:r>
      <w:proofErr w:type="gramStart"/>
      <w:r w:rsidR="00D656F1">
        <w:rPr>
          <w:rFonts w:ascii="Times New Roman" w:hAnsi="Times New Roman" w:cs="Times New Roman"/>
          <w:sz w:val="24"/>
          <w:szCs w:val="24"/>
        </w:rPr>
        <w:t>Medium</w:t>
      </w:r>
      <w:proofErr w:type="gramEnd"/>
      <w:r w:rsidR="00D656F1" w:rsidRPr="00D656F1">
        <w:rPr>
          <w:rFonts w:ascii="Times New Roman" w:hAnsi="Times New Roman" w:cs="Times New Roman"/>
          <w:sz w:val="24"/>
          <w:szCs w:val="24"/>
        </w:rPr>
        <w:t xml:space="preserve"> debt-to-income ratios have a substantially higher proportion of adverse loan outcomes than borrowers with lower DTI levels. This suggests that debt burden should be an important consideration in affordability and credit-risk assessment.</w:t>
      </w:r>
    </w:p>
    <w:p w14:paraId="074FABA1" w14:textId="77777777" w:rsidR="008320B7" w:rsidRPr="008320B7" w:rsidRDefault="008320B7" w:rsidP="00D656F1">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However, the distribution alone does not establish that High DTI borrowers have higher default risk.</w:t>
      </w:r>
    </w:p>
    <w:p w14:paraId="1677E51B" w14:textId="77777777" w:rsidR="008320B7" w:rsidRPr="008320B7" w:rsidRDefault="008320B7" w:rsidP="00D656F1">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Recommendation</w:t>
      </w:r>
    </w:p>
    <w:p w14:paraId="73276828" w14:textId="5CD4C26C" w:rsidR="008320B7" w:rsidRPr="008320B7" w:rsidRDefault="009D5767" w:rsidP="009D5767">
      <w:pPr>
        <w:spacing w:before="100" w:beforeAutospacing="1" w:after="100" w:afterAutospacing="1"/>
        <w:jc w:val="both"/>
        <w:rPr>
          <w:rFonts w:ascii="Times New Roman" w:eastAsia="Times New Roman" w:hAnsi="Times New Roman" w:cs="Times New Roman"/>
          <w:sz w:val="24"/>
          <w:szCs w:val="24"/>
        </w:rPr>
      </w:pPr>
      <w:r w:rsidRPr="009D5767">
        <w:rPr>
          <w:rFonts w:ascii="Times New Roman" w:hAnsi="Times New Roman" w:cs="Times New Roman"/>
          <w:sz w:val="24"/>
          <w:szCs w:val="24"/>
        </w:rPr>
        <w:t xml:space="preserve">The institution should strengthen affordability assessment for applicants with elevated DTI levels and consider additional verification, appropriate lending limits, or enhanced review </w:t>
      </w:r>
      <w:proofErr w:type="gramStart"/>
      <w:r w:rsidRPr="009D5767">
        <w:rPr>
          <w:rFonts w:ascii="Times New Roman" w:hAnsi="Times New Roman" w:cs="Times New Roman"/>
          <w:sz w:val="24"/>
          <w:szCs w:val="24"/>
        </w:rPr>
        <w:t>where</w:t>
      </w:r>
      <w:proofErr w:type="gramEnd"/>
      <w:r w:rsidRPr="009D5767">
        <w:rPr>
          <w:rFonts w:ascii="Times New Roman" w:hAnsi="Times New Roman" w:cs="Times New Roman"/>
          <w:sz w:val="24"/>
          <w:szCs w:val="24"/>
        </w:rPr>
        <w:t xml:space="preserve"> supported by validated historical risk evidence.</w:t>
      </w:r>
    </w:p>
    <w:p w14:paraId="605AE4F6" w14:textId="77777777" w:rsidR="004A5561" w:rsidRDefault="004A5561" w:rsidP="009D5767">
      <w:pPr>
        <w:spacing w:before="100" w:beforeAutospacing="1" w:after="100" w:afterAutospacing="1"/>
        <w:jc w:val="both"/>
        <w:outlineLvl w:val="0"/>
        <w:rPr>
          <w:rFonts w:ascii="Times New Roman" w:eastAsia="Times New Roman" w:hAnsi="Times New Roman" w:cs="Times New Roman"/>
          <w:b/>
          <w:bCs/>
          <w:kern w:val="36"/>
          <w:sz w:val="24"/>
          <w:szCs w:val="24"/>
        </w:rPr>
      </w:pPr>
    </w:p>
    <w:p w14:paraId="4004281E" w14:textId="77777777" w:rsidR="004A5561" w:rsidRDefault="004A5561" w:rsidP="009D5767">
      <w:pPr>
        <w:spacing w:before="100" w:beforeAutospacing="1" w:after="100" w:afterAutospacing="1"/>
        <w:jc w:val="both"/>
        <w:outlineLvl w:val="0"/>
        <w:rPr>
          <w:rFonts w:ascii="Times New Roman" w:eastAsia="Times New Roman" w:hAnsi="Times New Roman" w:cs="Times New Roman"/>
          <w:b/>
          <w:bCs/>
          <w:kern w:val="36"/>
          <w:sz w:val="24"/>
          <w:szCs w:val="24"/>
        </w:rPr>
      </w:pPr>
    </w:p>
    <w:p w14:paraId="30266646" w14:textId="77777777" w:rsidR="004A5561" w:rsidRDefault="004A5561" w:rsidP="009D5767">
      <w:pPr>
        <w:spacing w:before="100" w:beforeAutospacing="1" w:after="100" w:afterAutospacing="1"/>
        <w:jc w:val="both"/>
        <w:outlineLvl w:val="0"/>
        <w:rPr>
          <w:rFonts w:ascii="Times New Roman" w:eastAsia="Times New Roman" w:hAnsi="Times New Roman" w:cs="Times New Roman"/>
          <w:b/>
          <w:bCs/>
          <w:kern w:val="36"/>
          <w:sz w:val="24"/>
          <w:szCs w:val="24"/>
        </w:rPr>
      </w:pPr>
    </w:p>
    <w:p w14:paraId="28A5741F" w14:textId="77777777" w:rsidR="004A5561" w:rsidRDefault="004A5561" w:rsidP="009D5767">
      <w:pPr>
        <w:spacing w:before="100" w:beforeAutospacing="1" w:after="100" w:afterAutospacing="1"/>
        <w:jc w:val="both"/>
        <w:outlineLvl w:val="0"/>
        <w:rPr>
          <w:rFonts w:ascii="Times New Roman" w:eastAsia="Times New Roman" w:hAnsi="Times New Roman" w:cs="Times New Roman"/>
          <w:b/>
          <w:bCs/>
          <w:kern w:val="36"/>
          <w:sz w:val="24"/>
          <w:szCs w:val="24"/>
        </w:rPr>
      </w:pPr>
    </w:p>
    <w:p w14:paraId="25423496" w14:textId="77777777" w:rsidR="004A5561" w:rsidRDefault="004A5561" w:rsidP="009D5767">
      <w:pPr>
        <w:spacing w:before="100" w:beforeAutospacing="1" w:after="100" w:afterAutospacing="1"/>
        <w:jc w:val="both"/>
        <w:outlineLvl w:val="0"/>
        <w:rPr>
          <w:rFonts w:ascii="Times New Roman" w:eastAsia="Times New Roman" w:hAnsi="Times New Roman" w:cs="Times New Roman"/>
          <w:b/>
          <w:bCs/>
          <w:kern w:val="36"/>
          <w:sz w:val="24"/>
          <w:szCs w:val="24"/>
        </w:rPr>
      </w:pPr>
    </w:p>
    <w:p w14:paraId="1F1710F9" w14:textId="77777777" w:rsidR="004A5561" w:rsidRDefault="004A5561" w:rsidP="009D5767">
      <w:pPr>
        <w:spacing w:before="100" w:beforeAutospacing="1" w:after="100" w:afterAutospacing="1"/>
        <w:jc w:val="both"/>
        <w:outlineLvl w:val="0"/>
        <w:rPr>
          <w:rFonts w:ascii="Times New Roman" w:eastAsia="Times New Roman" w:hAnsi="Times New Roman" w:cs="Times New Roman"/>
          <w:b/>
          <w:bCs/>
          <w:kern w:val="36"/>
          <w:sz w:val="24"/>
          <w:szCs w:val="24"/>
        </w:rPr>
      </w:pPr>
    </w:p>
    <w:p w14:paraId="49D3CDED" w14:textId="77E81FC0" w:rsidR="008320B7" w:rsidRPr="008320B7" w:rsidRDefault="008320B7" w:rsidP="009D5767">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lastRenderedPageBreak/>
        <w:t>15. Key Insight 5 — Interest Rate and Loan Grade</w:t>
      </w:r>
    </w:p>
    <w:p w14:paraId="686D3150" w14:textId="77777777" w:rsidR="004A5561" w:rsidRPr="008320B7" w:rsidRDefault="008320B7" w:rsidP="009D5767">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w:t>
      </w:r>
      <w:r w:rsidR="009D5767">
        <w:rPr>
          <w:rFonts w:ascii="Times New Roman" w:eastAsia="Times New Roman" w:hAnsi="Times New Roman" w:cs="Times New Roman"/>
          <w:sz w:val="24"/>
          <w:szCs w:val="24"/>
        </w:rPr>
        <w:t>pivot report</w:t>
      </w:r>
      <w:r w:rsidRPr="008320B7">
        <w:rPr>
          <w:rFonts w:ascii="Times New Roman" w:eastAsia="Times New Roman" w:hAnsi="Times New Roman" w:cs="Times New Roman"/>
          <w:sz w:val="24"/>
          <w:szCs w:val="24"/>
        </w:rPr>
        <w:t xml:space="preserve"> examines interest-rate patterns across loan grades.</w:t>
      </w:r>
    </w:p>
    <w:tbl>
      <w:tblPr>
        <w:tblW w:w="7100" w:type="dxa"/>
        <w:tblInd w:w="108" w:type="dxa"/>
        <w:tblLook w:val="04A0" w:firstRow="1" w:lastRow="0" w:firstColumn="1" w:lastColumn="0" w:noHBand="0" w:noVBand="1"/>
      </w:tblPr>
      <w:tblGrid>
        <w:gridCol w:w="2360"/>
        <w:gridCol w:w="1680"/>
        <w:gridCol w:w="882"/>
        <w:gridCol w:w="1244"/>
        <w:gridCol w:w="1180"/>
      </w:tblGrid>
      <w:tr w:rsidR="004A5561" w:rsidRPr="004A5561" w14:paraId="0A7E0C54" w14:textId="77777777" w:rsidTr="004A5561">
        <w:trPr>
          <w:trHeight w:val="290"/>
        </w:trPr>
        <w:tc>
          <w:tcPr>
            <w:tcW w:w="2360" w:type="dxa"/>
            <w:tcBorders>
              <w:top w:val="nil"/>
              <w:left w:val="nil"/>
              <w:bottom w:val="nil"/>
              <w:right w:val="nil"/>
            </w:tcBorders>
            <w:shd w:val="clear" w:color="D9E1F2" w:fill="D9E1F2"/>
            <w:noWrap/>
            <w:vAlign w:val="bottom"/>
            <w:hideMark/>
          </w:tcPr>
          <w:p w14:paraId="4009BAC1" w14:textId="77777777" w:rsidR="004A5561" w:rsidRPr="004A5561" w:rsidRDefault="004A5561" w:rsidP="004A5561">
            <w:pPr>
              <w:spacing w:after="0" w:line="240" w:lineRule="auto"/>
              <w:rPr>
                <w:rFonts w:ascii="Calibri" w:eastAsia="Times New Roman" w:hAnsi="Calibri" w:cs="Calibri"/>
                <w:b/>
                <w:bCs/>
                <w:color w:val="000000"/>
              </w:rPr>
            </w:pPr>
            <w:r w:rsidRPr="004A5561">
              <w:rPr>
                <w:rFonts w:ascii="Calibri" w:eastAsia="Times New Roman" w:hAnsi="Calibri" w:cs="Calibri"/>
                <w:b/>
                <w:bCs/>
                <w:color w:val="000000"/>
              </w:rPr>
              <w:t xml:space="preserve">Average of </w:t>
            </w:r>
            <w:proofErr w:type="spellStart"/>
            <w:r w:rsidRPr="004A5561">
              <w:rPr>
                <w:rFonts w:ascii="Calibri" w:eastAsia="Times New Roman" w:hAnsi="Calibri" w:cs="Calibri"/>
                <w:b/>
                <w:bCs/>
                <w:color w:val="000000"/>
              </w:rPr>
              <w:t>interest_rate</w:t>
            </w:r>
            <w:proofErr w:type="spellEnd"/>
          </w:p>
        </w:tc>
        <w:tc>
          <w:tcPr>
            <w:tcW w:w="1680" w:type="dxa"/>
            <w:tcBorders>
              <w:top w:val="nil"/>
              <w:left w:val="nil"/>
              <w:bottom w:val="nil"/>
              <w:right w:val="nil"/>
            </w:tcBorders>
            <w:shd w:val="clear" w:color="D9E1F2" w:fill="D9E1F2"/>
            <w:noWrap/>
            <w:vAlign w:val="bottom"/>
            <w:hideMark/>
          </w:tcPr>
          <w:p w14:paraId="504E5F25" w14:textId="64D58FC1" w:rsidR="004A5561" w:rsidRPr="004A5561" w:rsidRDefault="00325789" w:rsidP="004A5561">
            <w:pPr>
              <w:spacing w:after="0" w:line="240" w:lineRule="auto"/>
              <w:rPr>
                <w:rFonts w:ascii="Calibri" w:eastAsia="Times New Roman" w:hAnsi="Calibri" w:cs="Calibri"/>
                <w:b/>
                <w:bCs/>
                <w:color w:val="000000"/>
              </w:rPr>
            </w:pPr>
            <w:r>
              <w:rPr>
                <w:rFonts w:ascii="Calibri" w:eastAsia="Times New Roman" w:hAnsi="Calibri" w:cs="Calibri"/>
                <w:b/>
                <w:bCs/>
                <w:color w:val="000000"/>
              </w:rPr>
              <w:t>Interest Rate and Loan Grade</w:t>
            </w:r>
          </w:p>
        </w:tc>
        <w:tc>
          <w:tcPr>
            <w:tcW w:w="760" w:type="dxa"/>
            <w:tcBorders>
              <w:top w:val="nil"/>
              <w:left w:val="nil"/>
              <w:bottom w:val="nil"/>
              <w:right w:val="nil"/>
            </w:tcBorders>
            <w:shd w:val="clear" w:color="D9E1F2" w:fill="D9E1F2"/>
            <w:noWrap/>
            <w:vAlign w:val="bottom"/>
            <w:hideMark/>
          </w:tcPr>
          <w:p w14:paraId="69A4F0E5" w14:textId="77777777" w:rsidR="004A5561" w:rsidRPr="004A5561" w:rsidRDefault="004A5561" w:rsidP="004A5561">
            <w:pPr>
              <w:spacing w:after="0" w:line="240" w:lineRule="auto"/>
              <w:rPr>
                <w:rFonts w:ascii="Calibri" w:eastAsia="Times New Roman" w:hAnsi="Calibri" w:cs="Calibri"/>
                <w:b/>
                <w:bCs/>
                <w:color w:val="000000"/>
              </w:rPr>
            </w:pPr>
          </w:p>
        </w:tc>
        <w:tc>
          <w:tcPr>
            <w:tcW w:w="1120" w:type="dxa"/>
            <w:tcBorders>
              <w:top w:val="nil"/>
              <w:left w:val="nil"/>
              <w:bottom w:val="nil"/>
              <w:right w:val="nil"/>
            </w:tcBorders>
            <w:shd w:val="clear" w:color="D9E1F2" w:fill="D9E1F2"/>
            <w:noWrap/>
            <w:vAlign w:val="bottom"/>
            <w:hideMark/>
          </w:tcPr>
          <w:p w14:paraId="77BA74F4" w14:textId="77777777" w:rsidR="004A5561" w:rsidRPr="004A5561" w:rsidRDefault="004A5561" w:rsidP="004A5561">
            <w:pPr>
              <w:spacing w:after="0" w:line="240" w:lineRule="auto"/>
              <w:rPr>
                <w:rFonts w:ascii="Times New Roman" w:eastAsia="Times New Roman" w:hAnsi="Times New Roman" w:cs="Times New Roman"/>
                <w:sz w:val="20"/>
                <w:szCs w:val="20"/>
              </w:rPr>
            </w:pPr>
          </w:p>
        </w:tc>
        <w:tc>
          <w:tcPr>
            <w:tcW w:w="1180" w:type="dxa"/>
            <w:tcBorders>
              <w:top w:val="nil"/>
              <w:left w:val="nil"/>
              <w:bottom w:val="nil"/>
              <w:right w:val="nil"/>
            </w:tcBorders>
            <w:shd w:val="clear" w:color="D9E1F2" w:fill="D9E1F2"/>
            <w:noWrap/>
            <w:vAlign w:val="bottom"/>
            <w:hideMark/>
          </w:tcPr>
          <w:p w14:paraId="4725A6D5" w14:textId="77777777" w:rsidR="004A5561" w:rsidRPr="004A5561" w:rsidRDefault="004A5561" w:rsidP="004A5561">
            <w:pPr>
              <w:spacing w:after="0" w:line="240" w:lineRule="auto"/>
              <w:rPr>
                <w:rFonts w:ascii="Times New Roman" w:eastAsia="Times New Roman" w:hAnsi="Times New Roman" w:cs="Times New Roman"/>
                <w:sz w:val="20"/>
                <w:szCs w:val="20"/>
              </w:rPr>
            </w:pPr>
          </w:p>
        </w:tc>
      </w:tr>
      <w:tr w:rsidR="004A5561" w:rsidRPr="004A5561" w14:paraId="02635A82" w14:textId="77777777" w:rsidTr="004A5561">
        <w:trPr>
          <w:trHeight w:val="290"/>
        </w:trPr>
        <w:tc>
          <w:tcPr>
            <w:tcW w:w="2360" w:type="dxa"/>
            <w:tcBorders>
              <w:top w:val="nil"/>
              <w:left w:val="nil"/>
              <w:bottom w:val="single" w:sz="4" w:space="0" w:color="8EA9DB"/>
              <w:right w:val="nil"/>
            </w:tcBorders>
            <w:shd w:val="clear" w:color="D9E1F2" w:fill="D9E1F2"/>
            <w:noWrap/>
            <w:vAlign w:val="bottom"/>
            <w:hideMark/>
          </w:tcPr>
          <w:p w14:paraId="20ABA8EA" w14:textId="3403C6AD" w:rsidR="004A5561" w:rsidRPr="004A5561" w:rsidRDefault="00D3643D" w:rsidP="004A5561">
            <w:pPr>
              <w:spacing w:after="0" w:line="240" w:lineRule="auto"/>
              <w:rPr>
                <w:rFonts w:ascii="Calibri" w:eastAsia="Times New Roman" w:hAnsi="Calibri" w:cs="Calibri"/>
                <w:b/>
                <w:bCs/>
                <w:color w:val="000000"/>
              </w:rPr>
            </w:pPr>
            <w:r>
              <w:rPr>
                <w:rFonts w:ascii="Calibri" w:eastAsia="Times New Roman" w:hAnsi="Calibri" w:cs="Calibri"/>
                <w:b/>
                <w:bCs/>
                <w:color w:val="000000"/>
              </w:rPr>
              <w:t>Loan Grade</w:t>
            </w:r>
          </w:p>
        </w:tc>
        <w:tc>
          <w:tcPr>
            <w:tcW w:w="1680" w:type="dxa"/>
            <w:tcBorders>
              <w:top w:val="nil"/>
              <w:left w:val="nil"/>
              <w:bottom w:val="single" w:sz="4" w:space="0" w:color="8EA9DB"/>
              <w:right w:val="nil"/>
            </w:tcBorders>
            <w:shd w:val="clear" w:color="D9E1F2" w:fill="D9E1F2"/>
            <w:noWrap/>
            <w:vAlign w:val="bottom"/>
            <w:hideMark/>
          </w:tcPr>
          <w:p w14:paraId="747BEDE6" w14:textId="77777777" w:rsidR="004A5561" w:rsidRPr="004A5561" w:rsidRDefault="004A5561" w:rsidP="004A5561">
            <w:pPr>
              <w:spacing w:after="0" w:line="240" w:lineRule="auto"/>
              <w:rPr>
                <w:rFonts w:ascii="Calibri" w:eastAsia="Times New Roman" w:hAnsi="Calibri" w:cs="Calibri"/>
                <w:b/>
                <w:bCs/>
                <w:color w:val="000000"/>
              </w:rPr>
            </w:pPr>
            <w:r w:rsidRPr="004A5561">
              <w:rPr>
                <w:rFonts w:ascii="Calibri" w:eastAsia="Times New Roman" w:hAnsi="Calibri" w:cs="Calibri"/>
                <w:b/>
                <w:bCs/>
                <w:color w:val="000000"/>
              </w:rPr>
              <w:t>Adverse</w:t>
            </w:r>
          </w:p>
        </w:tc>
        <w:tc>
          <w:tcPr>
            <w:tcW w:w="760" w:type="dxa"/>
            <w:tcBorders>
              <w:top w:val="nil"/>
              <w:left w:val="nil"/>
              <w:bottom w:val="single" w:sz="4" w:space="0" w:color="8EA9DB"/>
              <w:right w:val="nil"/>
            </w:tcBorders>
            <w:shd w:val="clear" w:color="D9E1F2" w:fill="D9E1F2"/>
            <w:noWrap/>
            <w:vAlign w:val="bottom"/>
            <w:hideMark/>
          </w:tcPr>
          <w:p w14:paraId="5162890A" w14:textId="77777777" w:rsidR="004A5561" w:rsidRPr="004A5561" w:rsidRDefault="004A5561" w:rsidP="004A5561">
            <w:pPr>
              <w:spacing w:after="0" w:line="240" w:lineRule="auto"/>
              <w:rPr>
                <w:rFonts w:ascii="Calibri" w:eastAsia="Times New Roman" w:hAnsi="Calibri" w:cs="Calibri"/>
                <w:b/>
                <w:bCs/>
                <w:color w:val="000000"/>
              </w:rPr>
            </w:pPr>
            <w:r w:rsidRPr="004A5561">
              <w:rPr>
                <w:rFonts w:ascii="Calibri" w:eastAsia="Times New Roman" w:hAnsi="Calibri" w:cs="Calibri"/>
                <w:b/>
                <w:bCs/>
                <w:color w:val="000000"/>
              </w:rPr>
              <w:t>At Risk</w:t>
            </w:r>
          </w:p>
        </w:tc>
        <w:tc>
          <w:tcPr>
            <w:tcW w:w="1120" w:type="dxa"/>
            <w:tcBorders>
              <w:top w:val="nil"/>
              <w:left w:val="nil"/>
              <w:bottom w:val="single" w:sz="4" w:space="0" w:color="8EA9DB"/>
              <w:right w:val="nil"/>
            </w:tcBorders>
            <w:shd w:val="clear" w:color="D9E1F2" w:fill="D9E1F2"/>
            <w:noWrap/>
            <w:vAlign w:val="bottom"/>
            <w:hideMark/>
          </w:tcPr>
          <w:p w14:paraId="4C302178" w14:textId="77777777" w:rsidR="004A5561" w:rsidRPr="004A5561" w:rsidRDefault="004A5561" w:rsidP="004A5561">
            <w:pPr>
              <w:spacing w:after="0" w:line="240" w:lineRule="auto"/>
              <w:rPr>
                <w:rFonts w:ascii="Calibri" w:eastAsia="Times New Roman" w:hAnsi="Calibri" w:cs="Calibri"/>
                <w:b/>
                <w:bCs/>
                <w:color w:val="000000"/>
              </w:rPr>
            </w:pPr>
            <w:r w:rsidRPr="004A5561">
              <w:rPr>
                <w:rFonts w:ascii="Calibri" w:eastAsia="Times New Roman" w:hAnsi="Calibri" w:cs="Calibri"/>
                <w:b/>
                <w:bCs/>
                <w:color w:val="000000"/>
              </w:rPr>
              <w:t>Performing</w:t>
            </w:r>
          </w:p>
        </w:tc>
        <w:tc>
          <w:tcPr>
            <w:tcW w:w="1180" w:type="dxa"/>
            <w:tcBorders>
              <w:top w:val="nil"/>
              <w:left w:val="nil"/>
              <w:bottom w:val="single" w:sz="4" w:space="0" w:color="8EA9DB"/>
              <w:right w:val="nil"/>
            </w:tcBorders>
            <w:shd w:val="clear" w:color="D9E1F2" w:fill="D9E1F2"/>
            <w:noWrap/>
            <w:vAlign w:val="bottom"/>
            <w:hideMark/>
          </w:tcPr>
          <w:p w14:paraId="6D80D474" w14:textId="77777777" w:rsidR="004A5561" w:rsidRPr="004A5561" w:rsidRDefault="004A5561" w:rsidP="004A5561">
            <w:pPr>
              <w:spacing w:after="0" w:line="240" w:lineRule="auto"/>
              <w:rPr>
                <w:rFonts w:ascii="Calibri" w:eastAsia="Times New Roman" w:hAnsi="Calibri" w:cs="Calibri"/>
                <w:b/>
                <w:bCs/>
                <w:color w:val="000000"/>
              </w:rPr>
            </w:pPr>
            <w:r w:rsidRPr="004A5561">
              <w:rPr>
                <w:rFonts w:ascii="Calibri" w:eastAsia="Times New Roman" w:hAnsi="Calibri" w:cs="Calibri"/>
                <w:b/>
                <w:bCs/>
                <w:color w:val="000000"/>
              </w:rPr>
              <w:t>Grand Total</w:t>
            </w:r>
          </w:p>
        </w:tc>
      </w:tr>
      <w:tr w:rsidR="004A5561" w:rsidRPr="004A5561" w14:paraId="3C835F97" w14:textId="77777777" w:rsidTr="004A5561">
        <w:trPr>
          <w:trHeight w:val="290"/>
        </w:trPr>
        <w:tc>
          <w:tcPr>
            <w:tcW w:w="2360" w:type="dxa"/>
            <w:tcBorders>
              <w:top w:val="nil"/>
              <w:left w:val="nil"/>
              <w:bottom w:val="nil"/>
              <w:right w:val="nil"/>
            </w:tcBorders>
            <w:shd w:val="clear" w:color="auto" w:fill="auto"/>
            <w:noWrap/>
            <w:vAlign w:val="bottom"/>
            <w:hideMark/>
          </w:tcPr>
          <w:p w14:paraId="3893E426" w14:textId="77777777" w:rsidR="004A5561" w:rsidRPr="004A5561" w:rsidRDefault="004A5561" w:rsidP="004A5561">
            <w:pPr>
              <w:spacing w:after="0" w:line="240" w:lineRule="auto"/>
              <w:rPr>
                <w:rFonts w:ascii="Calibri" w:eastAsia="Times New Roman" w:hAnsi="Calibri" w:cs="Calibri"/>
                <w:color w:val="000000"/>
              </w:rPr>
            </w:pPr>
            <w:r w:rsidRPr="004A5561">
              <w:rPr>
                <w:rFonts w:ascii="Calibri" w:eastAsia="Times New Roman" w:hAnsi="Calibri" w:cs="Calibri"/>
                <w:color w:val="000000"/>
              </w:rPr>
              <w:t>A</w:t>
            </w:r>
          </w:p>
        </w:tc>
        <w:tc>
          <w:tcPr>
            <w:tcW w:w="1680" w:type="dxa"/>
            <w:tcBorders>
              <w:top w:val="nil"/>
              <w:left w:val="nil"/>
              <w:bottom w:val="nil"/>
              <w:right w:val="nil"/>
            </w:tcBorders>
            <w:shd w:val="clear" w:color="auto" w:fill="auto"/>
            <w:noWrap/>
            <w:vAlign w:val="bottom"/>
            <w:hideMark/>
          </w:tcPr>
          <w:p w14:paraId="1CA4651E"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7.63%</w:t>
            </w:r>
          </w:p>
        </w:tc>
        <w:tc>
          <w:tcPr>
            <w:tcW w:w="760" w:type="dxa"/>
            <w:tcBorders>
              <w:top w:val="nil"/>
              <w:left w:val="nil"/>
              <w:bottom w:val="nil"/>
              <w:right w:val="nil"/>
            </w:tcBorders>
            <w:shd w:val="clear" w:color="auto" w:fill="auto"/>
            <w:noWrap/>
            <w:vAlign w:val="bottom"/>
            <w:hideMark/>
          </w:tcPr>
          <w:p w14:paraId="69C7FC2C"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8.29%</w:t>
            </w:r>
          </w:p>
        </w:tc>
        <w:tc>
          <w:tcPr>
            <w:tcW w:w="1120" w:type="dxa"/>
            <w:tcBorders>
              <w:top w:val="nil"/>
              <w:left w:val="nil"/>
              <w:bottom w:val="nil"/>
              <w:right w:val="nil"/>
            </w:tcBorders>
            <w:shd w:val="clear" w:color="auto" w:fill="auto"/>
            <w:noWrap/>
            <w:vAlign w:val="bottom"/>
            <w:hideMark/>
          </w:tcPr>
          <w:p w14:paraId="382220BE"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7.38%</w:t>
            </w:r>
          </w:p>
        </w:tc>
        <w:tc>
          <w:tcPr>
            <w:tcW w:w="1180" w:type="dxa"/>
            <w:tcBorders>
              <w:top w:val="nil"/>
              <w:left w:val="nil"/>
              <w:bottom w:val="nil"/>
              <w:right w:val="nil"/>
            </w:tcBorders>
            <w:shd w:val="clear" w:color="auto" w:fill="auto"/>
            <w:noWrap/>
            <w:vAlign w:val="bottom"/>
            <w:hideMark/>
          </w:tcPr>
          <w:p w14:paraId="104EDD10"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7.39%</w:t>
            </w:r>
          </w:p>
        </w:tc>
      </w:tr>
      <w:tr w:rsidR="004A5561" w:rsidRPr="004A5561" w14:paraId="0E0ABBEA" w14:textId="77777777" w:rsidTr="004A5561">
        <w:trPr>
          <w:trHeight w:val="290"/>
        </w:trPr>
        <w:tc>
          <w:tcPr>
            <w:tcW w:w="2360" w:type="dxa"/>
            <w:tcBorders>
              <w:top w:val="nil"/>
              <w:left w:val="nil"/>
              <w:bottom w:val="nil"/>
              <w:right w:val="nil"/>
            </w:tcBorders>
            <w:shd w:val="clear" w:color="auto" w:fill="auto"/>
            <w:noWrap/>
            <w:vAlign w:val="bottom"/>
            <w:hideMark/>
          </w:tcPr>
          <w:p w14:paraId="16F70737" w14:textId="77777777" w:rsidR="004A5561" w:rsidRPr="004A5561" w:rsidRDefault="004A5561" w:rsidP="004A5561">
            <w:pPr>
              <w:spacing w:after="0" w:line="240" w:lineRule="auto"/>
              <w:rPr>
                <w:rFonts w:ascii="Calibri" w:eastAsia="Times New Roman" w:hAnsi="Calibri" w:cs="Calibri"/>
                <w:color w:val="000000"/>
              </w:rPr>
            </w:pPr>
            <w:r w:rsidRPr="004A5561">
              <w:rPr>
                <w:rFonts w:ascii="Calibri" w:eastAsia="Times New Roman" w:hAnsi="Calibri" w:cs="Calibri"/>
                <w:color w:val="000000"/>
              </w:rPr>
              <w:t>B</w:t>
            </w:r>
          </w:p>
        </w:tc>
        <w:tc>
          <w:tcPr>
            <w:tcW w:w="1680" w:type="dxa"/>
            <w:tcBorders>
              <w:top w:val="nil"/>
              <w:left w:val="nil"/>
              <w:bottom w:val="nil"/>
              <w:right w:val="nil"/>
            </w:tcBorders>
            <w:shd w:val="clear" w:color="auto" w:fill="auto"/>
            <w:noWrap/>
            <w:vAlign w:val="bottom"/>
            <w:hideMark/>
          </w:tcPr>
          <w:p w14:paraId="1DDC76EA"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11.19%</w:t>
            </w:r>
          </w:p>
        </w:tc>
        <w:tc>
          <w:tcPr>
            <w:tcW w:w="760" w:type="dxa"/>
            <w:tcBorders>
              <w:top w:val="nil"/>
              <w:left w:val="nil"/>
              <w:bottom w:val="nil"/>
              <w:right w:val="nil"/>
            </w:tcBorders>
            <w:shd w:val="clear" w:color="auto" w:fill="auto"/>
            <w:noWrap/>
            <w:vAlign w:val="bottom"/>
            <w:hideMark/>
          </w:tcPr>
          <w:p w14:paraId="2DCAAFBF"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12.07%</w:t>
            </w:r>
          </w:p>
        </w:tc>
        <w:tc>
          <w:tcPr>
            <w:tcW w:w="1120" w:type="dxa"/>
            <w:tcBorders>
              <w:top w:val="nil"/>
              <w:left w:val="nil"/>
              <w:bottom w:val="nil"/>
              <w:right w:val="nil"/>
            </w:tcBorders>
            <w:shd w:val="clear" w:color="auto" w:fill="auto"/>
            <w:noWrap/>
            <w:vAlign w:val="bottom"/>
            <w:hideMark/>
          </w:tcPr>
          <w:p w14:paraId="53C509D4"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11.14%</w:t>
            </w:r>
          </w:p>
        </w:tc>
        <w:tc>
          <w:tcPr>
            <w:tcW w:w="1180" w:type="dxa"/>
            <w:tcBorders>
              <w:top w:val="nil"/>
              <w:left w:val="nil"/>
              <w:bottom w:val="nil"/>
              <w:right w:val="nil"/>
            </w:tcBorders>
            <w:shd w:val="clear" w:color="auto" w:fill="auto"/>
            <w:noWrap/>
            <w:vAlign w:val="bottom"/>
            <w:hideMark/>
          </w:tcPr>
          <w:p w14:paraId="4916E2E1"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11.15%</w:t>
            </w:r>
          </w:p>
        </w:tc>
      </w:tr>
      <w:tr w:rsidR="004A5561" w:rsidRPr="004A5561" w14:paraId="19D5AB5F" w14:textId="77777777" w:rsidTr="004A5561">
        <w:trPr>
          <w:trHeight w:val="290"/>
        </w:trPr>
        <w:tc>
          <w:tcPr>
            <w:tcW w:w="2360" w:type="dxa"/>
            <w:tcBorders>
              <w:top w:val="nil"/>
              <w:left w:val="nil"/>
              <w:bottom w:val="nil"/>
              <w:right w:val="nil"/>
            </w:tcBorders>
            <w:shd w:val="clear" w:color="auto" w:fill="auto"/>
            <w:noWrap/>
            <w:vAlign w:val="bottom"/>
            <w:hideMark/>
          </w:tcPr>
          <w:p w14:paraId="4CD7C23E" w14:textId="77777777" w:rsidR="004A5561" w:rsidRPr="004A5561" w:rsidRDefault="004A5561" w:rsidP="004A5561">
            <w:pPr>
              <w:spacing w:after="0" w:line="240" w:lineRule="auto"/>
              <w:rPr>
                <w:rFonts w:ascii="Calibri" w:eastAsia="Times New Roman" w:hAnsi="Calibri" w:cs="Calibri"/>
                <w:color w:val="000000"/>
              </w:rPr>
            </w:pPr>
            <w:r w:rsidRPr="004A5561">
              <w:rPr>
                <w:rFonts w:ascii="Calibri" w:eastAsia="Times New Roman" w:hAnsi="Calibri" w:cs="Calibri"/>
                <w:color w:val="000000"/>
              </w:rPr>
              <w:t>C</w:t>
            </w:r>
          </w:p>
        </w:tc>
        <w:tc>
          <w:tcPr>
            <w:tcW w:w="1680" w:type="dxa"/>
            <w:tcBorders>
              <w:top w:val="nil"/>
              <w:left w:val="nil"/>
              <w:bottom w:val="nil"/>
              <w:right w:val="nil"/>
            </w:tcBorders>
            <w:shd w:val="clear" w:color="auto" w:fill="auto"/>
            <w:noWrap/>
            <w:vAlign w:val="bottom"/>
            <w:hideMark/>
          </w:tcPr>
          <w:p w14:paraId="0C43B43F"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13.67%</w:t>
            </w:r>
          </w:p>
        </w:tc>
        <w:tc>
          <w:tcPr>
            <w:tcW w:w="760" w:type="dxa"/>
            <w:tcBorders>
              <w:top w:val="nil"/>
              <w:left w:val="nil"/>
              <w:bottom w:val="nil"/>
              <w:right w:val="nil"/>
            </w:tcBorders>
            <w:shd w:val="clear" w:color="auto" w:fill="auto"/>
            <w:noWrap/>
            <w:vAlign w:val="bottom"/>
            <w:hideMark/>
          </w:tcPr>
          <w:p w14:paraId="1C6681B2"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14.90%</w:t>
            </w:r>
          </w:p>
        </w:tc>
        <w:tc>
          <w:tcPr>
            <w:tcW w:w="1120" w:type="dxa"/>
            <w:tcBorders>
              <w:top w:val="nil"/>
              <w:left w:val="nil"/>
              <w:bottom w:val="nil"/>
              <w:right w:val="nil"/>
            </w:tcBorders>
            <w:shd w:val="clear" w:color="auto" w:fill="auto"/>
            <w:noWrap/>
            <w:vAlign w:val="bottom"/>
            <w:hideMark/>
          </w:tcPr>
          <w:p w14:paraId="238A54F8"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13.80%</w:t>
            </w:r>
          </w:p>
        </w:tc>
        <w:tc>
          <w:tcPr>
            <w:tcW w:w="1180" w:type="dxa"/>
            <w:tcBorders>
              <w:top w:val="nil"/>
              <w:left w:val="nil"/>
              <w:bottom w:val="nil"/>
              <w:right w:val="nil"/>
            </w:tcBorders>
            <w:shd w:val="clear" w:color="auto" w:fill="auto"/>
            <w:noWrap/>
            <w:vAlign w:val="bottom"/>
            <w:hideMark/>
          </w:tcPr>
          <w:p w14:paraId="0CEA76A1"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13.79%</w:t>
            </w:r>
          </w:p>
        </w:tc>
      </w:tr>
      <w:tr w:rsidR="004A5561" w:rsidRPr="004A5561" w14:paraId="4C7B0BC6" w14:textId="77777777" w:rsidTr="004A5561">
        <w:trPr>
          <w:trHeight w:val="290"/>
        </w:trPr>
        <w:tc>
          <w:tcPr>
            <w:tcW w:w="2360" w:type="dxa"/>
            <w:tcBorders>
              <w:top w:val="nil"/>
              <w:left w:val="nil"/>
              <w:bottom w:val="nil"/>
              <w:right w:val="nil"/>
            </w:tcBorders>
            <w:shd w:val="clear" w:color="auto" w:fill="auto"/>
            <w:noWrap/>
            <w:vAlign w:val="bottom"/>
            <w:hideMark/>
          </w:tcPr>
          <w:p w14:paraId="351C2DC9" w14:textId="77777777" w:rsidR="004A5561" w:rsidRPr="004A5561" w:rsidRDefault="004A5561" w:rsidP="004A5561">
            <w:pPr>
              <w:spacing w:after="0" w:line="240" w:lineRule="auto"/>
              <w:rPr>
                <w:rFonts w:ascii="Calibri" w:eastAsia="Times New Roman" w:hAnsi="Calibri" w:cs="Calibri"/>
                <w:color w:val="000000"/>
              </w:rPr>
            </w:pPr>
            <w:r w:rsidRPr="004A5561">
              <w:rPr>
                <w:rFonts w:ascii="Calibri" w:eastAsia="Times New Roman" w:hAnsi="Calibri" w:cs="Calibri"/>
                <w:color w:val="000000"/>
              </w:rPr>
              <w:t>D</w:t>
            </w:r>
          </w:p>
        </w:tc>
        <w:tc>
          <w:tcPr>
            <w:tcW w:w="1680" w:type="dxa"/>
            <w:tcBorders>
              <w:top w:val="nil"/>
              <w:left w:val="nil"/>
              <w:bottom w:val="nil"/>
              <w:right w:val="nil"/>
            </w:tcBorders>
            <w:shd w:val="clear" w:color="auto" w:fill="auto"/>
            <w:noWrap/>
            <w:vAlign w:val="bottom"/>
            <w:hideMark/>
          </w:tcPr>
          <w:p w14:paraId="15153C6F"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15.93%</w:t>
            </w:r>
          </w:p>
        </w:tc>
        <w:tc>
          <w:tcPr>
            <w:tcW w:w="760" w:type="dxa"/>
            <w:tcBorders>
              <w:top w:val="nil"/>
              <w:left w:val="nil"/>
              <w:bottom w:val="nil"/>
              <w:right w:val="nil"/>
            </w:tcBorders>
            <w:shd w:val="clear" w:color="auto" w:fill="auto"/>
            <w:noWrap/>
            <w:vAlign w:val="bottom"/>
            <w:hideMark/>
          </w:tcPr>
          <w:p w14:paraId="6ABC1B94"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17.87%</w:t>
            </w:r>
          </w:p>
        </w:tc>
        <w:tc>
          <w:tcPr>
            <w:tcW w:w="1120" w:type="dxa"/>
            <w:tcBorders>
              <w:top w:val="nil"/>
              <w:left w:val="nil"/>
              <w:bottom w:val="nil"/>
              <w:right w:val="nil"/>
            </w:tcBorders>
            <w:shd w:val="clear" w:color="auto" w:fill="auto"/>
            <w:noWrap/>
            <w:vAlign w:val="bottom"/>
            <w:hideMark/>
          </w:tcPr>
          <w:p w14:paraId="4D7AF1E1"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16.04%</w:t>
            </w:r>
          </w:p>
        </w:tc>
        <w:tc>
          <w:tcPr>
            <w:tcW w:w="1180" w:type="dxa"/>
            <w:tcBorders>
              <w:top w:val="nil"/>
              <w:left w:val="nil"/>
              <w:bottom w:val="nil"/>
              <w:right w:val="nil"/>
            </w:tcBorders>
            <w:shd w:val="clear" w:color="auto" w:fill="auto"/>
            <w:noWrap/>
            <w:vAlign w:val="bottom"/>
            <w:hideMark/>
          </w:tcPr>
          <w:p w14:paraId="009E1AE9"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16.03%</w:t>
            </w:r>
          </w:p>
        </w:tc>
      </w:tr>
      <w:tr w:rsidR="004A5561" w:rsidRPr="004A5561" w14:paraId="487EB996" w14:textId="77777777" w:rsidTr="004A5561">
        <w:trPr>
          <w:trHeight w:val="290"/>
        </w:trPr>
        <w:tc>
          <w:tcPr>
            <w:tcW w:w="2360" w:type="dxa"/>
            <w:tcBorders>
              <w:top w:val="nil"/>
              <w:left w:val="nil"/>
              <w:bottom w:val="nil"/>
              <w:right w:val="nil"/>
            </w:tcBorders>
            <w:shd w:val="clear" w:color="auto" w:fill="auto"/>
            <w:noWrap/>
            <w:vAlign w:val="bottom"/>
            <w:hideMark/>
          </w:tcPr>
          <w:p w14:paraId="277F8E70" w14:textId="77777777" w:rsidR="004A5561" w:rsidRPr="004A5561" w:rsidRDefault="004A5561" w:rsidP="004A5561">
            <w:pPr>
              <w:spacing w:after="0" w:line="240" w:lineRule="auto"/>
              <w:rPr>
                <w:rFonts w:ascii="Calibri" w:eastAsia="Times New Roman" w:hAnsi="Calibri" w:cs="Calibri"/>
                <w:color w:val="000000"/>
              </w:rPr>
            </w:pPr>
            <w:r w:rsidRPr="004A5561">
              <w:rPr>
                <w:rFonts w:ascii="Calibri" w:eastAsia="Times New Roman" w:hAnsi="Calibri" w:cs="Calibri"/>
                <w:color w:val="000000"/>
              </w:rPr>
              <w:t>E</w:t>
            </w:r>
          </w:p>
        </w:tc>
        <w:tc>
          <w:tcPr>
            <w:tcW w:w="1680" w:type="dxa"/>
            <w:tcBorders>
              <w:top w:val="nil"/>
              <w:left w:val="nil"/>
              <w:bottom w:val="nil"/>
              <w:right w:val="nil"/>
            </w:tcBorders>
            <w:shd w:val="clear" w:color="auto" w:fill="auto"/>
            <w:noWrap/>
            <w:vAlign w:val="bottom"/>
            <w:hideMark/>
          </w:tcPr>
          <w:p w14:paraId="63882604"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17.85%</w:t>
            </w:r>
          </w:p>
        </w:tc>
        <w:tc>
          <w:tcPr>
            <w:tcW w:w="760" w:type="dxa"/>
            <w:tcBorders>
              <w:top w:val="nil"/>
              <w:left w:val="nil"/>
              <w:bottom w:val="nil"/>
              <w:right w:val="nil"/>
            </w:tcBorders>
            <w:shd w:val="clear" w:color="auto" w:fill="auto"/>
            <w:noWrap/>
            <w:vAlign w:val="bottom"/>
            <w:hideMark/>
          </w:tcPr>
          <w:p w14:paraId="792764A8"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19.96%</w:t>
            </w:r>
          </w:p>
        </w:tc>
        <w:tc>
          <w:tcPr>
            <w:tcW w:w="1120" w:type="dxa"/>
            <w:tcBorders>
              <w:top w:val="nil"/>
              <w:left w:val="nil"/>
              <w:bottom w:val="nil"/>
              <w:right w:val="nil"/>
            </w:tcBorders>
            <w:shd w:val="clear" w:color="auto" w:fill="auto"/>
            <w:noWrap/>
            <w:vAlign w:val="bottom"/>
            <w:hideMark/>
          </w:tcPr>
          <w:p w14:paraId="774D6EE0"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18.00%</w:t>
            </w:r>
          </w:p>
        </w:tc>
        <w:tc>
          <w:tcPr>
            <w:tcW w:w="1180" w:type="dxa"/>
            <w:tcBorders>
              <w:top w:val="nil"/>
              <w:left w:val="nil"/>
              <w:bottom w:val="nil"/>
              <w:right w:val="nil"/>
            </w:tcBorders>
            <w:shd w:val="clear" w:color="auto" w:fill="auto"/>
            <w:noWrap/>
            <w:vAlign w:val="bottom"/>
            <w:hideMark/>
          </w:tcPr>
          <w:p w14:paraId="70A36C4D"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17.99%</w:t>
            </w:r>
          </w:p>
        </w:tc>
      </w:tr>
      <w:tr w:rsidR="004A5561" w:rsidRPr="004A5561" w14:paraId="1562329B" w14:textId="77777777" w:rsidTr="004A5561">
        <w:trPr>
          <w:trHeight w:val="290"/>
        </w:trPr>
        <w:tc>
          <w:tcPr>
            <w:tcW w:w="2360" w:type="dxa"/>
            <w:tcBorders>
              <w:top w:val="nil"/>
              <w:left w:val="nil"/>
              <w:bottom w:val="nil"/>
              <w:right w:val="nil"/>
            </w:tcBorders>
            <w:shd w:val="clear" w:color="auto" w:fill="auto"/>
            <w:noWrap/>
            <w:vAlign w:val="bottom"/>
            <w:hideMark/>
          </w:tcPr>
          <w:p w14:paraId="40A293D2" w14:textId="77777777" w:rsidR="004A5561" w:rsidRPr="004A5561" w:rsidRDefault="004A5561" w:rsidP="004A5561">
            <w:pPr>
              <w:spacing w:after="0" w:line="240" w:lineRule="auto"/>
              <w:rPr>
                <w:rFonts w:ascii="Calibri" w:eastAsia="Times New Roman" w:hAnsi="Calibri" w:cs="Calibri"/>
                <w:color w:val="000000"/>
              </w:rPr>
            </w:pPr>
            <w:r w:rsidRPr="004A5561">
              <w:rPr>
                <w:rFonts w:ascii="Calibri" w:eastAsia="Times New Roman" w:hAnsi="Calibri" w:cs="Calibri"/>
                <w:color w:val="000000"/>
              </w:rPr>
              <w:t>F</w:t>
            </w:r>
          </w:p>
        </w:tc>
        <w:tc>
          <w:tcPr>
            <w:tcW w:w="1680" w:type="dxa"/>
            <w:tcBorders>
              <w:top w:val="nil"/>
              <w:left w:val="nil"/>
              <w:bottom w:val="nil"/>
              <w:right w:val="nil"/>
            </w:tcBorders>
            <w:shd w:val="clear" w:color="auto" w:fill="auto"/>
            <w:noWrap/>
            <w:vAlign w:val="bottom"/>
            <w:hideMark/>
          </w:tcPr>
          <w:p w14:paraId="380DC172"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19.76%</w:t>
            </w:r>
          </w:p>
        </w:tc>
        <w:tc>
          <w:tcPr>
            <w:tcW w:w="760" w:type="dxa"/>
            <w:tcBorders>
              <w:top w:val="nil"/>
              <w:left w:val="nil"/>
              <w:bottom w:val="nil"/>
              <w:right w:val="nil"/>
            </w:tcBorders>
            <w:shd w:val="clear" w:color="auto" w:fill="auto"/>
            <w:noWrap/>
            <w:vAlign w:val="bottom"/>
            <w:hideMark/>
          </w:tcPr>
          <w:p w14:paraId="02C30A4F"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21.37%</w:t>
            </w:r>
          </w:p>
        </w:tc>
        <w:tc>
          <w:tcPr>
            <w:tcW w:w="1120" w:type="dxa"/>
            <w:tcBorders>
              <w:top w:val="nil"/>
              <w:left w:val="nil"/>
              <w:bottom w:val="nil"/>
              <w:right w:val="nil"/>
            </w:tcBorders>
            <w:shd w:val="clear" w:color="auto" w:fill="auto"/>
            <w:noWrap/>
            <w:vAlign w:val="bottom"/>
            <w:hideMark/>
          </w:tcPr>
          <w:p w14:paraId="0F6F2EA7"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19.91%</w:t>
            </w:r>
          </w:p>
        </w:tc>
        <w:tc>
          <w:tcPr>
            <w:tcW w:w="1180" w:type="dxa"/>
            <w:tcBorders>
              <w:top w:val="nil"/>
              <w:left w:val="nil"/>
              <w:bottom w:val="nil"/>
              <w:right w:val="nil"/>
            </w:tcBorders>
            <w:shd w:val="clear" w:color="auto" w:fill="auto"/>
            <w:noWrap/>
            <w:vAlign w:val="bottom"/>
            <w:hideMark/>
          </w:tcPr>
          <w:p w14:paraId="375D67C1"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19.87%</w:t>
            </w:r>
          </w:p>
        </w:tc>
      </w:tr>
      <w:tr w:rsidR="004A5561" w:rsidRPr="004A5561" w14:paraId="0008E3AE" w14:textId="77777777" w:rsidTr="004A5561">
        <w:trPr>
          <w:trHeight w:val="290"/>
        </w:trPr>
        <w:tc>
          <w:tcPr>
            <w:tcW w:w="2360" w:type="dxa"/>
            <w:tcBorders>
              <w:top w:val="nil"/>
              <w:left w:val="nil"/>
              <w:bottom w:val="nil"/>
              <w:right w:val="nil"/>
            </w:tcBorders>
            <w:shd w:val="clear" w:color="auto" w:fill="auto"/>
            <w:noWrap/>
            <w:vAlign w:val="bottom"/>
            <w:hideMark/>
          </w:tcPr>
          <w:p w14:paraId="733C0F77" w14:textId="77777777" w:rsidR="004A5561" w:rsidRPr="004A5561" w:rsidRDefault="004A5561" w:rsidP="004A5561">
            <w:pPr>
              <w:spacing w:after="0" w:line="240" w:lineRule="auto"/>
              <w:rPr>
                <w:rFonts w:ascii="Calibri" w:eastAsia="Times New Roman" w:hAnsi="Calibri" w:cs="Calibri"/>
                <w:color w:val="000000"/>
              </w:rPr>
            </w:pPr>
            <w:r w:rsidRPr="004A5561">
              <w:rPr>
                <w:rFonts w:ascii="Calibri" w:eastAsia="Times New Roman" w:hAnsi="Calibri" w:cs="Calibri"/>
                <w:color w:val="000000"/>
              </w:rPr>
              <w:t>G</w:t>
            </w:r>
          </w:p>
        </w:tc>
        <w:tc>
          <w:tcPr>
            <w:tcW w:w="1680" w:type="dxa"/>
            <w:tcBorders>
              <w:top w:val="nil"/>
              <w:left w:val="nil"/>
              <w:bottom w:val="nil"/>
              <w:right w:val="nil"/>
            </w:tcBorders>
            <w:shd w:val="clear" w:color="auto" w:fill="auto"/>
            <w:noWrap/>
            <w:vAlign w:val="bottom"/>
            <w:hideMark/>
          </w:tcPr>
          <w:p w14:paraId="622A3A0B"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20.73%</w:t>
            </w:r>
          </w:p>
        </w:tc>
        <w:tc>
          <w:tcPr>
            <w:tcW w:w="760" w:type="dxa"/>
            <w:tcBorders>
              <w:top w:val="nil"/>
              <w:left w:val="nil"/>
              <w:bottom w:val="nil"/>
              <w:right w:val="nil"/>
            </w:tcBorders>
            <w:shd w:val="clear" w:color="auto" w:fill="auto"/>
            <w:noWrap/>
            <w:vAlign w:val="bottom"/>
            <w:hideMark/>
          </w:tcPr>
          <w:p w14:paraId="0901B4E8"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23.53%</w:t>
            </w:r>
          </w:p>
        </w:tc>
        <w:tc>
          <w:tcPr>
            <w:tcW w:w="1120" w:type="dxa"/>
            <w:tcBorders>
              <w:top w:val="nil"/>
              <w:left w:val="nil"/>
              <w:bottom w:val="nil"/>
              <w:right w:val="nil"/>
            </w:tcBorders>
            <w:shd w:val="clear" w:color="auto" w:fill="auto"/>
            <w:noWrap/>
            <w:vAlign w:val="bottom"/>
            <w:hideMark/>
          </w:tcPr>
          <w:p w14:paraId="2185D3E4"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20.98%</w:t>
            </w:r>
          </w:p>
        </w:tc>
        <w:tc>
          <w:tcPr>
            <w:tcW w:w="1180" w:type="dxa"/>
            <w:tcBorders>
              <w:top w:val="nil"/>
              <w:left w:val="nil"/>
              <w:bottom w:val="nil"/>
              <w:right w:val="nil"/>
            </w:tcBorders>
            <w:shd w:val="clear" w:color="auto" w:fill="auto"/>
            <w:noWrap/>
            <w:vAlign w:val="bottom"/>
            <w:hideMark/>
          </w:tcPr>
          <w:p w14:paraId="261EA0BB" w14:textId="77777777" w:rsidR="004A5561" w:rsidRPr="004A5561" w:rsidRDefault="004A5561" w:rsidP="004A5561">
            <w:pPr>
              <w:spacing w:after="0" w:line="240" w:lineRule="auto"/>
              <w:jc w:val="right"/>
              <w:rPr>
                <w:rFonts w:ascii="Calibri" w:eastAsia="Times New Roman" w:hAnsi="Calibri" w:cs="Calibri"/>
                <w:color w:val="000000"/>
              </w:rPr>
            </w:pPr>
            <w:r w:rsidRPr="004A5561">
              <w:rPr>
                <w:rFonts w:ascii="Calibri" w:eastAsia="Times New Roman" w:hAnsi="Calibri" w:cs="Calibri"/>
                <w:color w:val="000000"/>
              </w:rPr>
              <w:t>20.91%</w:t>
            </w:r>
          </w:p>
        </w:tc>
      </w:tr>
      <w:tr w:rsidR="004A5561" w:rsidRPr="004A5561" w14:paraId="39D70E0B" w14:textId="77777777" w:rsidTr="004A5561">
        <w:trPr>
          <w:trHeight w:val="290"/>
        </w:trPr>
        <w:tc>
          <w:tcPr>
            <w:tcW w:w="2360" w:type="dxa"/>
            <w:tcBorders>
              <w:top w:val="single" w:sz="4" w:space="0" w:color="8EA9DB"/>
              <w:left w:val="nil"/>
              <w:bottom w:val="nil"/>
              <w:right w:val="nil"/>
            </w:tcBorders>
            <w:shd w:val="clear" w:color="D9E1F2" w:fill="D9E1F2"/>
            <w:noWrap/>
            <w:vAlign w:val="bottom"/>
            <w:hideMark/>
          </w:tcPr>
          <w:p w14:paraId="70133119" w14:textId="77777777" w:rsidR="004A5561" w:rsidRPr="004A5561" w:rsidRDefault="004A5561" w:rsidP="004A5561">
            <w:pPr>
              <w:spacing w:after="0" w:line="240" w:lineRule="auto"/>
              <w:rPr>
                <w:rFonts w:ascii="Calibri" w:eastAsia="Times New Roman" w:hAnsi="Calibri" w:cs="Calibri"/>
                <w:b/>
                <w:bCs/>
                <w:color w:val="000000"/>
              </w:rPr>
            </w:pPr>
            <w:r w:rsidRPr="004A5561">
              <w:rPr>
                <w:rFonts w:ascii="Calibri" w:eastAsia="Times New Roman" w:hAnsi="Calibri" w:cs="Calibri"/>
                <w:b/>
                <w:bCs/>
                <w:color w:val="000000"/>
              </w:rPr>
              <w:t>Grand Total</w:t>
            </w:r>
          </w:p>
        </w:tc>
        <w:tc>
          <w:tcPr>
            <w:tcW w:w="1680" w:type="dxa"/>
            <w:tcBorders>
              <w:top w:val="single" w:sz="4" w:space="0" w:color="8EA9DB"/>
              <w:left w:val="nil"/>
              <w:bottom w:val="nil"/>
              <w:right w:val="nil"/>
            </w:tcBorders>
            <w:shd w:val="clear" w:color="D9E1F2" w:fill="D9E1F2"/>
            <w:noWrap/>
            <w:vAlign w:val="bottom"/>
            <w:hideMark/>
          </w:tcPr>
          <w:p w14:paraId="2B4F7057" w14:textId="77777777" w:rsidR="004A5561" w:rsidRPr="004A5561" w:rsidRDefault="004A5561" w:rsidP="004A5561">
            <w:pPr>
              <w:spacing w:after="0" w:line="240" w:lineRule="auto"/>
              <w:jc w:val="right"/>
              <w:rPr>
                <w:rFonts w:ascii="Calibri" w:eastAsia="Times New Roman" w:hAnsi="Calibri" w:cs="Calibri"/>
                <w:b/>
                <w:bCs/>
                <w:color w:val="000000"/>
              </w:rPr>
            </w:pPr>
            <w:r w:rsidRPr="004A5561">
              <w:rPr>
                <w:rFonts w:ascii="Calibri" w:eastAsia="Times New Roman" w:hAnsi="Calibri" w:cs="Calibri"/>
                <w:b/>
                <w:bCs/>
                <w:color w:val="000000"/>
              </w:rPr>
              <w:t>14.17%</w:t>
            </w:r>
          </w:p>
        </w:tc>
        <w:tc>
          <w:tcPr>
            <w:tcW w:w="760" w:type="dxa"/>
            <w:tcBorders>
              <w:top w:val="single" w:sz="4" w:space="0" w:color="8EA9DB"/>
              <w:left w:val="nil"/>
              <w:bottom w:val="nil"/>
              <w:right w:val="nil"/>
            </w:tcBorders>
            <w:shd w:val="clear" w:color="D9E1F2" w:fill="D9E1F2"/>
            <w:noWrap/>
            <w:vAlign w:val="bottom"/>
            <w:hideMark/>
          </w:tcPr>
          <w:p w14:paraId="21957C38" w14:textId="77777777" w:rsidR="004A5561" w:rsidRPr="004A5561" w:rsidRDefault="004A5561" w:rsidP="004A5561">
            <w:pPr>
              <w:spacing w:after="0" w:line="240" w:lineRule="auto"/>
              <w:jc w:val="right"/>
              <w:rPr>
                <w:rFonts w:ascii="Calibri" w:eastAsia="Times New Roman" w:hAnsi="Calibri" w:cs="Calibri"/>
                <w:b/>
                <w:bCs/>
                <w:color w:val="000000"/>
              </w:rPr>
            </w:pPr>
            <w:r w:rsidRPr="004A5561">
              <w:rPr>
                <w:rFonts w:ascii="Calibri" w:eastAsia="Times New Roman" w:hAnsi="Calibri" w:cs="Calibri"/>
                <w:b/>
                <w:bCs/>
                <w:color w:val="000000"/>
              </w:rPr>
              <w:t>15.90%</w:t>
            </w:r>
          </w:p>
        </w:tc>
        <w:tc>
          <w:tcPr>
            <w:tcW w:w="1120" w:type="dxa"/>
            <w:tcBorders>
              <w:top w:val="single" w:sz="4" w:space="0" w:color="8EA9DB"/>
              <w:left w:val="nil"/>
              <w:bottom w:val="nil"/>
              <w:right w:val="nil"/>
            </w:tcBorders>
            <w:shd w:val="clear" w:color="D9E1F2" w:fill="D9E1F2"/>
            <w:noWrap/>
            <w:vAlign w:val="bottom"/>
            <w:hideMark/>
          </w:tcPr>
          <w:p w14:paraId="7ECB362C" w14:textId="77777777" w:rsidR="004A5561" w:rsidRPr="004A5561" w:rsidRDefault="004A5561" w:rsidP="004A5561">
            <w:pPr>
              <w:spacing w:after="0" w:line="240" w:lineRule="auto"/>
              <w:jc w:val="right"/>
              <w:rPr>
                <w:rFonts w:ascii="Calibri" w:eastAsia="Times New Roman" w:hAnsi="Calibri" w:cs="Calibri"/>
                <w:b/>
                <w:bCs/>
                <w:color w:val="000000"/>
              </w:rPr>
            </w:pPr>
            <w:r w:rsidRPr="004A5561">
              <w:rPr>
                <w:rFonts w:ascii="Calibri" w:eastAsia="Times New Roman" w:hAnsi="Calibri" w:cs="Calibri"/>
                <w:b/>
                <w:bCs/>
                <w:color w:val="000000"/>
              </w:rPr>
              <w:t>12.20%</w:t>
            </w:r>
          </w:p>
        </w:tc>
        <w:tc>
          <w:tcPr>
            <w:tcW w:w="1180" w:type="dxa"/>
            <w:tcBorders>
              <w:top w:val="single" w:sz="4" w:space="0" w:color="8EA9DB"/>
              <w:left w:val="nil"/>
              <w:bottom w:val="nil"/>
              <w:right w:val="nil"/>
            </w:tcBorders>
            <w:shd w:val="clear" w:color="D9E1F2" w:fill="D9E1F2"/>
            <w:noWrap/>
            <w:vAlign w:val="bottom"/>
            <w:hideMark/>
          </w:tcPr>
          <w:p w14:paraId="54EA4146" w14:textId="77777777" w:rsidR="004A5561" w:rsidRPr="004A5561" w:rsidRDefault="004A5561" w:rsidP="004A5561">
            <w:pPr>
              <w:spacing w:after="0" w:line="240" w:lineRule="auto"/>
              <w:jc w:val="right"/>
              <w:rPr>
                <w:rFonts w:ascii="Calibri" w:eastAsia="Times New Roman" w:hAnsi="Calibri" w:cs="Calibri"/>
                <w:b/>
                <w:bCs/>
                <w:color w:val="000000"/>
              </w:rPr>
            </w:pPr>
            <w:r w:rsidRPr="004A5561">
              <w:rPr>
                <w:rFonts w:ascii="Calibri" w:eastAsia="Times New Roman" w:hAnsi="Calibri" w:cs="Calibri"/>
                <w:b/>
                <w:bCs/>
                <w:color w:val="000000"/>
              </w:rPr>
              <w:t>12.50%</w:t>
            </w:r>
          </w:p>
        </w:tc>
      </w:tr>
    </w:tbl>
    <w:p w14:paraId="026B7AA2" w14:textId="77777777" w:rsidR="008320B7" w:rsidRPr="008320B7" w:rsidRDefault="008320B7" w:rsidP="009D5767">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Business Insight</w:t>
      </w:r>
    </w:p>
    <w:p w14:paraId="704C45E1" w14:textId="2EC35C3E" w:rsidR="008320B7" w:rsidRPr="008320B7" w:rsidRDefault="008320B7" w:rsidP="009D5767">
      <w:pPr>
        <w:spacing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Comparing average interest rates across loan grades allows management to examine whether loan pricing varies across different credit-risk segments.</w:t>
      </w:r>
      <w:r w:rsidR="000E0CB7">
        <w:rPr>
          <w:rFonts w:ascii="Times New Roman" w:eastAsia="Times New Roman" w:hAnsi="Times New Roman" w:cs="Times New Roman"/>
          <w:sz w:val="24"/>
          <w:szCs w:val="24"/>
        </w:rPr>
        <w:t xml:space="preserve"> There is a direction relationship between loan grade and interest rate. Grade A has the lowest average rate at 7.39</w:t>
      </w:r>
      <w:proofErr w:type="gramStart"/>
      <w:r w:rsidR="000E0CB7">
        <w:rPr>
          <w:rFonts w:ascii="Times New Roman" w:eastAsia="Times New Roman" w:hAnsi="Times New Roman" w:cs="Times New Roman"/>
          <w:sz w:val="24"/>
          <w:szCs w:val="24"/>
        </w:rPr>
        <w:t>%(</w:t>
      </w:r>
      <w:proofErr w:type="gramEnd"/>
      <w:r w:rsidR="000E0CB7">
        <w:rPr>
          <w:rFonts w:ascii="Times New Roman" w:eastAsia="Times New Roman" w:hAnsi="Times New Roman" w:cs="Times New Roman"/>
          <w:sz w:val="24"/>
          <w:szCs w:val="24"/>
        </w:rPr>
        <w:t>lowest risk), while Grade G has the highest at 20.91% (highest risk).rate almost tripled from A to G. this shows that the company is correctly pricing for risk</w:t>
      </w:r>
    </w:p>
    <w:p w14:paraId="3921CF50" w14:textId="77777777" w:rsidR="008320B7" w:rsidRPr="008320B7" w:rsidRDefault="008320B7" w:rsidP="009D5767">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Recommendation</w:t>
      </w:r>
    </w:p>
    <w:p w14:paraId="369A5345" w14:textId="61A74A01" w:rsidR="008320B7" w:rsidRPr="008320B7" w:rsidRDefault="004A5561" w:rsidP="004A5561">
      <w:pPr>
        <w:pStyle w:val="pdq2pgselectionanchorcontainer"/>
        <w:spacing w:line="276" w:lineRule="auto"/>
        <w:jc w:val="both"/>
        <w:rPr>
          <w:b/>
          <w:bCs/>
        </w:rPr>
      </w:pPr>
      <w:r w:rsidRPr="004A5561">
        <w:rPr>
          <w:rStyle w:val="Strong"/>
          <w:b w:val="0"/>
          <w:bCs w:val="0"/>
        </w:rPr>
        <w:t xml:space="preserve">Management should </w:t>
      </w:r>
      <w:r w:rsidR="000E0CB7">
        <w:rPr>
          <w:rStyle w:val="Strong"/>
          <w:b w:val="0"/>
          <w:bCs w:val="0"/>
        </w:rPr>
        <w:t xml:space="preserve">continue the current risk base pricing model. It is working. Do not give Grade G loans at rate below 20%, you will lose money on default. Promote more grade </w:t>
      </w:r>
      <w:r w:rsidR="00325789">
        <w:rPr>
          <w:rStyle w:val="Strong"/>
          <w:b w:val="0"/>
          <w:bCs w:val="0"/>
        </w:rPr>
        <w:t xml:space="preserve">A and B loan. They have low rate which attracts customers and his lower default risk. For grade </w:t>
      </w:r>
      <w:proofErr w:type="gramStart"/>
      <w:r w:rsidR="00325789">
        <w:rPr>
          <w:rStyle w:val="Strong"/>
          <w:b w:val="0"/>
          <w:bCs w:val="0"/>
        </w:rPr>
        <w:t>E,F</w:t>
      </w:r>
      <w:proofErr w:type="gramEnd"/>
      <w:r w:rsidR="00325789">
        <w:rPr>
          <w:rStyle w:val="Strong"/>
          <w:b w:val="0"/>
          <w:bCs w:val="0"/>
        </w:rPr>
        <w:t xml:space="preserve"> and G, add stricter approval or require collateral, because even at 18-20% interest, the default risk is very high.</w:t>
      </w:r>
    </w:p>
    <w:p w14:paraId="48B63799" w14:textId="77777777" w:rsidR="00D3643D" w:rsidRDefault="00D3643D" w:rsidP="00325789">
      <w:pPr>
        <w:spacing w:before="100" w:beforeAutospacing="1" w:after="100" w:afterAutospacing="1"/>
        <w:jc w:val="both"/>
        <w:outlineLvl w:val="0"/>
        <w:rPr>
          <w:rFonts w:ascii="Times New Roman" w:eastAsia="Times New Roman" w:hAnsi="Times New Roman" w:cs="Times New Roman"/>
          <w:b/>
          <w:bCs/>
          <w:kern w:val="36"/>
          <w:sz w:val="24"/>
          <w:szCs w:val="24"/>
        </w:rPr>
      </w:pPr>
    </w:p>
    <w:p w14:paraId="6F46A467" w14:textId="77777777" w:rsidR="00D3643D" w:rsidRDefault="00D3643D" w:rsidP="00325789">
      <w:pPr>
        <w:spacing w:before="100" w:beforeAutospacing="1" w:after="100" w:afterAutospacing="1"/>
        <w:jc w:val="both"/>
        <w:outlineLvl w:val="0"/>
        <w:rPr>
          <w:rFonts w:ascii="Times New Roman" w:eastAsia="Times New Roman" w:hAnsi="Times New Roman" w:cs="Times New Roman"/>
          <w:b/>
          <w:bCs/>
          <w:kern w:val="36"/>
          <w:sz w:val="24"/>
          <w:szCs w:val="24"/>
        </w:rPr>
      </w:pPr>
    </w:p>
    <w:p w14:paraId="0A72EB12" w14:textId="77777777" w:rsidR="00D3643D" w:rsidRDefault="00D3643D" w:rsidP="00325789">
      <w:pPr>
        <w:spacing w:before="100" w:beforeAutospacing="1" w:after="100" w:afterAutospacing="1"/>
        <w:jc w:val="both"/>
        <w:outlineLvl w:val="0"/>
        <w:rPr>
          <w:rFonts w:ascii="Times New Roman" w:eastAsia="Times New Roman" w:hAnsi="Times New Roman" w:cs="Times New Roman"/>
          <w:b/>
          <w:bCs/>
          <w:kern w:val="36"/>
          <w:sz w:val="24"/>
          <w:szCs w:val="24"/>
        </w:rPr>
      </w:pPr>
    </w:p>
    <w:p w14:paraId="189A269A" w14:textId="77777777" w:rsidR="00D3643D" w:rsidRDefault="00D3643D" w:rsidP="00325789">
      <w:pPr>
        <w:spacing w:before="100" w:beforeAutospacing="1" w:after="100" w:afterAutospacing="1"/>
        <w:jc w:val="both"/>
        <w:outlineLvl w:val="0"/>
        <w:rPr>
          <w:rFonts w:ascii="Times New Roman" w:eastAsia="Times New Roman" w:hAnsi="Times New Roman" w:cs="Times New Roman"/>
          <w:b/>
          <w:bCs/>
          <w:kern w:val="36"/>
          <w:sz w:val="24"/>
          <w:szCs w:val="24"/>
        </w:rPr>
      </w:pPr>
    </w:p>
    <w:p w14:paraId="43B5B420" w14:textId="77777777" w:rsidR="00D3643D" w:rsidRDefault="00D3643D" w:rsidP="00325789">
      <w:pPr>
        <w:spacing w:before="100" w:beforeAutospacing="1" w:after="100" w:afterAutospacing="1"/>
        <w:jc w:val="both"/>
        <w:outlineLvl w:val="0"/>
        <w:rPr>
          <w:rFonts w:ascii="Times New Roman" w:eastAsia="Times New Roman" w:hAnsi="Times New Roman" w:cs="Times New Roman"/>
          <w:b/>
          <w:bCs/>
          <w:kern w:val="36"/>
          <w:sz w:val="24"/>
          <w:szCs w:val="24"/>
        </w:rPr>
      </w:pPr>
    </w:p>
    <w:p w14:paraId="59794CD1" w14:textId="6CC7AFF1" w:rsidR="008320B7" w:rsidRPr="008320B7" w:rsidRDefault="008320B7" w:rsidP="00325789">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t>16. Key Insight 6 — Loan Disbursement Trends</w:t>
      </w:r>
    </w:p>
    <w:p w14:paraId="5D18C823" w14:textId="77777777" w:rsidR="00D3643D" w:rsidRPr="008320B7" w:rsidRDefault="008320B7" w:rsidP="00325789">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lastRenderedPageBreak/>
        <w:t xml:space="preserve">The </w:t>
      </w:r>
      <w:r w:rsidR="00325789">
        <w:rPr>
          <w:rFonts w:ascii="Times New Roman" w:eastAsia="Times New Roman" w:hAnsi="Times New Roman" w:cs="Times New Roman"/>
          <w:sz w:val="24"/>
          <w:szCs w:val="24"/>
        </w:rPr>
        <w:t>pivot report</w:t>
      </w:r>
      <w:r w:rsidRPr="008320B7">
        <w:rPr>
          <w:rFonts w:ascii="Times New Roman" w:eastAsia="Times New Roman" w:hAnsi="Times New Roman" w:cs="Times New Roman"/>
          <w:sz w:val="24"/>
          <w:szCs w:val="24"/>
        </w:rPr>
        <w:t xml:space="preserve"> examines loan disbursements across months.</w:t>
      </w:r>
    </w:p>
    <w:tbl>
      <w:tblPr>
        <w:tblW w:w="10645" w:type="dxa"/>
        <w:tblInd w:w="-637" w:type="dxa"/>
        <w:tblLook w:val="04A0" w:firstRow="1" w:lastRow="0" w:firstColumn="1" w:lastColumn="0" w:noHBand="0" w:noVBand="1"/>
      </w:tblPr>
      <w:tblGrid>
        <w:gridCol w:w="839"/>
        <w:gridCol w:w="1494"/>
        <w:gridCol w:w="1504"/>
        <w:gridCol w:w="1494"/>
        <w:gridCol w:w="1426"/>
        <w:gridCol w:w="1542"/>
        <w:gridCol w:w="2728"/>
      </w:tblGrid>
      <w:tr w:rsidR="00D3643D" w:rsidRPr="00D3643D" w14:paraId="22562FFC" w14:textId="77777777" w:rsidTr="00D3643D">
        <w:trPr>
          <w:trHeight w:val="285"/>
        </w:trPr>
        <w:tc>
          <w:tcPr>
            <w:tcW w:w="789" w:type="dxa"/>
            <w:tcBorders>
              <w:top w:val="nil"/>
              <w:left w:val="nil"/>
              <w:bottom w:val="nil"/>
              <w:right w:val="nil"/>
            </w:tcBorders>
            <w:shd w:val="clear" w:color="D9E1F2" w:fill="D9E1F2"/>
            <w:noWrap/>
            <w:vAlign w:val="bottom"/>
            <w:hideMark/>
          </w:tcPr>
          <w:p w14:paraId="1AC2CF3E" w14:textId="77777777" w:rsidR="00D3643D" w:rsidRPr="00D3643D" w:rsidRDefault="00D3643D" w:rsidP="00D3643D">
            <w:pPr>
              <w:spacing w:after="0" w:line="240" w:lineRule="auto"/>
              <w:rPr>
                <w:rFonts w:ascii="Times New Roman" w:eastAsia="Times New Roman" w:hAnsi="Times New Roman" w:cs="Times New Roman"/>
                <w:sz w:val="24"/>
                <w:szCs w:val="24"/>
              </w:rPr>
            </w:pPr>
          </w:p>
        </w:tc>
        <w:tc>
          <w:tcPr>
            <w:tcW w:w="1162" w:type="dxa"/>
            <w:tcBorders>
              <w:top w:val="nil"/>
              <w:left w:val="nil"/>
              <w:bottom w:val="nil"/>
              <w:right w:val="nil"/>
            </w:tcBorders>
            <w:shd w:val="clear" w:color="D9E1F2" w:fill="D9E1F2"/>
            <w:noWrap/>
            <w:vAlign w:val="bottom"/>
            <w:hideMark/>
          </w:tcPr>
          <w:p w14:paraId="3E953FE9" w14:textId="38625F72" w:rsidR="00D3643D" w:rsidRPr="00D3643D" w:rsidRDefault="00D3643D" w:rsidP="00D3643D">
            <w:pPr>
              <w:spacing w:after="0" w:line="240" w:lineRule="auto"/>
              <w:rPr>
                <w:rFonts w:ascii="Calibri" w:eastAsia="Times New Roman" w:hAnsi="Calibri" w:cs="Calibri"/>
                <w:b/>
                <w:bCs/>
                <w:color w:val="000000"/>
              </w:rPr>
            </w:pPr>
            <w:r>
              <w:rPr>
                <w:rFonts w:ascii="Calibri" w:eastAsia="Times New Roman" w:hAnsi="Calibri" w:cs="Calibri"/>
                <w:b/>
                <w:bCs/>
                <w:color w:val="000000"/>
              </w:rPr>
              <w:t>Loan Disbursement Trends</w:t>
            </w:r>
          </w:p>
        </w:tc>
        <w:tc>
          <w:tcPr>
            <w:tcW w:w="1504" w:type="dxa"/>
            <w:tcBorders>
              <w:top w:val="nil"/>
              <w:left w:val="nil"/>
              <w:bottom w:val="nil"/>
              <w:right w:val="nil"/>
            </w:tcBorders>
            <w:shd w:val="clear" w:color="D9E1F2" w:fill="D9E1F2"/>
            <w:noWrap/>
            <w:vAlign w:val="bottom"/>
            <w:hideMark/>
          </w:tcPr>
          <w:p w14:paraId="7EC1A4EF" w14:textId="77777777" w:rsidR="00D3643D" w:rsidRPr="00D3643D" w:rsidRDefault="00D3643D" w:rsidP="00D3643D">
            <w:pPr>
              <w:spacing w:after="0" w:line="240" w:lineRule="auto"/>
              <w:rPr>
                <w:rFonts w:ascii="Calibri" w:eastAsia="Times New Roman" w:hAnsi="Calibri" w:cs="Calibri"/>
                <w:b/>
                <w:bCs/>
                <w:color w:val="000000"/>
              </w:rPr>
            </w:pPr>
          </w:p>
        </w:tc>
        <w:tc>
          <w:tcPr>
            <w:tcW w:w="1494" w:type="dxa"/>
            <w:tcBorders>
              <w:top w:val="nil"/>
              <w:left w:val="nil"/>
              <w:bottom w:val="nil"/>
              <w:right w:val="nil"/>
            </w:tcBorders>
            <w:shd w:val="clear" w:color="D9E1F2" w:fill="D9E1F2"/>
            <w:noWrap/>
            <w:vAlign w:val="bottom"/>
            <w:hideMark/>
          </w:tcPr>
          <w:p w14:paraId="65E1561D" w14:textId="77777777" w:rsidR="00D3643D" w:rsidRPr="00D3643D" w:rsidRDefault="00D3643D" w:rsidP="00D3643D">
            <w:pPr>
              <w:spacing w:after="0" w:line="240" w:lineRule="auto"/>
              <w:rPr>
                <w:rFonts w:ascii="Times New Roman" w:eastAsia="Times New Roman" w:hAnsi="Times New Roman" w:cs="Times New Roman"/>
                <w:sz w:val="20"/>
                <w:szCs w:val="20"/>
              </w:rPr>
            </w:pPr>
          </w:p>
        </w:tc>
        <w:tc>
          <w:tcPr>
            <w:tcW w:w="1426" w:type="dxa"/>
            <w:tcBorders>
              <w:top w:val="nil"/>
              <w:left w:val="nil"/>
              <w:bottom w:val="nil"/>
              <w:right w:val="nil"/>
            </w:tcBorders>
            <w:shd w:val="clear" w:color="D9E1F2" w:fill="D9E1F2"/>
            <w:noWrap/>
            <w:vAlign w:val="bottom"/>
            <w:hideMark/>
          </w:tcPr>
          <w:p w14:paraId="10B188F4" w14:textId="77777777" w:rsidR="00D3643D" w:rsidRPr="00D3643D" w:rsidRDefault="00D3643D" w:rsidP="00D3643D">
            <w:pPr>
              <w:spacing w:after="0" w:line="240" w:lineRule="auto"/>
              <w:rPr>
                <w:rFonts w:ascii="Times New Roman" w:eastAsia="Times New Roman" w:hAnsi="Times New Roman" w:cs="Times New Roman"/>
                <w:sz w:val="20"/>
                <w:szCs w:val="20"/>
              </w:rPr>
            </w:pPr>
          </w:p>
        </w:tc>
        <w:tc>
          <w:tcPr>
            <w:tcW w:w="1542" w:type="dxa"/>
            <w:tcBorders>
              <w:top w:val="nil"/>
              <w:left w:val="nil"/>
              <w:bottom w:val="nil"/>
              <w:right w:val="nil"/>
            </w:tcBorders>
            <w:shd w:val="clear" w:color="D9E1F2" w:fill="D9E1F2"/>
            <w:noWrap/>
            <w:vAlign w:val="bottom"/>
            <w:hideMark/>
          </w:tcPr>
          <w:p w14:paraId="05DFBA22" w14:textId="77777777" w:rsidR="00D3643D" w:rsidRPr="00D3643D" w:rsidRDefault="00D3643D" w:rsidP="00D3643D">
            <w:pPr>
              <w:spacing w:after="0" w:line="240" w:lineRule="auto"/>
              <w:rPr>
                <w:rFonts w:ascii="Times New Roman" w:eastAsia="Times New Roman" w:hAnsi="Times New Roman" w:cs="Times New Roman"/>
                <w:sz w:val="20"/>
                <w:szCs w:val="20"/>
              </w:rPr>
            </w:pPr>
          </w:p>
        </w:tc>
        <w:tc>
          <w:tcPr>
            <w:tcW w:w="2728" w:type="dxa"/>
            <w:tcBorders>
              <w:top w:val="nil"/>
              <w:left w:val="nil"/>
              <w:bottom w:val="nil"/>
              <w:right w:val="nil"/>
            </w:tcBorders>
            <w:shd w:val="clear" w:color="D9E1F2" w:fill="D9E1F2"/>
            <w:noWrap/>
            <w:vAlign w:val="bottom"/>
            <w:hideMark/>
          </w:tcPr>
          <w:p w14:paraId="72F45462" w14:textId="77777777" w:rsidR="00D3643D" w:rsidRPr="00D3643D" w:rsidRDefault="00D3643D" w:rsidP="00D3643D">
            <w:pPr>
              <w:spacing w:after="0" w:line="240" w:lineRule="auto"/>
              <w:rPr>
                <w:rFonts w:ascii="Times New Roman" w:eastAsia="Times New Roman" w:hAnsi="Times New Roman" w:cs="Times New Roman"/>
                <w:sz w:val="20"/>
                <w:szCs w:val="20"/>
              </w:rPr>
            </w:pPr>
          </w:p>
        </w:tc>
      </w:tr>
      <w:tr w:rsidR="00D3643D" w:rsidRPr="00D3643D" w14:paraId="5C13614A" w14:textId="77777777" w:rsidTr="00D3643D">
        <w:trPr>
          <w:trHeight w:val="285"/>
        </w:trPr>
        <w:tc>
          <w:tcPr>
            <w:tcW w:w="789" w:type="dxa"/>
            <w:tcBorders>
              <w:top w:val="nil"/>
              <w:left w:val="nil"/>
              <w:bottom w:val="nil"/>
              <w:right w:val="nil"/>
            </w:tcBorders>
            <w:shd w:val="clear" w:color="D9E1F2" w:fill="D9E1F2"/>
            <w:noWrap/>
            <w:vAlign w:val="bottom"/>
            <w:hideMark/>
          </w:tcPr>
          <w:p w14:paraId="5F7B9E1A" w14:textId="77777777" w:rsidR="00D3643D" w:rsidRPr="00D3643D" w:rsidRDefault="00D3643D" w:rsidP="00D3643D">
            <w:pPr>
              <w:spacing w:after="0" w:line="240" w:lineRule="auto"/>
              <w:rPr>
                <w:rFonts w:ascii="Times New Roman" w:eastAsia="Times New Roman" w:hAnsi="Times New Roman" w:cs="Times New Roman"/>
                <w:sz w:val="20"/>
                <w:szCs w:val="20"/>
              </w:rPr>
            </w:pPr>
          </w:p>
        </w:tc>
        <w:tc>
          <w:tcPr>
            <w:tcW w:w="1162" w:type="dxa"/>
            <w:tcBorders>
              <w:top w:val="nil"/>
              <w:left w:val="nil"/>
              <w:bottom w:val="nil"/>
              <w:right w:val="nil"/>
            </w:tcBorders>
            <w:shd w:val="clear" w:color="D9E1F2" w:fill="D9E1F2"/>
            <w:noWrap/>
            <w:vAlign w:val="bottom"/>
            <w:hideMark/>
          </w:tcPr>
          <w:p w14:paraId="246D3732"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Adverse</w:t>
            </w:r>
          </w:p>
        </w:tc>
        <w:tc>
          <w:tcPr>
            <w:tcW w:w="1504" w:type="dxa"/>
            <w:tcBorders>
              <w:top w:val="nil"/>
              <w:left w:val="nil"/>
              <w:bottom w:val="nil"/>
              <w:right w:val="nil"/>
            </w:tcBorders>
            <w:shd w:val="clear" w:color="D9E1F2" w:fill="D9E1F2"/>
            <w:noWrap/>
            <w:vAlign w:val="bottom"/>
            <w:hideMark/>
          </w:tcPr>
          <w:p w14:paraId="0CEB3449" w14:textId="77777777" w:rsidR="00D3643D" w:rsidRPr="00D3643D" w:rsidRDefault="00D3643D" w:rsidP="00D3643D">
            <w:pPr>
              <w:spacing w:after="0" w:line="240" w:lineRule="auto"/>
              <w:rPr>
                <w:rFonts w:ascii="Calibri" w:eastAsia="Times New Roman" w:hAnsi="Calibri" w:cs="Calibri"/>
                <w:b/>
                <w:bCs/>
                <w:color w:val="000000"/>
              </w:rPr>
            </w:pPr>
          </w:p>
        </w:tc>
        <w:tc>
          <w:tcPr>
            <w:tcW w:w="1494" w:type="dxa"/>
            <w:tcBorders>
              <w:top w:val="nil"/>
              <w:left w:val="nil"/>
              <w:bottom w:val="nil"/>
              <w:right w:val="nil"/>
            </w:tcBorders>
            <w:shd w:val="clear" w:color="D9E1F2" w:fill="D9E1F2"/>
            <w:noWrap/>
            <w:vAlign w:val="bottom"/>
            <w:hideMark/>
          </w:tcPr>
          <w:p w14:paraId="3641940F" w14:textId="77777777" w:rsidR="00D3643D" w:rsidRPr="00D3643D" w:rsidRDefault="00D3643D" w:rsidP="00D3643D">
            <w:pPr>
              <w:spacing w:after="0" w:line="240" w:lineRule="auto"/>
              <w:rPr>
                <w:rFonts w:ascii="Times New Roman" w:eastAsia="Times New Roman" w:hAnsi="Times New Roman" w:cs="Times New Roman"/>
                <w:sz w:val="20"/>
                <w:szCs w:val="20"/>
              </w:rPr>
            </w:pPr>
          </w:p>
        </w:tc>
        <w:tc>
          <w:tcPr>
            <w:tcW w:w="1426" w:type="dxa"/>
            <w:tcBorders>
              <w:top w:val="nil"/>
              <w:left w:val="nil"/>
              <w:bottom w:val="nil"/>
              <w:right w:val="nil"/>
            </w:tcBorders>
            <w:shd w:val="clear" w:color="D9E1F2" w:fill="D9E1F2"/>
            <w:noWrap/>
            <w:vAlign w:val="bottom"/>
            <w:hideMark/>
          </w:tcPr>
          <w:p w14:paraId="0CD9DE7E"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Total Count of </w:t>
            </w:r>
            <w:proofErr w:type="spellStart"/>
            <w:r w:rsidRPr="00D3643D">
              <w:rPr>
                <w:rFonts w:ascii="Calibri" w:eastAsia="Times New Roman" w:hAnsi="Calibri" w:cs="Calibri"/>
                <w:b/>
                <w:bCs/>
                <w:color w:val="000000"/>
              </w:rPr>
              <w:t>loan_id</w:t>
            </w:r>
            <w:proofErr w:type="spellEnd"/>
          </w:p>
        </w:tc>
        <w:tc>
          <w:tcPr>
            <w:tcW w:w="1542" w:type="dxa"/>
            <w:tcBorders>
              <w:top w:val="nil"/>
              <w:left w:val="nil"/>
              <w:bottom w:val="nil"/>
              <w:right w:val="nil"/>
            </w:tcBorders>
            <w:shd w:val="clear" w:color="D9E1F2" w:fill="D9E1F2"/>
            <w:noWrap/>
            <w:vAlign w:val="bottom"/>
            <w:hideMark/>
          </w:tcPr>
          <w:p w14:paraId="1D392F7D"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Total Sum of </w:t>
            </w:r>
            <w:proofErr w:type="spellStart"/>
            <w:r w:rsidRPr="00D3643D">
              <w:rPr>
                <w:rFonts w:ascii="Calibri" w:eastAsia="Times New Roman" w:hAnsi="Calibri" w:cs="Calibri"/>
                <w:b/>
                <w:bCs/>
                <w:color w:val="000000"/>
              </w:rPr>
              <w:t>loan_amnt</w:t>
            </w:r>
            <w:proofErr w:type="spellEnd"/>
          </w:p>
        </w:tc>
        <w:tc>
          <w:tcPr>
            <w:tcW w:w="2728" w:type="dxa"/>
            <w:tcBorders>
              <w:top w:val="nil"/>
              <w:left w:val="nil"/>
              <w:bottom w:val="nil"/>
              <w:right w:val="nil"/>
            </w:tcBorders>
            <w:shd w:val="clear" w:color="D9E1F2" w:fill="D9E1F2"/>
            <w:noWrap/>
            <w:vAlign w:val="bottom"/>
            <w:hideMark/>
          </w:tcPr>
          <w:p w14:paraId="35DF8C3A"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Total Sum of outstanding principal Balance</w:t>
            </w:r>
          </w:p>
        </w:tc>
      </w:tr>
      <w:tr w:rsidR="00D3643D" w:rsidRPr="00D3643D" w14:paraId="762D23B5" w14:textId="77777777" w:rsidTr="00D3643D">
        <w:trPr>
          <w:trHeight w:val="285"/>
        </w:trPr>
        <w:tc>
          <w:tcPr>
            <w:tcW w:w="789" w:type="dxa"/>
            <w:tcBorders>
              <w:top w:val="nil"/>
              <w:left w:val="nil"/>
              <w:bottom w:val="single" w:sz="4" w:space="0" w:color="8EA9DB"/>
              <w:right w:val="nil"/>
            </w:tcBorders>
            <w:shd w:val="clear" w:color="D9E1F2" w:fill="D9E1F2"/>
            <w:noWrap/>
            <w:vAlign w:val="bottom"/>
            <w:hideMark/>
          </w:tcPr>
          <w:p w14:paraId="6E883403" w14:textId="6ED20656" w:rsidR="00D3643D" w:rsidRPr="00D3643D" w:rsidRDefault="00D3643D" w:rsidP="00D3643D">
            <w:pPr>
              <w:spacing w:after="0" w:line="240" w:lineRule="auto"/>
              <w:rPr>
                <w:rFonts w:ascii="Calibri" w:eastAsia="Times New Roman" w:hAnsi="Calibri" w:cs="Calibri"/>
                <w:b/>
                <w:bCs/>
                <w:color w:val="000000"/>
              </w:rPr>
            </w:pPr>
            <w:r>
              <w:rPr>
                <w:rFonts w:ascii="Calibri" w:eastAsia="Times New Roman" w:hAnsi="Calibri" w:cs="Calibri"/>
                <w:b/>
                <w:bCs/>
                <w:color w:val="000000"/>
              </w:rPr>
              <w:t>Month</w:t>
            </w:r>
          </w:p>
        </w:tc>
        <w:tc>
          <w:tcPr>
            <w:tcW w:w="1162" w:type="dxa"/>
            <w:tcBorders>
              <w:top w:val="nil"/>
              <w:left w:val="nil"/>
              <w:bottom w:val="single" w:sz="4" w:space="0" w:color="8EA9DB"/>
              <w:right w:val="nil"/>
            </w:tcBorders>
            <w:shd w:val="clear" w:color="D9E1F2" w:fill="D9E1F2"/>
            <w:noWrap/>
            <w:vAlign w:val="bottom"/>
            <w:hideMark/>
          </w:tcPr>
          <w:p w14:paraId="7A405903"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Count of </w:t>
            </w:r>
            <w:proofErr w:type="spellStart"/>
            <w:r w:rsidRPr="00D3643D">
              <w:rPr>
                <w:rFonts w:ascii="Calibri" w:eastAsia="Times New Roman" w:hAnsi="Calibri" w:cs="Calibri"/>
                <w:b/>
                <w:bCs/>
                <w:color w:val="000000"/>
              </w:rPr>
              <w:t>loan_id</w:t>
            </w:r>
            <w:proofErr w:type="spellEnd"/>
          </w:p>
        </w:tc>
        <w:tc>
          <w:tcPr>
            <w:tcW w:w="1504" w:type="dxa"/>
            <w:tcBorders>
              <w:top w:val="nil"/>
              <w:left w:val="nil"/>
              <w:bottom w:val="single" w:sz="4" w:space="0" w:color="8EA9DB"/>
              <w:right w:val="nil"/>
            </w:tcBorders>
            <w:shd w:val="clear" w:color="D9E1F2" w:fill="D9E1F2"/>
            <w:noWrap/>
            <w:vAlign w:val="bottom"/>
            <w:hideMark/>
          </w:tcPr>
          <w:p w14:paraId="11A3C719"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Sum of </w:t>
            </w:r>
            <w:proofErr w:type="spellStart"/>
            <w:r w:rsidRPr="00D3643D">
              <w:rPr>
                <w:rFonts w:ascii="Calibri" w:eastAsia="Times New Roman" w:hAnsi="Calibri" w:cs="Calibri"/>
                <w:b/>
                <w:bCs/>
                <w:color w:val="000000"/>
              </w:rPr>
              <w:t>loan_amnt</w:t>
            </w:r>
            <w:proofErr w:type="spellEnd"/>
          </w:p>
        </w:tc>
        <w:tc>
          <w:tcPr>
            <w:tcW w:w="4462" w:type="dxa"/>
            <w:gridSpan w:val="3"/>
            <w:tcBorders>
              <w:top w:val="nil"/>
              <w:left w:val="nil"/>
              <w:bottom w:val="single" w:sz="4" w:space="0" w:color="8EA9DB"/>
              <w:right w:val="nil"/>
            </w:tcBorders>
            <w:shd w:val="clear" w:color="D9E1F2" w:fill="D9E1F2"/>
            <w:noWrap/>
            <w:vAlign w:val="bottom"/>
            <w:hideMark/>
          </w:tcPr>
          <w:p w14:paraId="5319B910"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Sum of outstanding principal Balance</w:t>
            </w:r>
          </w:p>
        </w:tc>
        <w:tc>
          <w:tcPr>
            <w:tcW w:w="2728" w:type="dxa"/>
            <w:tcBorders>
              <w:top w:val="nil"/>
              <w:left w:val="nil"/>
              <w:bottom w:val="single" w:sz="4" w:space="0" w:color="8EA9DB"/>
              <w:right w:val="nil"/>
            </w:tcBorders>
            <w:shd w:val="clear" w:color="D9E1F2" w:fill="D9E1F2"/>
            <w:noWrap/>
            <w:vAlign w:val="bottom"/>
            <w:hideMark/>
          </w:tcPr>
          <w:p w14:paraId="1CDD7062" w14:textId="77777777" w:rsidR="00D3643D" w:rsidRPr="00D3643D" w:rsidRDefault="00D3643D" w:rsidP="00D3643D">
            <w:pPr>
              <w:spacing w:after="0" w:line="240" w:lineRule="auto"/>
              <w:rPr>
                <w:rFonts w:ascii="Calibri" w:eastAsia="Times New Roman" w:hAnsi="Calibri" w:cs="Calibri"/>
                <w:b/>
                <w:bCs/>
                <w:color w:val="000000"/>
              </w:rPr>
            </w:pPr>
          </w:p>
        </w:tc>
      </w:tr>
      <w:tr w:rsidR="00D3643D" w:rsidRPr="00D3643D" w14:paraId="76FFEB44" w14:textId="77777777" w:rsidTr="00D3643D">
        <w:trPr>
          <w:trHeight w:val="285"/>
        </w:trPr>
        <w:tc>
          <w:tcPr>
            <w:tcW w:w="789" w:type="dxa"/>
            <w:tcBorders>
              <w:top w:val="nil"/>
              <w:left w:val="nil"/>
              <w:bottom w:val="single" w:sz="4" w:space="0" w:color="8EA9DB"/>
              <w:right w:val="nil"/>
            </w:tcBorders>
            <w:shd w:val="clear" w:color="auto" w:fill="auto"/>
            <w:noWrap/>
            <w:vAlign w:val="bottom"/>
            <w:hideMark/>
          </w:tcPr>
          <w:p w14:paraId="3CBFDB3A"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Jan</w:t>
            </w:r>
          </w:p>
        </w:tc>
        <w:tc>
          <w:tcPr>
            <w:tcW w:w="1162" w:type="dxa"/>
            <w:tcBorders>
              <w:top w:val="nil"/>
              <w:left w:val="nil"/>
              <w:bottom w:val="single" w:sz="4" w:space="0" w:color="8EA9DB"/>
              <w:right w:val="nil"/>
            </w:tcBorders>
            <w:shd w:val="clear" w:color="auto" w:fill="auto"/>
            <w:noWrap/>
            <w:vAlign w:val="bottom"/>
            <w:hideMark/>
          </w:tcPr>
          <w:p w14:paraId="274A1F4E"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5.77%</w:t>
            </w:r>
          </w:p>
        </w:tc>
        <w:tc>
          <w:tcPr>
            <w:tcW w:w="1504" w:type="dxa"/>
            <w:tcBorders>
              <w:top w:val="nil"/>
              <w:left w:val="nil"/>
              <w:bottom w:val="single" w:sz="4" w:space="0" w:color="8EA9DB"/>
              <w:right w:val="nil"/>
            </w:tcBorders>
            <w:shd w:val="clear" w:color="auto" w:fill="auto"/>
            <w:noWrap/>
            <w:vAlign w:val="bottom"/>
            <w:hideMark/>
          </w:tcPr>
          <w:p w14:paraId="619FC801"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4,382,150.00 </w:t>
            </w:r>
          </w:p>
        </w:tc>
        <w:tc>
          <w:tcPr>
            <w:tcW w:w="1494" w:type="dxa"/>
            <w:tcBorders>
              <w:top w:val="nil"/>
              <w:left w:val="nil"/>
              <w:bottom w:val="single" w:sz="4" w:space="0" w:color="8EA9DB"/>
              <w:right w:val="nil"/>
            </w:tcBorders>
            <w:shd w:val="clear" w:color="auto" w:fill="auto"/>
            <w:noWrap/>
            <w:vAlign w:val="bottom"/>
            <w:hideMark/>
          </w:tcPr>
          <w:p w14:paraId="49C8B1F1"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1,781.15 </w:t>
            </w:r>
          </w:p>
        </w:tc>
        <w:tc>
          <w:tcPr>
            <w:tcW w:w="1426" w:type="dxa"/>
            <w:tcBorders>
              <w:top w:val="nil"/>
              <w:left w:val="nil"/>
              <w:bottom w:val="single" w:sz="4" w:space="0" w:color="8EA9DB"/>
              <w:right w:val="nil"/>
            </w:tcBorders>
            <w:shd w:val="clear" w:color="auto" w:fill="auto"/>
            <w:noWrap/>
            <w:vAlign w:val="bottom"/>
            <w:hideMark/>
          </w:tcPr>
          <w:p w14:paraId="335F53C0"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5.77%</w:t>
            </w:r>
          </w:p>
        </w:tc>
        <w:tc>
          <w:tcPr>
            <w:tcW w:w="1542" w:type="dxa"/>
            <w:tcBorders>
              <w:top w:val="nil"/>
              <w:left w:val="nil"/>
              <w:bottom w:val="single" w:sz="4" w:space="0" w:color="8EA9DB"/>
              <w:right w:val="nil"/>
            </w:tcBorders>
            <w:shd w:val="clear" w:color="auto" w:fill="auto"/>
            <w:noWrap/>
            <w:vAlign w:val="bottom"/>
            <w:hideMark/>
          </w:tcPr>
          <w:p w14:paraId="6B1CC77C"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4382150</w:t>
            </w:r>
          </w:p>
        </w:tc>
        <w:tc>
          <w:tcPr>
            <w:tcW w:w="2728" w:type="dxa"/>
            <w:tcBorders>
              <w:top w:val="nil"/>
              <w:left w:val="nil"/>
              <w:bottom w:val="single" w:sz="4" w:space="0" w:color="8EA9DB"/>
              <w:right w:val="nil"/>
            </w:tcBorders>
            <w:shd w:val="clear" w:color="auto" w:fill="auto"/>
            <w:noWrap/>
            <w:vAlign w:val="bottom"/>
            <w:hideMark/>
          </w:tcPr>
          <w:p w14:paraId="4A1DDEFA"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1781.15</w:t>
            </w:r>
          </w:p>
        </w:tc>
      </w:tr>
      <w:tr w:rsidR="00D3643D" w:rsidRPr="00D3643D" w14:paraId="73E58BBF" w14:textId="77777777" w:rsidTr="00D3643D">
        <w:trPr>
          <w:trHeight w:val="285"/>
        </w:trPr>
        <w:tc>
          <w:tcPr>
            <w:tcW w:w="789" w:type="dxa"/>
            <w:tcBorders>
              <w:top w:val="nil"/>
              <w:left w:val="nil"/>
              <w:bottom w:val="single" w:sz="4" w:space="0" w:color="8EA9DB"/>
              <w:right w:val="nil"/>
            </w:tcBorders>
            <w:shd w:val="clear" w:color="auto" w:fill="auto"/>
            <w:noWrap/>
            <w:vAlign w:val="bottom"/>
            <w:hideMark/>
          </w:tcPr>
          <w:p w14:paraId="52F196B9"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Feb</w:t>
            </w:r>
          </w:p>
        </w:tc>
        <w:tc>
          <w:tcPr>
            <w:tcW w:w="1162" w:type="dxa"/>
            <w:tcBorders>
              <w:top w:val="nil"/>
              <w:left w:val="nil"/>
              <w:bottom w:val="single" w:sz="4" w:space="0" w:color="8EA9DB"/>
              <w:right w:val="nil"/>
            </w:tcBorders>
            <w:shd w:val="clear" w:color="auto" w:fill="auto"/>
            <w:noWrap/>
            <w:vAlign w:val="bottom"/>
            <w:hideMark/>
          </w:tcPr>
          <w:p w14:paraId="19301D56"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4.95%</w:t>
            </w:r>
          </w:p>
        </w:tc>
        <w:tc>
          <w:tcPr>
            <w:tcW w:w="1504" w:type="dxa"/>
            <w:tcBorders>
              <w:top w:val="nil"/>
              <w:left w:val="nil"/>
              <w:bottom w:val="single" w:sz="4" w:space="0" w:color="8EA9DB"/>
              <w:right w:val="nil"/>
            </w:tcBorders>
            <w:shd w:val="clear" w:color="auto" w:fill="auto"/>
            <w:noWrap/>
            <w:vAlign w:val="bottom"/>
            <w:hideMark/>
          </w:tcPr>
          <w:p w14:paraId="65E235D2"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3,996,100.00 </w:t>
            </w:r>
          </w:p>
        </w:tc>
        <w:tc>
          <w:tcPr>
            <w:tcW w:w="1494" w:type="dxa"/>
            <w:tcBorders>
              <w:top w:val="nil"/>
              <w:left w:val="nil"/>
              <w:bottom w:val="single" w:sz="4" w:space="0" w:color="8EA9DB"/>
              <w:right w:val="nil"/>
            </w:tcBorders>
            <w:shd w:val="clear" w:color="auto" w:fill="auto"/>
            <w:noWrap/>
            <w:vAlign w:val="bottom"/>
            <w:hideMark/>
          </w:tcPr>
          <w:p w14:paraId="3237A15E"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   </w:t>
            </w:r>
          </w:p>
        </w:tc>
        <w:tc>
          <w:tcPr>
            <w:tcW w:w="1426" w:type="dxa"/>
            <w:tcBorders>
              <w:top w:val="nil"/>
              <w:left w:val="nil"/>
              <w:bottom w:val="single" w:sz="4" w:space="0" w:color="8EA9DB"/>
              <w:right w:val="nil"/>
            </w:tcBorders>
            <w:shd w:val="clear" w:color="auto" w:fill="auto"/>
            <w:noWrap/>
            <w:vAlign w:val="bottom"/>
            <w:hideMark/>
          </w:tcPr>
          <w:p w14:paraId="1B365217"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4.95%</w:t>
            </w:r>
          </w:p>
        </w:tc>
        <w:tc>
          <w:tcPr>
            <w:tcW w:w="1542" w:type="dxa"/>
            <w:tcBorders>
              <w:top w:val="nil"/>
              <w:left w:val="nil"/>
              <w:bottom w:val="single" w:sz="4" w:space="0" w:color="8EA9DB"/>
              <w:right w:val="nil"/>
            </w:tcBorders>
            <w:shd w:val="clear" w:color="auto" w:fill="auto"/>
            <w:noWrap/>
            <w:vAlign w:val="bottom"/>
            <w:hideMark/>
          </w:tcPr>
          <w:p w14:paraId="0DF80603"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3996100</w:t>
            </w:r>
          </w:p>
        </w:tc>
        <w:tc>
          <w:tcPr>
            <w:tcW w:w="2728" w:type="dxa"/>
            <w:tcBorders>
              <w:top w:val="nil"/>
              <w:left w:val="nil"/>
              <w:bottom w:val="single" w:sz="4" w:space="0" w:color="8EA9DB"/>
              <w:right w:val="nil"/>
            </w:tcBorders>
            <w:shd w:val="clear" w:color="auto" w:fill="auto"/>
            <w:noWrap/>
            <w:vAlign w:val="bottom"/>
            <w:hideMark/>
          </w:tcPr>
          <w:p w14:paraId="7F0B69C4"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0</w:t>
            </w:r>
          </w:p>
        </w:tc>
      </w:tr>
      <w:tr w:rsidR="00D3643D" w:rsidRPr="00D3643D" w14:paraId="32F72F19" w14:textId="77777777" w:rsidTr="00D3643D">
        <w:trPr>
          <w:trHeight w:val="285"/>
        </w:trPr>
        <w:tc>
          <w:tcPr>
            <w:tcW w:w="789" w:type="dxa"/>
            <w:tcBorders>
              <w:top w:val="nil"/>
              <w:left w:val="nil"/>
              <w:bottom w:val="single" w:sz="4" w:space="0" w:color="8EA9DB"/>
              <w:right w:val="nil"/>
            </w:tcBorders>
            <w:shd w:val="clear" w:color="auto" w:fill="auto"/>
            <w:noWrap/>
            <w:vAlign w:val="bottom"/>
            <w:hideMark/>
          </w:tcPr>
          <w:p w14:paraId="482F0EDB"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Mar</w:t>
            </w:r>
          </w:p>
        </w:tc>
        <w:tc>
          <w:tcPr>
            <w:tcW w:w="1162" w:type="dxa"/>
            <w:tcBorders>
              <w:top w:val="nil"/>
              <w:left w:val="nil"/>
              <w:bottom w:val="single" w:sz="4" w:space="0" w:color="8EA9DB"/>
              <w:right w:val="nil"/>
            </w:tcBorders>
            <w:shd w:val="clear" w:color="auto" w:fill="auto"/>
            <w:noWrap/>
            <w:vAlign w:val="bottom"/>
            <w:hideMark/>
          </w:tcPr>
          <w:p w14:paraId="5059B3C3"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6.09%</w:t>
            </w:r>
          </w:p>
        </w:tc>
        <w:tc>
          <w:tcPr>
            <w:tcW w:w="1504" w:type="dxa"/>
            <w:tcBorders>
              <w:top w:val="nil"/>
              <w:left w:val="nil"/>
              <w:bottom w:val="single" w:sz="4" w:space="0" w:color="8EA9DB"/>
              <w:right w:val="nil"/>
            </w:tcBorders>
            <w:shd w:val="clear" w:color="auto" w:fill="auto"/>
            <w:noWrap/>
            <w:vAlign w:val="bottom"/>
            <w:hideMark/>
          </w:tcPr>
          <w:p w14:paraId="1C520F44"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4,994,775.00 </w:t>
            </w:r>
          </w:p>
        </w:tc>
        <w:tc>
          <w:tcPr>
            <w:tcW w:w="1494" w:type="dxa"/>
            <w:tcBorders>
              <w:top w:val="nil"/>
              <w:left w:val="nil"/>
              <w:bottom w:val="single" w:sz="4" w:space="0" w:color="8EA9DB"/>
              <w:right w:val="nil"/>
            </w:tcBorders>
            <w:shd w:val="clear" w:color="auto" w:fill="auto"/>
            <w:noWrap/>
            <w:vAlign w:val="bottom"/>
            <w:hideMark/>
          </w:tcPr>
          <w:p w14:paraId="13206BDD"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4,217.09 </w:t>
            </w:r>
          </w:p>
        </w:tc>
        <w:tc>
          <w:tcPr>
            <w:tcW w:w="1426" w:type="dxa"/>
            <w:tcBorders>
              <w:top w:val="nil"/>
              <w:left w:val="nil"/>
              <w:bottom w:val="single" w:sz="4" w:space="0" w:color="8EA9DB"/>
              <w:right w:val="nil"/>
            </w:tcBorders>
            <w:shd w:val="clear" w:color="auto" w:fill="auto"/>
            <w:noWrap/>
            <w:vAlign w:val="bottom"/>
            <w:hideMark/>
          </w:tcPr>
          <w:p w14:paraId="5DD6ADB0"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6.09%</w:t>
            </w:r>
          </w:p>
        </w:tc>
        <w:tc>
          <w:tcPr>
            <w:tcW w:w="1542" w:type="dxa"/>
            <w:tcBorders>
              <w:top w:val="nil"/>
              <w:left w:val="nil"/>
              <w:bottom w:val="single" w:sz="4" w:space="0" w:color="8EA9DB"/>
              <w:right w:val="nil"/>
            </w:tcBorders>
            <w:shd w:val="clear" w:color="auto" w:fill="auto"/>
            <w:noWrap/>
            <w:vAlign w:val="bottom"/>
            <w:hideMark/>
          </w:tcPr>
          <w:p w14:paraId="0FD21FD1"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4994775</w:t>
            </w:r>
          </w:p>
        </w:tc>
        <w:tc>
          <w:tcPr>
            <w:tcW w:w="2728" w:type="dxa"/>
            <w:tcBorders>
              <w:top w:val="nil"/>
              <w:left w:val="nil"/>
              <w:bottom w:val="single" w:sz="4" w:space="0" w:color="8EA9DB"/>
              <w:right w:val="nil"/>
            </w:tcBorders>
            <w:shd w:val="clear" w:color="auto" w:fill="auto"/>
            <w:noWrap/>
            <w:vAlign w:val="bottom"/>
            <w:hideMark/>
          </w:tcPr>
          <w:p w14:paraId="0B1B5777"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4217.09</w:t>
            </w:r>
          </w:p>
        </w:tc>
      </w:tr>
      <w:tr w:rsidR="00D3643D" w:rsidRPr="00D3643D" w14:paraId="4DAE6287" w14:textId="77777777" w:rsidTr="00D3643D">
        <w:trPr>
          <w:trHeight w:val="285"/>
        </w:trPr>
        <w:tc>
          <w:tcPr>
            <w:tcW w:w="789" w:type="dxa"/>
            <w:tcBorders>
              <w:top w:val="nil"/>
              <w:left w:val="nil"/>
              <w:bottom w:val="single" w:sz="4" w:space="0" w:color="8EA9DB"/>
              <w:right w:val="nil"/>
            </w:tcBorders>
            <w:shd w:val="clear" w:color="auto" w:fill="auto"/>
            <w:noWrap/>
            <w:vAlign w:val="bottom"/>
            <w:hideMark/>
          </w:tcPr>
          <w:p w14:paraId="4FD694C4"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Apr</w:t>
            </w:r>
          </w:p>
        </w:tc>
        <w:tc>
          <w:tcPr>
            <w:tcW w:w="1162" w:type="dxa"/>
            <w:tcBorders>
              <w:top w:val="nil"/>
              <w:left w:val="nil"/>
              <w:bottom w:val="single" w:sz="4" w:space="0" w:color="8EA9DB"/>
              <w:right w:val="nil"/>
            </w:tcBorders>
            <w:shd w:val="clear" w:color="auto" w:fill="auto"/>
            <w:noWrap/>
            <w:vAlign w:val="bottom"/>
            <w:hideMark/>
          </w:tcPr>
          <w:p w14:paraId="7616165D"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6.23%</w:t>
            </w:r>
          </w:p>
        </w:tc>
        <w:tc>
          <w:tcPr>
            <w:tcW w:w="1504" w:type="dxa"/>
            <w:tcBorders>
              <w:top w:val="nil"/>
              <w:left w:val="nil"/>
              <w:bottom w:val="single" w:sz="4" w:space="0" w:color="8EA9DB"/>
              <w:right w:val="nil"/>
            </w:tcBorders>
            <w:shd w:val="clear" w:color="auto" w:fill="auto"/>
            <w:noWrap/>
            <w:vAlign w:val="bottom"/>
            <w:hideMark/>
          </w:tcPr>
          <w:p w14:paraId="4864F4F5"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4,986,450.00 </w:t>
            </w:r>
          </w:p>
        </w:tc>
        <w:tc>
          <w:tcPr>
            <w:tcW w:w="1494" w:type="dxa"/>
            <w:tcBorders>
              <w:top w:val="nil"/>
              <w:left w:val="nil"/>
              <w:bottom w:val="single" w:sz="4" w:space="0" w:color="8EA9DB"/>
              <w:right w:val="nil"/>
            </w:tcBorders>
            <w:shd w:val="clear" w:color="auto" w:fill="auto"/>
            <w:noWrap/>
            <w:vAlign w:val="bottom"/>
            <w:hideMark/>
          </w:tcPr>
          <w:p w14:paraId="6416288E"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1,708.82 </w:t>
            </w:r>
          </w:p>
        </w:tc>
        <w:tc>
          <w:tcPr>
            <w:tcW w:w="1426" w:type="dxa"/>
            <w:tcBorders>
              <w:top w:val="nil"/>
              <w:left w:val="nil"/>
              <w:bottom w:val="single" w:sz="4" w:space="0" w:color="8EA9DB"/>
              <w:right w:val="nil"/>
            </w:tcBorders>
            <w:shd w:val="clear" w:color="auto" w:fill="auto"/>
            <w:noWrap/>
            <w:vAlign w:val="bottom"/>
            <w:hideMark/>
          </w:tcPr>
          <w:p w14:paraId="411EA95A"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6.23%</w:t>
            </w:r>
          </w:p>
        </w:tc>
        <w:tc>
          <w:tcPr>
            <w:tcW w:w="1542" w:type="dxa"/>
            <w:tcBorders>
              <w:top w:val="nil"/>
              <w:left w:val="nil"/>
              <w:bottom w:val="single" w:sz="4" w:space="0" w:color="8EA9DB"/>
              <w:right w:val="nil"/>
            </w:tcBorders>
            <w:shd w:val="clear" w:color="auto" w:fill="auto"/>
            <w:noWrap/>
            <w:vAlign w:val="bottom"/>
            <w:hideMark/>
          </w:tcPr>
          <w:p w14:paraId="5053AC66"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4986450</w:t>
            </w:r>
          </w:p>
        </w:tc>
        <w:tc>
          <w:tcPr>
            <w:tcW w:w="2728" w:type="dxa"/>
            <w:tcBorders>
              <w:top w:val="nil"/>
              <w:left w:val="nil"/>
              <w:bottom w:val="single" w:sz="4" w:space="0" w:color="8EA9DB"/>
              <w:right w:val="nil"/>
            </w:tcBorders>
            <w:shd w:val="clear" w:color="auto" w:fill="auto"/>
            <w:noWrap/>
            <w:vAlign w:val="bottom"/>
            <w:hideMark/>
          </w:tcPr>
          <w:p w14:paraId="3509A291"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1708.82</w:t>
            </w:r>
          </w:p>
        </w:tc>
      </w:tr>
      <w:tr w:rsidR="00D3643D" w:rsidRPr="00D3643D" w14:paraId="23D205CA" w14:textId="77777777" w:rsidTr="00D3643D">
        <w:trPr>
          <w:trHeight w:val="285"/>
        </w:trPr>
        <w:tc>
          <w:tcPr>
            <w:tcW w:w="789" w:type="dxa"/>
            <w:tcBorders>
              <w:top w:val="nil"/>
              <w:left w:val="nil"/>
              <w:bottom w:val="single" w:sz="4" w:space="0" w:color="8EA9DB"/>
              <w:right w:val="nil"/>
            </w:tcBorders>
            <w:shd w:val="clear" w:color="auto" w:fill="auto"/>
            <w:noWrap/>
            <w:vAlign w:val="bottom"/>
            <w:hideMark/>
          </w:tcPr>
          <w:p w14:paraId="3606A451"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May</w:t>
            </w:r>
          </w:p>
        </w:tc>
        <w:tc>
          <w:tcPr>
            <w:tcW w:w="1162" w:type="dxa"/>
            <w:tcBorders>
              <w:top w:val="nil"/>
              <w:left w:val="nil"/>
              <w:bottom w:val="single" w:sz="4" w:space="0" w:color="8EA9DB"/>
              <w:right w:val="nil"/>
            </w:tcBorders>
            <w:shd w:val="clear" w:color="auto" w:fill="auto"/>
            <w:noWrap/>
            <w:vAlign w:val="bottom"/>
            <w:hideMark/>
          </w:tcPr>
          <w:p w14:paraId="37DA9802"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7.30%</w:t>
            </w:r>
          </w:p>
        </w:tc>
        <w:tc>
          <w:tcPr>
            <w:tcW w:w="1504" w:type="dxa"/>
            <w:tcBorders>
              <w:top w:val="nil"/>
              <w:left w:val="nil"/>
              <w:bottom w:val="single" w:sz="4" w:space="0" w:color="8EA9DB"/>
              <w:right w:val="nil"/>
            </w:tcBorders>
            <w:shd w:val="clear" w:color="auto" w:fill="auto"/>
            <w:noWrap/>
            <w:vAlign w:val="bottom"/>
            <w:hideMark/>
          </w:tcPr>
          <w:p w14:paraId="580663BC"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5,669,575.00 </w:t>
            </w:r>
          </w:p>
        </w:tc>
        <w:tc>
          <w:tcPr>
            <w:tcW w:w="1494" w:type="dxa"/>
            <w:tcBorders>
              <w:top w:val="nil"/>
              <w:left w:val="nil"/>
              <w:bottom w:val="single" w:sz="4" w:space="0" w:color="8EA9DB"/>
              <w:right w:val="nil"/>
            </w:tcBorders>
            <w:shd w:val="clear" w:color="auto" w:fill="auto"/>
            <w:noWrap/>
            <w:vAlign w:val="bottom"/>
            <w:hideMark/>
          </w:tcPr>
          <w:p w14:paraId="082D096E"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   </w:t>
            </w:r>
          </w:p>
        </w:tc>
        <w:tc>
          <w:tcPr>
            <w:tcW w:w="1426" w:type="dxa"/>
            <w:tcBorders>
              <w:top w:val="nil"/>
              <w:left w:val="nil"/>
              <w:bottom w:val="single" w:sz="4" w:space="0" w:color="8EA9DB"/>
              <w:right w:val="nil"/>
            </w:tcBorders>
            <w:shd w:val="clear" w:color="auto" w:fill="auto"/>
            <w:noWrap/>
            <w:vAlign w:val="bottom"/>
            <w:hideMark/>
          </w:tcPr>
          <w:p w14:paraId="42CF642D"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7.30%</w:t>
            </w:r>
          </w:p>
        </w:tc>
        <w:tc>
          <w:tcPr>
            <w:tcW w:w="1542" w:type="dxa"/>
            <w:tcBorders>
              <w:top w:val="nil"/>
              <w:left w:val="nil"/>
              <w:bottom w:val="single" w:sz="4" w:space="0" w:color="8EA9DB"/>
              <w:right w:val="nil"/>
            </w:tcBorders>
            <w:shd w:val="clear" w:color="auto" w:fill="auto"/>
            <w:noWrap/>
            <w:vAlign w:val="bottom"/>
            <w:hideMark/>
          </w:tcPr>
          <w:p w14:paraId="2942FA6D"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5669575</w:t>
            </w:r>
          </w:p>
        </w:tc>
        <w:tc>
          <w:tcPr>
            <w:tcW w:w="2728" w:type="dxa"/>
            <w:tcBorders>
              <w:top w:val="nil"/>
              <w:left w:val="nil"/>
              <w:bottom w:val="single" w:sz="4" w:space="0" w:color="8EA9DB"/>
              <w:right w:val="nil"/>
            </w:tcBorders>
            <w:shd w:val="clear" w:color="auto" w:fill="auto"/>
            <w:noWrap/>
            <w:vAlign w:val="bottom"/>
            <w:hideMark/>
          </w:tcPr>
          <w:p w14:paraId="098DE68B"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0</w:t>
            </w:r>
          </w:p>
        </w:tc>
      </w:tr>
      <w:tr w:rsidR="00D3643D" w:rsidRPr="00D3643D" w14:paraId="73E3C9B0" w14:textId="77777777" w:rsidTr="00D3643D">
        <w:trPr>
          <w:trHeight w:val="285"/>
        </w:trPr>
        <w:tc>
          <w:tcPr>
            <w:tcW w:w="789" w:type="dxa"/>
            <w:tcBorders>
              <w:top w:val="nil"/>
              <w:left w:val="nil"/>
              <w:bottom w:val="single" w:sz="4" w:space="0" w:color="8EA9DB"/>
              <w:right w:val="nil"/>
            </w:tcBorders>
            <w:shd w:val="clear" w:color="auto" w:fill="auto"/>
            <w:noWrap/>
            <w:vAlign w:val="bottom"/>
            <w:hideMark/>
          </w:tcPr>
          <w:p w14:paraId="4B34DF10"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Jun</w:t>
            </w:r>
          </w:p>
        </w:tc>
        <w:tc>
          <w:tcPr>
            <w:tcW w:w="1162" w:type="dxa"/>
            <w:tcBorders>
              <w:top w:val="nil"/>
              <w:left w:val="nil"/>
              <w:bottom w:val="single" w:sz="4" w:space="0" w:color="8EA9DB"/>
              <w:right w:val="nil"/>
            </w:tcBorders>
            <w:shd w:val="clear" w:color="auto" w:fill="auto"/>
            <w:noWrap/>
            <w:vAlign w:val="bottom"/>
            <w:hideMark/>
          </w:tcPr>
          <w:p w14:paraId="465E49FF"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7.78%</w:t>
            </w:r>
          </w:p>
        </w:tc>
        <w:tc>
          <w:tcPr>
            <w:tcW w:w="1504" w:type="dxa"/>
            <w:tcBorders>
              <w:top w:val="nil"/>
              <w:left w:val="nil"/>
              <w:bottom w:val="single" w:sz="4" w:space="0" w:color="8EA9DB"/>
              <w:right w:val="nil"/>
            </w:tcBorders>
            <w:shd w:val="clear" w:color="auto" w:fill="auto"/>
            <w:noWrap/>
            <w:vAlign w:val="bottom"/>
            <w:hideMark/>
          </w:tcPr>
          <w:p w14:paraId="2A4985AB"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5,839,375.00 </w:t>
            </w:r>
          </w:p>
        </w:tc>
        <w:tc>
          <w:tcPr>
            <w:tcW w:w="1494" w:type="dxa"/>
            <w:tcBorders>
              <w:top w:val="nil"/>
              <w:left w:val="nil"/>
              <w:bottom w:val="single" w:sz="4" w:space="0" w:color="8EA9DB"/>
              <w:right w:val="nil"/>
            </w:tcBorders>
            <w:shd w:val="clear" w:color="auto" w:fill="auto"/>
            <w:noWrap/>
            <w:vAlign w:val="bottom"/>
            <w:hideMark/>
          </w:tcPr>
          <w:p w14:paraId="6199B647"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5,105.63 </w:t>
            </w:r>
          </w:p>
        </w:tc>
        <w:tc>
          <w:tcPr>
            <w:tcW w:w="1426" w:type="dxa"/>
            <w:tcBorders>
              <w:top w:val="nil"/>
              <w:left w:val="nil"/>
              <w:bottom w:val="single" w:sz="4" w:space="0" w:color="8EA9DB"/>
              <w:right w:val="nil"/>
            </w:tcBorders>
            <w:shd w:val="clear" w:color="auto" w:fill="auto"/>
            <w:noWrap/>
            <w:vAlign w:val="bottom"/>
            <w:hideMark/>
          </w:tcPr>
          <w:p w14:paraId="60F2B4BB"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7.78%</w:t>
            </w:r>
          </w:p>
        </w:tc>
        <w:tc>
          <w:tcPr>
            <w:tcW w:w="1542" w:type="dxa"/>
            <w:tcBorders>
              <w:top w:val="nil"/>
              <w:left w:val="nil"/>
              <w:bottom w:val="single" w:sz="4" w:space="0" w:color="8EA9DB"/>
              <w:right w:val="nil"/>
            </w:tcBorders>
            <w:shd w:val="clear" w:color="auto" w:fill="auto"/>
            <w:noWrap/>
            <w:vAlign w:val="bottom"/>
            <w:hideMark/>
          </w:tcPr>
          <w:p w14:paraId="5A0C5C33"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5839375</w:t>
            </w:r>
          </w:p>
        </w:tc>
        <w:tc>
          <w:tcPr>
            <w:tcW w:w="2728" w:type="dxa"/>
            <w:tcBorders>
              <w:top w:val="nil"/>
              <w:left w:val="nil"/>
              <w:bottom w:val="single" w:sz="4" w:space="0" w:color="8EA9DB"/>
              <w:right w:val="nil"/>
            </w:tcBorders>
            <w:shd w:val="clear" w:color="auto" w:fill="auto"/>
            <w:noWrap/>
            <w:vAlign w:val="bottom"/>
            <w:hideMark/>
          </w:tcPr>
          <w:p w14:paraId="2739EA71"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5105.63</w:t>
            </w:r>
          </w:p>
        </w:tc>
      </w:tr>
      <w:tr w:rsidR="00D3643D" w:rsidRPr="00D3643D" w14:paraId="265E9019" w14:textId="77777777" w:rsidTr="00D3643D">
        <w:trPr>
          <w:trHeight w:val="285"/>
        </w:trPr>
        <w:tc>
          <w:tcPr>
            <w:tcW w:w="789" w:type="dxa"/>
            <w:tcBorders>
              <w:top w:val="nil"/>
              <w:left w:val="nil"/>
              <w:bottom w:val="single" w:sz="4" w:space="0" w:color="8EA9DB"/>
              <w:right w:val="nil"/>
            </w:tcBorders>
            <w:shd w:val="clear" w:color="auto" w:fill="auto"/>
            <w:noWrap/>
            <w:vAlign w:val="bottom"/>
            <w:hideMark/>
          </w:tcPr>
          <w:p w14:paraId="04BD6093"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Jul</w:t>
            </w:r>
          </w:p>
        </w:tc>
        <w:tc>
          <w:tcPr>
            <w:tcW w:w="1162" w:type="dxa"/>
            <w:tcBorders>
              <w:top w:val="nil"/>
              <w:left w:val="nil"/>
              <w:bottom w:val="single" w:sz="4" w:space="0" w:color="8EA9DB"/>
              <w:right w:val="nil"/>
            </w:tcBorders>
            <w:shd w:val="clear" w:color="auto" w:fill="auto"/>
            <w:noWrap/>
            <w:vAlign w:val="bottom"/>
            <w:hideMark/>
          </w:tcPr>
          <w:p w14:paraId="702E8FC9"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7.51%</w:t>
            </w:r>
          </w:p>
        </w:tc>
        <w:tc>
          <w:tcPr>
            <w:tcW w:w="1504" w:type="dxa"/>
            <w:tcBorders>
              <w:top w:val="nil"/>
              <w:left w:val="nil"/>
              <w:bottom w:val="single" w:sz="4" w:space="0" w:color="8EA9DB"/>
              <w:right w:val="nil"/>
            </w:tcBorders>
            <w:shd w:val="clear" w:color="auto" w:fill="auto"/>
            <w:noWrap/>
            <w:vAlign w:val="bottom"/>
            <w:hideMark/>
          </w:tcPr>
          <w:p w14:paraId="454F0E8D"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5,867,150.00 </w:t>
            </w:r>
          </w:p>
        </w:tc>
        <w:tc>
          <w:tcPr>
            <w:tcW w:w="1494" w:type="dxa"/>
            <w:tcBorders>
              <w:top w:val="nil"/>
              <w:left w:val="nil"/>
              <w:bottom w:val="single" w:sz="4" w:space="0" w:color="8EA9DB"/>
              <w:right w:val="nil"/>
            </w:tcBorders>
            <w:shd w:val="clear" w:color="auto" w:fill="auto"/>
            <w:noWrap/>
            <w:vAlign w:val="bottom"/>
            <w:hideMark/>
          </w:tcPr>
          <w:p w14:paraId="04EE0CDF"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1,399.77 </w:t>
            </w:r>
          </w:p>
        </w:tc>
        <w:tc>
          <w:tcPr>
            <w:tcW w:w="1426" w:type="dxa"/>
            <w:tcBorders>
              <w:top w:val="nil"/>
              <w:left w:val="nil"/>
              <w:bottom w:val="single" w:sz="4" w:space="0" w:color="8EA9DB"/>
              <w:right w:val="nil"/>
            </w:tcBorders>
            <w:shd w:val="clear" w:color="auto" w:fill="auto"/>
            <w:noWrap/>
            <w:vAlign w:val="bottom"/>
            <w:hideMark/>
          </w:tcPr>
          <w:p w14:paraId="3B706BBA"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7.51%</w:t>
            </w:r>
          </w:p>
        </w:tc>
        <w:tc>
          <w:tcPr>
            <w:tcW w:w="1542" w:type="dxa"/>
            <w:tcBorders>
              <w:top w:val="nil"/>
              <w:left w:val="nil"/>
              <w:bottom w:val="single" w:sz="4" w:space="0" w:color="8EA9DB"/>
              <w:right w:val="nil"/>
            </w:tcBorders>
            <w:shd w:val="clear" w:color="auto" w:fill="auto"/>
            <w:noWrap/>
            <w:vAlign w:val="bottom"/>
            <w:hideMark/>
          </w:tcPr>
          <w:p w14:paraId="62E1988F"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5867150</w:t>
            </w:r>
          </w:p>
        </w:tc>
        <w:tc>
          <w:tcPr>
            <w:tcW w:w="2728" w:type="dxa"/>
            <w:tcBorders>
              <w:top w:val="nil"/>
              <w:left w:val="nil"/>
              <w:bottom w:val="single" w:sz="4" w:space="0" w:color="8EA9DB"/>
              <w:right w:val="nil"/>
            </w:tcBorders>
            <w:shd w:val="clear" w:color="auto" w:fill="auto"/>
            <w:noWrap/>
            <w:vAlign w:val="bottom"/>
            <w:hideMark/>
          </w:tcPr>
          <w:p w14:paraId="03A68590"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1399.77</w:t>
            </w:r>
          </w:p>
        </w:tc>
      </w:tr>
      <w:tr w:rsidR="00D3643D" w:rsidRPr="00D3643D" w14:paraId="4721FEB2" w14:textId="77777777" w:rsidTr="00D3643D">
        <w:trPr>
          <w:trHeight w:val="285"/>
        </w:trPr>
        <w:tc>
          <w:tcPr>
            <w:tcW w:w="789" w:type="dxa"/>
            <w:tcBorders>
              <w:top w:val="nil"/>
              <w:left w:val="nil"/>
              <w:bottom w:val="single" w:sz="4" w:space="0" w:color="8EA9DB"/>
              <w:right w:val="nil"/>
            </w:tcBorders>
            <w:shd w:val="clear" w:color="auto" w:fill="auto"/>
            <w:noWrap/>
            <w:vAlign w:val="bottom"/>
            <w:hideMark/>
          </w:tcPr>
          <w:p w14:paraId="14CADE0F"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Aug</w:t>
            </w:r>
          </w:p>
        </w:tc>
        <w:tc>
          <w:tcPr>
            <w:tcW w:w="1162" w:type="dxa"/>
            <w:tcBorders>
              <w:top w:val="nil"/>
              <w:left w:val="nil"/>
              <w:bottom w:val="single" w:sz="4" w:space="0" w:color="8EA9DB"/>
              <w:right w:val="nil"/>
            </w:tcBorders>
            <w:shd w:val="clear" w:color="auto" w:fill="auto"/>
            <w:noWrap/>
            <w:vAlign w:val="bottom"/>
            <w:hideMark/>
          </w:tcPr>
          <w:p w14:paraId="45B5AA29"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7.40%</w:t>
            </w:r>
          </w:p>
        </w:tc>
        <w:tc>
          <w:tcPr>
            <w:tcW w:w="1504" w:type="dxa"/>
            <w:tcBorders>
              <w:top w:val="nil"/>
              <w:left w:val="nil"/>
              <w:bottom w:val="single" w:sz="4" w:space="0" w:color="8EA9DB"/>
              <w:right w:val="nil"/>
            </w:tcBorders>
            <w:shd w:val="clear" w:color="auto" w:fill="auto"/>
            <w:noWrap/>
            <w:vAlign w:val="bottom"/>
            <w:hideMark/>
          </w:tcPr>
          <w:p w14:paraId="654DB006"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5,810,375.00 </w:t>
            </w:r>
          </w:p>
        </w:tc>
        <w:tc>
          <w:tcPr>
            <w:tcW w:w="1494" w:type="dxa"/>
            <w:tcBorders>
              <w:top w:val="nil"/>
              <w:left w:val="nil"/>
              <w:bottom w:val="single" w:sz="4" w:space="0" w:color="8EA9DB"/>
              <w:right w:val="nil"/>
            </w:tcBorders>
            <w:shd w:val="clear" w:color="auto" w:fill="auto"/>
            <w:noWrap/>
            <w:vAlign w:val="bottom"/>
            <w:hideMark/>
          </w:tcPr>
          <w:p w14:paraId="7066BACE"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   </w:t>
            </w:r>
          </w:p>
        </w:tc>
        <w:tc>
          <w:tcPr>
            <w:tcW w:w="1426" w:type="dxa"/>
            <w:tcBorders>
              <w:top w:val="nil"/>
              <w:left w:val="nil"/>
              <w:bottom w:val="single" w:sz="4" w:space="0" w:color="8EA9DB"/>
              <w:right w:val="nil"/>
            </w:tcBorders>
            <w:shd w:val="clear" w:color="auto" w:fill="auto"/>
            <w:noWrap/>
            <w:vAlign w:val="bottom"/>
            <w:hideMark/>
          </w:tcPr>
          <w:p w14:paraId="30196EDE"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7.40%</w:t>
            </w:r>
          </w:p>
        </w:tc>
        <w:tc>
          <w:tcPr>
            <w:tcW w:w="1542" w:type="dxa"/>
            <w:tcBorders>
              <w:top w:val="nil"/>
              <w:left w:val="nil"/>
              <w:bottom w:val="single" w:sz="4" w:space="0" w:color="8EA9DB"/>
              <w:right w:val="nil"/>
            </w:tcBorders>
            <w:shd w:val="clear" w:color="auto" w:fill="auto"/>
            <w:noWrap/>
            <w:vAlign w:val="bottom"/>
            <w:hideMark/>
          </w:tcPr>
          <w:p w14:paraId="5ABF0234"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5810375</w:t>
            </w:r>
          </w:p>
        </w:tc>
        <w:tc>
          <w:tcPr>
            <w:tcW w:w="2728" w:type="dxa"/>
            <w:tcBorders>
              <w:top w:val="nil"/>
              <w:left w:val="nil"/>
              <w:bottom w:val="single" w:sz="4" w:space="0" w:color="8EA9DB"/>
              <w:right w:val="nil"/>
            </w:tcBorders>
            <w:shd w:val="clear" w:color="auto" w:fill="auto"/>
            <w:noWrap/>
            <w:vAlign w:val="bottom"/>
            <w:hideMark/>
          </w:tcPr>
          <w:p w14:paraId="6CC470A3"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0</w:t>
            </w:r>
          </w:p>
        </w:tc>
      </w:tr>
      <w:tr w:rsidR="00D3643D" w:rsidRPr="00D3643D" w14:paraId="68CC4786" w14:textId="77777777" w:rsidTr="00D3643D">
        <w:trPr>
          <w:trHeight w:val="285"/>
        </w:trPr>
        <w:tc>
          <w:tcPr>
            <w:tcW w:w="789" w:type="dxa"/>
            <w:tcBorders>
              <w:top w:val="nil"/>
              <w:left w:val="nil"/>
              <w:bottom w:val="single" w:sz="4" w:space="0" w:color="8EA9DB"/>
              <w:right w:val="nil"/>
            </w:tcBorders>
            <w:shd w:val="clear" w:color="auto" w:fill="auto"/>
            <w:noWrap/>
            <w:vAlign w:val="bottom"/>
            <w:hideMark/>
          </w:tcPr>
          <w:p w14:paraId="7E34D8A3"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Sep</w:t>
            </w:r>
          </w:p>
        </w:tc>
        <w:tc>
          <w:tcPr>
            <w:tcW w:w="1162" w:type="dxa"/>
            <w:tcBorders>
              <w:top w:val="nil"/>
              <w:left w:val="nil"/>
              <w:bottom w:val="single" w:sz="4" w:space="0" w:color="8EA9DB"/>
              <w:right w:val="nil"/>
            </w:tcBorders>
            <w:shd w:val="clear" w:color="auto" w:fill="auto"/>
            <w:noWrap/>
            <w:vAlign w:val="bottom"/>
            <w:hideMark/>
          </w:tcPr>
          <w:p w14:paraId="4C67ED95"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8.53%</w:t>
            </w:r>
          </w:p>
        </w:tc>
        <w:tc>
          <w:tcPr>
            <w:tcW w:w="1504" w:type="dxa"/>
            <w:tcBorders>
              <w:top w:val="nil"/>
              <w:left w:val="nil"/>
              <w:bottom w:val="single" w:sz="4" w:space="0" w:color="8EA9DB"/>
              <w:right w:val="nil"/>
            </w:tcBorders>
            <w:shd w:val="clear" w:color="auto" w:fill="auto"/>
            <w:noWrap/>
            <w:vAlign w:val="bottom"/>
            <w:hideMark/>
          </w:tcPr>
          <w:p w14:paraId="4A125D72"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7,091,950.00 </w:t>
            </w:r>
          </w:p>
        </w:tc>
        <w:tc>
          <w:tcPr>
            <w:tcW w:w="1494" w:type="dxa"/>
            <w:tcBorders>
              <w:top w:val="nil"/>
              <w:left w:val="nil"/>
              <w:bottom w:val="single" w:sz="4" w:space="0" w:color="8EA9DB"/>
              <w:right w:val="nil"/>
            </w:tcBorders>
            <w:shd w:val="clear" w:color="auto" w:fill="auto"/>
            <w:noWrap/>
            <w:vAlign w:val="bottom"/>
            <w:hideMark/>
          </w:tcPr>
          <w:p w14:paraId="3D97C2F8"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5,979.46 </w:t>
            </w:r>
          </w:p>
        </w:tc>
        <w:tc>
          <w:tcPr>
            <w:tcW w:w="1426" w:type="dxa"/>
            <w:tcBorders>
              <w:top w:val="nil"/>
              <w:left w:val="nil"/>
              <w:bottom w:val="single" w:sz="4" w:space="0" w:color="8EA9DB"/>
              <w:right w:val="nil"/>
            </w:tcBorders>
            <w:shd w:val="clear" w:color="auto" w:fill="auto"/>
            <w:noWrap/>
            <w:vAlign w:val="bottom"/>
            <w:hideMark/>
          </w:tcPr>
          <w:p w14:paraId="021F74CC"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8.53%</w:t>
            </w:r>
          </w:p>
        </w:tc>
        <w:tc>
          <w:tcPr>
            <w:tcW w:w="1542" w:type="dxa"/>
            <w:tcBorders>
              <w:top w:val="nil"/>
              <w:left w:val="nil"/>
              <w:bottom w:val="single" w:sz="4" w:space="0" w:color="8EA9DB"/>
              <w:right w:val="nil"/>
            </w:tcBorders>
            <w:shd w:val="clear" w:color="auto" w:fill="auto"/>
            <w:noWrap/>
            <w:vAlign w:val="bottom"/>
            <w:hideMark/>
          </w:tcPr>
          <w:p w14:paraId="0BD05B47"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7091950</w:t>
            </w:r>
          </w:p>
        </w:tc>
        <w:tc>
          <w:tcPr>
            <w:tcW w:w="2728" w:type="dxa"/>
            <w:tcBorders>
              <w:top w:val="nil"/>
              <w:left w:val="nil"/>
              <w:bottom w:val="single" w:sz="4" w:space="0" w:color="8EA9DB"/>
              <w:right w:val="nil"/>
            </w:tcBorders>
            <w:shd w:val="clear" w:color="auto" w:fill="auto"/>
            <w:noWrap/>
            <w:vAlign w:val="bottom"/>
            <w:hideMark/>
          </w:tcPr>
          <w:p w14:paraId="534A69DE"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5979.46</w:t>
            </w:r>
          </w:p>
        </w:tc>
      </w:tr>
      <w:tr w:rsidR="00D3643D" w:rsidRPr="00D3643D" w14:paraId="2C55C3D4" w14:textId="77777777" w:rsidTr="00D3643D">
        <w:trPr>
          <w:trHeight w:val="285"/>
        </w:trPr>
        <w:tc>
          <w:tcPr>
            <w:tcW w:w="789" w:type="dxa"/>
            <w:tcBorders>
              <w:top w:val="nil"/>
              <w:left w:val="nil"/>
              <w:bottom w:val="single" w:sz="4" w:space="0" w:color="8EA9DB"/>
              <w:right w:val="nil"/>
            </w:tcBorders>
            <w:shd w:val="clear" w:color="auto" w:fill="auto"/>
            <w:noWrap/>
            <w:vAlign w:val="bottom"/>
            <w:hideMark/>
          </w:tcPr>
          <w:p w14:paraId="7FE0C115"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Oct</w:t>
            </w:r>
          </w:p>
        </w:tc>
        <w:tc>
          <w:tcPr>
            <w:tcW w:w="1162" w:type="dxa"/>
            <w:tcBorders>
              <w:top w:val="nil"/>
              <w:left w:val="nil"/>
              <w:bottom w:val="single" w:sz="4" w:space="0" w:color="8EA9DB"/>
              <w:right w:val="nil"/>
            </w:tcBorders>
            <w:shd w:val="clear" w:color="auto" w:fill="auto"/>
            <w:noWrap/>
            <w:vAlign w:val="bottom"/>
            <w:hideMark/>
          </w:tcPr>
          <w:p w14:paraId="6C5C47ED"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9.28%</w:t>
            </w:r>
          </w:p>
        </w:tc>
        <w:tc>
          <w:tcPr>
            <w:tcW w:w="1504" w:type="dxa"/>
            <w:tcBorders>
              <w:top w:val="nil"/>
              <w:left w:val="nil"/>
              <w:bottom w:val="single" w:sz="4" w:space="0" w:color="8EA9DB"/>
              <w:right w:val="nil"/>
            </w:tcBorders>
            <w:shd w:val="clear" w:color="auto" w:fill="auto"/>
            <w:noWrap/>
            <w:vAlign w:val="bottom"/>
            <w:hideMark/>
          </w:tcPr>
          <w:p w14:paraId="2B402E55"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7,846,700.00 </w:t>
            </w:r>
          </w:p>
        </w:tc>
        <w:tc>
          <w:tcPr>
            <w:tcW w:w="1494" w:type="dxa"/>
            <w:tcBorders>
              <w:top w:val="nil"/>
              <w:left w:val="nil"/>
              <w:bottom w:val="single" w:sz="4" w:space="0" w:color="8EA9DB"/>
              <w:right w:val="nil"/>
            </w:tcBorders>
            <w:shd w:val="clear" w:color="auto" w:fill="auto"/>
            <w:noWrap/>
            <w:vAlign w:val="bottom"/>
            <w:hideMark/>
          </w:tcPr>
          <w:p w14:paraId="583E479F"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   </w:t>
            </w:r>
          </w:p>
        </w:tc>
        <w:tc>
          <w:tcPr>
            <w:tcW w:w="1426" w:type="dxa"/>
            <w:tcBorders>
              <w:top w:val="nil"/>
              <w:left w:val="nil"/>
              <w:bottom w:val="single" w:sz="4" w:space="0" w:color="8EA9DB"/>
              <w:right w:val="nil"/>
            </w:tcBorders>
            <w:shd w:val="clear" w:color="auto" w:fill="auto"/>
            <w:noWrap/>
            <w:vAlign w:val="bottom"/>
            <w:hideMark/>
          </w:tcPr>
          <w:p w14:paraId="684E894F"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9.28%</w:t>
            </w:r>
          </w:p>
        </w:tc>
        <w:tc>
          <w:tcPr>
            <w:tcW w:w="1542" w:type="dxa"/>
            <w:tcBorders>
              <w:top w:val="nil"/>
              <w:left w:val="nil"/>
              <w:bottom w:val="single" w:sz="4" w:space="0" w:color="8EA9DB"/>
              <w:right w:val="nil"/>
            </w:tcBorders>
            <w:shd w:val="clear" w:color="auto" w:fill="auto"/>
            <w:noWrap/>
            <w:vAlign w:val="bottom"/>
            <w:hideMark/>
          </w:tcPr>
          <w:p w14:paraId="27F680C7"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7846700</w:t>
            </w:r>
          </w:p>
        </w:tc>
        <w:tc>
          <w:tcPr>
            <w:tcW w:w="2728" w:type="dxa"/>
            <w:tcBorders>
              <w:top w:val="nil"/>
              <w:left w:val="nil"/>
              <w:bottom w:val="single" w:sz="4" w:space="0" w:color="8EA9DB"/>
              <w:right w:val="nil"/>
            </w:tcBorders>
            <w:shd w:val="clear" w:color="auto" w:fill="auto"/>
            <w:noWrap/>
            <w:vAlign w:val="bottom"/>
            <w:hideMark/>
          </w:tcPr>
          <w:p w14:paraId="36B72D68"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0</w:t>
            </w:r>
          </w:p>
        </w:tc>
      </w:tr>
      <w:tr w:rsidR="00D3643D" w:rsidRPr="00D3643D" w14:paraId="51013207" w14:textId="77777777" w:rsidTr="00D3643D">
        <w:trPr>
          <w:trHeight w:val="285"/>
        </w:trPr>
        <w:tc>
          <w:tcPr>
            <w:tcW w:w="789" w:type="dxa"/>
            <w:tcBorders>
              <w:top w:val="nil"/>
              <w:left w:val="nil"/>
              <w:bottom w:val="single" w:sz="4" w:space="0" w:color="8EA9DB"/>
              <w:right w:val="nil"/>
            </w:tcBorders>
            <w:shd w:val="clear" w:color="auto" w:fill="auto"/>
            <w:noWrap/>
            <w:vAlign w:val="bottom"/>
            <w:hideMark/>
          </w:tcPr>
          <w:p w14:paraId="714655B5"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Nov</w:t>
            </w:r>
          </w:p>
        </w:tc>
        <w:tc>
          <w:tcPr>
            <w:tcW w:w="1162" w:type="dxa"/>
            <w:tcBorders>
              <w:top w:val="nil"/>
              <w:left w:val="nil"/>
              <w:bottom w:val="single" w:sz="4" w:space="0" w:color="8EA9DB"/>
              <w:right w:val="nil"/>
            </w:tcBorders>
            <w:shd w:val="clear" w:color="auto" w:fill="auto"/>
            <w:noWrap/>
            <w:vAlign w:val="bottom"/>
            <w:hideMark/>
          </w:tcPr>
          <w:p w14:paraId="3252FBB6"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9.69%</w:t>
            </w:r>
          </w:p>
        </w:tc>
        <w:tc>
          <w:tcPr>
            <w:tcW w:w="1504" w:type="dxa"/>
            <w:tcBorders>
              <w:top w:val="nil"/>
              <w:left w:val="nil"/>
              <w:bottom w:val="single" w:sz="4" w:space="0" w:color="8EA9DB"/>
              <w:right w:val="nil"/>
            </w:tcBorders>
            <w:shd w:val="clear" w:color="auto" w:fill="auto"/>
            <w:noWrap/>
            <w:vAlign w:val="bottom"/>
            <w:hideMark/>
          </w:tcPr>
          <w:p w14:paraId="348F51CE"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8,556,000.00 </w:t>
            </w:r>
          </w:p>
        </w:tc>
        <w:tc>
          <w:tcPr>
            <w:tcW w:w="1494" w:type="dxa"/>
            <w:tcBorders>
              <w:top w:val="nil"/>
              <w:left w:val="nil"/>
              <w:bottom w:val="single" w:sz="4" w:space="0" w:color="8EA9DB"/>
              <w:right w:val="nil"/>
            </w:tcBorders>
            <w:shd w:val="clear" w:color="auto" w:fill="auto"/>
            <w:noWrap/>
            <w:vAlign w:val="bottom"/>
            <w:hideMark/>
          </w:tcPr>
          <w:p w14:paraId="794219C2"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267.78 </w:t>
            </w:r>
          </w:p>
        </w:tc>
        <w:tc>
          <w:tcPr>
            <w:tcW w:w="1426" w:type="dxa"/>
            <w:tcBorders>
              <w:top w:val="nil"/>
              <w:left w:val="nil"/>
              <w:bottom w:val="single" w:sz="4" w:space="0" w:color="8EA9DB"/>
              <w:right w:val="nil"/>
            </w:tcBorders>
            <w:shd w:val="clear" w:color="auto" w:fill="auto"/>
            <w:noWrap/>
            <w:vAlign w:val="bottom"/>
            <w:hideMark/>
          </w:tcPr>
          <w:p w14:paraId="77E32414"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9.69%</w:t>
            </w:r>
          </w:p>
        </w:tc>
        <w:tc>
          <w:tcPr>
            <w:tcW w:w="1542" w:type="dxa"/>
            <w:tcBorders>
              <w:top w:val="nil"/>
              <w:left w:val="nil"/>
              <w:bottom w:val="single" w:sz="4" w:space="0" w:color="8EA9DB"/>
              <w:right w:val="nil"/>
            </w:tcBorders>
            <w:shd w:val="clear" w:color="auto" w:fill="auto"/>
            <w:noWrap/>
            <w:vAlign w:val="bottom"/>
            <w:hideMark/>
          </w:tcPr>
          <w:p w14:paraId="5FEC162A"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8556000</w:t>
            </w:r>
          </w:p>
        </w:tc>
        <w:tc>
          <w:tcPr>
            <w:tcW w:w="2728" w:type="dxa"/>
            <w:tcBorders>
              <w:top w:val="nil"/>
              <w:left w:val="nil"/>
              <w:bottom w:val="single" w:sz="4" w:space="0" w:color="8EA9DB"/>
              <w:right w:val="nil"/>
            </w:tcBorders>
            <w:shd w:val="clear" w:color="auto" w:fill="auto"/>
            <w:noWrap/>
            <w:vAlign w:val="bottom"/>
            <w:hideMark/>
          </w:tcPr>
          <w:p w14:paraId="7F1B2FAE"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267.78</w:t>
            </w:r>
          </w:p>
        </w:tc>
      </w:tr>
      <w:tr w:rsidR="00D3643D" w:rsidRPr="00D3643D" w14:paraId="5F65D999" w14:textId="77777777" w:rsidTr="00D3643D">
        <w:trPr>
          <w:trHeight w:val="285"/>
        </w:trPr>
        <w:tc>
          <w:tcPr>
            <w:tcW w:w="789" w:type="dxa"/>
            <w:tcBorders>
              <w:top w:val="nil"/>
              <w:left w:val="nil"/>
              <w:bottom w:val="single" w:sz="4" w:space="0" w:color="8EA9DB"/>
              <w:right w:val="nil"/>
            </w:tcBorders>
            <w:shd w:val="clear" w:color="auto" w:fill="auto"/>
            <w:noWrap/>
            <w:vAlign w:val="bottom"/>
            <w:hideMark/>
          </w:tcPr>
          <w:p w14:paraId="35E90E49"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Dec</w:t>
            </w:r>
          </w:p>
        </w:tc>
        <w:tc>
          <w:tcPr>
            <w:tcW w:w="1162" w:type="dxa"/>
            <w:tcBorders>
              <w:top w:val="nil"/>
              <w:left w:val="nil"/>
              <w:bottom w:val="single" w:sz="4" w:space="0" w:color="8EA9DB"/>
              <w:right w:val="nil"/>
            </w:tcBorders>
            <w:shd w:val="clear" w:color="auto" w:fill="auto"/>
            <w:noWrap/>
            <w:vAlign w:val="bottom"/>
            <w:hideMark/>
          </w:tcPr>
          <w:p w14:paraId="48D5D4E5"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19.46%</w:t>
            </w:r>
          </w:p>
        </w:tc>
        <w:tc>
          <w:tcPr>
            <w:tcW w:w="1504" w:type="dxa"/>
            <w:tcBorders>
              <w:top w:val="nil"/>
              <w:left w:val="nil"/>
              <w:bottom w:val="single" w:sz="4" w:space="0" w:color="8EA9DB"/>
              <w:right w:val="nil"/>
            </w:tcBorders>
            <w:shd w:val="clear" w:color="auto" w:fill="auto"/>
            <w:noWrap/>
            <w:vAlign w:val="bottom"/>
            <w:hideMark/>
          </w:tcPr>
          <w:p w14:paraId="4E552EE1"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19,438,850.00 </w:t>
            </w:r>
          </w:p>
        </w:tc>
        <w:tc>
          <w:tcPr>
            <w:tcW w:w="1494" w:type="dxa"/>
            <w:tcBorders>
              <w:top w:val="nil"/>
              <w:left w:val="nil"/>
              <w:bottom w:val="single" w:sz="4" w:space="0" w:color="8EA9DB"/>
              <w:right w:val="nil"/>
            </w:tcBorders>
            <w:shd w:val="clear" w:color="auto" w:fill="auto"/>
            <w:noWrap/>
            <w:vAlign w:val="bottom"/>
            <w:hideMark/>
          </w:tcPr>
          <w:p w14:paraId="34F457D6"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155,178.50 </w:t>
            </w:r>
          </w:p>
        </w:tc>
        <w:tc>
          <w:tcPr>
            <w:tcW w:w="1426" w:type="dxa"/>
            <w:tcBorders>
              <w:top w:val="nil"/>
              <w:left w:val="nil"/>
              <w:bottom w:val="single" w:sz="4" w:space="0" w:color="8EA9DB"/>
              <w:right w:val="nil"/>
            </w:tcBorders>
            <w:shd w:val="clear" w:color="auto" w:fill="auto"/>
            <w:noWrap/>
            <w:vAlign w:val="bottom"/>
            <w:hideMark/>
          </w:tcPr>
          <w:p w14:paraId="1CDA8E60"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19.46%</w:t>
            </w:r>
          </w:p>
        </w:tc>
        <w:tc>
          <w:tcPr>
            <w:tcW w:w="1542" w:type="dxa"/>
            <w:tcBorders>
              <w:top w:val="nil"/>
              <w:left w:val="nil"/>
              <w:bottom w:val="single" w:sz="4" w:space="0" w:color="8EA9DB"/>
              <w:right w:val="nil"/>
            </w:tcBorders>
            <w:shd w:val="clear" w:color="auto" w:fill="auto"/>
            <w:noWrap/>
            <w:vAlign w:val="bottom"/>
            <w:hideMark/>
          </w:tcPr>
          <w:p w14:paraId="0794C65B"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19438850</w:t>
            </w:r>
          </w:p>
        </w:tc>
        <w:tc>
          <w:tcPr>
            <w:tcW w:w="2728" w:type="dxa"/>
            <w:tcBorders>
              <w:top w:val="nil"/>
              <w:left w:val="nil"/>
              <w:bottom w:val="single" w:sz="4" w:space="0" w:color="8EA9DB"/>
              <w:right w:val="nil"/>
            </w:tcBorders>
            <w:shd w:val="clear" w:color="auto" w:fill="auto"/>
            <w:noWrap/>
            <w:vAlign w:val="bottom"/>
            <w:hideMark/>
          </w:tcPr>
          <w:p w14:paraId="718A3D7D"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155178.5</w:t>
            </w:r>
          </w:p>
        </w:tc>
      </w:tr>
      <w:tr w:rsidR="00D3643D" w:rsidRPr="00D3643D" w14:paraId="66410EF4" w14:textId="77777777" w:rsidTr="00D3643D">
        <w:trPr>
          <w:trHeight w:val="285"/>
        </w:trPr>
        <w:tc>
          <w:tcPr>
            <w:tcW w:w="789" w:type="dxa"/>
            <w:tcBorders>
              <w:top w:val="single" w:sz="4" w:space="0" w:color="8EA9DB"/>
              <w:left w:val="nil"/>
              <w:bottom w:val="nil"/>
              <w:right w:val="nil"/>
            </w:tcBorders>
            <w:shd w:val="clear" w:color="D9E1F2" w:fill="D9E1F2"/>
            <w:noWrap/>
            <w:vAlign w:val="bottom"/>
            <w:hideMark/>
          </w:tcPr>
          <w:p w14:paraId="61599FB7"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Grand Total</w:t>
            </w:r>
          </w:p>
        </w:tc>
        <w:tc>
          <w:tcPr>
            <w:tcW w:w="1162" w:type="dxa"/>
            <w:tcBorders>
              <w:top w:val="single" w:sz="4" w:space="0" w:color="8EA9DB"/>
              <w:left w:val="nil"/>
              <w:bottom w:val="nil"/>
              <w:right w:val="nil"/>
            </w:tcBorders>
            <w:shd w:val="clear" w:color="D9E1F2" w:fill="D9E1F2"/>
            <w:noWrap/>
            <w:vAlign w:val="bottom"/>
            <w:hideMark/>
          </w:tcPr>
          <w:p w14:paraId="46512737"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100.00%</w:t>
            </w:r>
          </w:p>
        </w:tc>
        <w:tc>
          <w:tcPr>
            <w:tcW w:w="1504" w:type="dxa"/>
            <w:tcBorders>
              <w:top w:val="single" w:sz="4" w:space="0" w:color="8EA9DB"/>
              <w:left w:val="nil"/>
              <w:bottom w:val="nil"/>
              <w:right w:val="nil"/>
            </w:tcBorders>
            <w:shd w:val="clear" w:color="D9E1F2" w:fill="D9E1F2"/>
            <w:noWrap/>
            <w:vAlign w:val="bottom"/>
            <w:hideMark/>
          </w:tcPr>
          <w:p w14:paraId="325A4CDC" w14:textId="77777777" w:rsidR="00D3643D" w:rsidRPr="00D3643D" w:rsidRDefault="00D3643D" w:rsidP="00D3643D">
            <w:pPr>
              <w:spacing w:after="0" w:line="240" w:lineRule="auto"/>
              <w:rPr>
                <w:rFonts w:ascii="Calibri" w:eastAsia="Times New Roman" w:hAnsi="Calibri" w:cs="Calibri"/>
                <w:b/>
                <w:bCs/>
                <w:color w:val="000000"/>
              </w:rPr>
            </w:pPr>
            <w:r w:rsidRPr="00D3643D">
              <w:rPr>
                <w:rFonts w:ascii="Calibri" w:eastAsia="Times New Roman" w:hAnsi="Calibri" w:cs="Calibri"/>
                <w:b/>
                <w:bCs/>
                <w:color w:val="000000"/>
              </w:rPr>
              <w:t xml:space="preserve"> ₦    84,479,450.00 </w:t>
            </w:r>
          </w:p>
        </w:tc>
        <w:tc>
          <w:tcPr>
            <w:tcW w:w="1494" w:type="dxa"/>
            <w:tcBorders>
              <w:top w:val="single" w:sz="4" w:space="0" w:color="8EA9DB"/>
              <w:left w:val="nil"/>
              <w:bottom w:val="nil"/>
              <w:right w:val="nil"/>
            </w:tcBorders>
            <w:shd w:val="clear" w:color="D9E1F2" w:fill="D9E1F2"/>
            <w:noWrap/>
            <w:vAlign w:val="bottom"/>
            <w:hideMark/>
          </w:tcPr>
          <w:p w14:paraId="4D4372A1"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175638.2</w:t>
            </w:r>
          </w:p>
        </w:tc>
        <w:tc>
          <w:tcPr>
            <w:tcW w:w="1426" w:type="dxa"/>
            <w:tcBorders>
              <w:top w:val="single" w:sz="4" w:space="0" w:color="8EA9DB"/>
              <w:left w:val="nil"/>
              <w:bottom w:val="nil"/>
              <w:right w:val="nil"/>
            </w:tcBorders>
            <w:shd w:val="clear" w:color="D9E1F2" w:fill="D9E1F2"/>
            <w:noWrap/>
            <w:vAlign w:val="bottom"/>
            <w:hideMark/>
          </w:tcPr>
          <w:p w14:paraId="2F917B1B"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100.00%</w:t>
            </w:r>
          </w:p>
        </w:tc>
        <w:tc>
          <w:tcPr>
            <w:tcW w:w="1542" w:type="dxa"/>
            <w:tcBorders>
              <w:top w:val="single" w:sz="4" w:space="0" w:color="8EA9DB"/>
              <w:left w:val="nil"/>
              <w:bottom w:val="nil"/>
              <w:right w:val="nil"/>
            </w:tcBorders>
            <w:shd w:val="clear" w:color="D9E1F2" w:fill="D9E1F2"/>
            <w:noWrap/>
            <w:vAlign w:val="bottom"/>
            <w:hideMark/>
          </w:tcPr>
          <w:p w14:paraId="7B2C94DE"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84479450</w:t>
            </w:r>
          </w:p>
        </w:tc>
        <w:tc>
          <w:tcPr>
            <w:tcW w:w="2728" w:type="dxa"/>
            <w:tcBorders>
              <w:top w:val="single" w:sz="4" w:space="0" w:color="8EA9DB"/>
              <w:left w:val="nil"/>
              <w:bottom w:val="nil"/>
              <w:right w:val="nil"/>
            </w:tcBorders>
            <w:shd w:val="clear" w:color="D9E1F2" w:fill="D9E1F2"/>
            <w:noWrap/>
            <w:vAlign w:val="bottom"/>
            <w:hideMark/>
          </w:tcPr>
          <w:p w14:paraId="78581596" w14:textId="77777777" w:rsidR="00D3643D" w:rsidRPr="00D3643D" w:rsidRDefault="00D3643D" w:rsidP="00D3643D">
            <w:pPr>
              <w:spacing w:after="0" w:line="240" w:lineRule="auto"/>
              <w:jc w:val="right"/>
              <w:rPr>
                <w:rFonts w:ascii="Calibri" w:eastAsia="Times New Roman" w:hAnsi="Calibri" w:cs="Calibri"/>
                <w:b/>
                <w:bCs/>
                <w:color w:val="000000"/>
              </w:rPr>
            </w:pPr>
            <w:r w:rsidRPr="00D3643D">
              <w:rPr>
                <w:rFonts w:ascii="Calibri" w:eastAsia="Times New Roman" w:hAnsi="Calibri" w:cs="Calibri"/>
                <w:b/>
                <w:bCs/>
                <w:color w:val="000000"/>
              </w:rPr>
              <w:t>175638.2</w:t>
            </w:r>
          </w:p>
        </w:tc>
      </w:tr>
    </w:tbl>
    <w:p w14:paraId="0963A237" w14:textId="5B2669AC" w:rsidR="008320B7" w:rsidRPr="008320B7" w:rsidRDefault="008320B7" w:rsidP="00325789">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analysis shows variation in loan activity throughout the </w:t>
      </w:r>
      <w:r w:rsidR="00D3643D">
        <w:rPr>
          <w:rFonts w:ascii="Times New Roman" w:eastAsia="Times New Roman" w:hAnsi="Times New Roman" w:cs="Times New Roman"/>
          <w:sz w:val="24"/>
          <w:szCs w:val="24"/>
        </w:rPr>
        <w:t>month</w:t>
      </w:r>
      <w:r w:rsidRPr="008320B7">
        <w:rPr>
          <w:rFonts w:ascii="Times New Roman" w:eastAsia="Times New Roman" w:hAnsi="Times New Roman" w:cs="Times New Roman"/>
          <w:sz w:val="24"/>
          <w:szCs w:val="24"/>
        </w:rPr>
        <w:t>, with a noticeable increase toward the later months.</w:t>
      </w:r>
    </w:p>
    <w:p w14:paraId="4E52D51F" w14:textId="77777777" w:rsidR="008320B7" w:rsidRPr="008320B7" w:rsidRDefault="008320B7" w:rsidP="00325789">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Business Insight</w:t>
      </w:r>
    </w:p>
    <w:p w14:paraId="5AC6E87E" w14:textId="433A52D0" w:rsidR="008320B7" w:rsidRPr="008320B7" w:rsidRDefault="008320B7" w:rsidP="00325789">
      <w:pPr>
        <w:spacing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Changes in loan disbursement activity indicate periods of increased lending and therefore potentially increased portfolio exposure.</w:t>
      </w:r>
      <w:r w:rsidR="00C4263C" w:rsidRPr="00C4263C">
        <w:t xml:space="preserve"> </w:t>
      </w:r>
      <w:r w:rsidR="00C4263C" w:rsidRPr="00C4263C">
        <w:rPr>
          <w:rFonts w:ascii="Times New Roman" w:hAnsi="Times New Roman" w:cs="Times New Roman"/>
          <w:sz w:val="24"/>
          <w:szCs w:val="24"/>
        </w:rPr>
        <w:t>Th</w:t>
      </w:r>
      <w:r w:rsidR="00C4263C" w:rsidRPr="00C4263C">
        <w:rPr>
          <w:rFonts w:ascii="Times New Roman" w:hAnsi="Times New Roman" w:cs="Times New Roman"/>
          <w:sz w:val="24"/>
          <w:szCs w:val="24"/>
        </w:rPr>
        <w:t xml:space="preserve">is shows </w:t>
      </w:r>
      <w:r w:rsidR="00C4263C" w:rsidRPr="00C4263C">
        <w:rPr>
          <w:rFonts w:ascii="Times New Roman" w:hAnsi="Times New Roman" w:cs="Times New Roman"/>
          <w:sz w:val="24"/>
          <w:szCs w:val="24"/>
        </w:rPr>
        <w:t>indicates strong portfolio growth over time, accompanied by an increase in adverse loans. This suggests that portfolio expansion should be monitored alongside credit-risk indicators to determine whether risk is increasing disproportionately to lending activity.</w:t>
      </w:r>
    </w:p>
    <w:p w14:paraId="1DB71EDF" w14:textId="77777777" w:rsidR="00C4263C" w:rsidRDefault="008320B7" w:rsidP="00325789">
      <w:pPr>
        <w:spacing w:before="100" w:beforeAutospacing="1" w:after="100" w:afterAutospacing="1"/>
        <w:jc w:val="both"/>
        <w:outlineLvl w:val="2"/>
      </w:pPr>
      <w:r w:rsidRPr="008320B7">
        <w:rPr>
          <w:rFonts w:ascii="Times New Roman" w:eastAsia="Times New Roman" w:hAnsi="Times New Roman" w:cs="Times New Roman"/>
          <w:b/>
          <w:bCs/>
          <w:sz w:val="24"/>
          <w:szCs w:val="24"/>
        </w:rPr>
        <w:lastRenderedPageBreak/>
        <w:t>Recommendation</w:t>
      </w:r>
      <w:r w:rsidR="00C4263C" w:rsidRPr="00C4263C">
        <w:t xml:space="preserve"> </w:t>
      </w:r>
    </w:p>
    <w:p w14:paraId="6D71297D" w14:textId="3368F589" w:rsidR="008320B7" w:rsidRPr="008320B7" w:rsidRDefault="00C4263C" w:rsidP="00A31084">
      <w:pPr>
        <w:spacing w:before="100" w:beforeAutospacing="1" w:after="100" w:afterAutospacing="1"/>
        <w:jc w:val="both"/>
        <w:outlineLvl w:val="2"/>
        <w:rPr>
          <w:rFonts w:ascii="Times New Roman" w:eastAsia="Times New Roman" w:hAnsi="Times New Roman" w:cs="Times New Roman"/>
          <w:b/>
          <w:bCs/>
          <w:sz w:val="24"/>
          <w:szCs w:val="24"/>
        </w:rPr>
      </w:pPr>
      <w:r w:rsidRPr="00C4263C">
        <w:rPr>
          <w:rFonts w:ascii="Times New Roman" w:hAnsi="Times New Roman" w:cs="Times New Roman"/>
          <w:sz w:val="24"/>
          <w:szCs w:val="24"/>
        </w:rPr>
        <w:t>Management should establish regular portfolio monitoring that tracks loan growth, adverse-loan rates, and outstanding principal simultaneously. If risk increases disproportionately, lending standards, portfolio concentration, and risk appetite should be reviewed</w:t>
      </w:r>
      <w:r>
        <w:t>.</w:t>
      </w:r>
    </w:p>
    <w:p w14:paraId="2951881D" w14:textId="77777777" w:rsidR="008320B7" w:rsidRPr="008320B7" w:rsidRDefault="008320B7" w:rsidP="00A31084">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t>18. Recommendations</w:t>
      </w:r>
    </w:p>
    <w:p w14:paraId="37DF82FF"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Based on the analysis, the following recommendations are proposed.</w:t>
      </w:r>
    </w:p>
    <w:p w14:paraId="14B14EE6" w14:textId="77777777" w:rsidR="008320B7" w:rsidRPr="008320B7" w:rsidRDefault="008320B7" w:rsidP="00A31084">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Strengthen early-warning monitoring</w:t>
      </w:r>
    </w:p>
    <w:p w14:paraId="712C945C"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At-risk loans should be monitored proactively so that appropriate intervention can occur before deterioration into more serious adverse outcomes.</w:t>
      </w:r>
    </w:p>
    <w:p w14:paraId="56448036" w14:textId="77777777" w:rsidR="008320B7" w:rsidRPr="008320B7" w:rsidRDefault="008320B7" w:rsidP="00A31084">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Prioritize high-exposure risky loans</w:t>
      </w:r>
    </w:p>
    <w:p w14:paraId="1CF77BF3"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Risk management should consider both risk classification and outstanding principal when prioritizing monitoring and recovery.</w:t>
      </w:r>
    </w:p>
    <w:p w14:paraId="5D5AD512" w14:textId="77777777" w:rsidR="008320B7" w:rsidRPr="008320B7" w:rsidRDefault="008320B7" w:rsidP="00A31084">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Review loan-grade performance</w:t>
      </w:r>
    </w:p>
    <w:p w14:paraId="00ACEB6F"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Management should regularly evaluate adverse rates across loan grades to identify segments requiring closer underwriting or portfolio monitoring.</w:t>
      </w:r>
    </w:p>
    <w:p w14:paraId="04D0B747" w14:textId="77777777" w:rsidR="008320B7" w:rsidRPr="008320B7" w:rsidRDefault="008320B7" w:rsidP="00A31084">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Monitor borrower affordability</w:t>
      </w:r>
    </w:p>
    <w:p w14:paraId="5613C9E0"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DTI should be incorporated into borrower affordability </w:t>
      </w:r>
      <w:proofErr w:type="gramStart"/>
      <w:r w:rsidRPr="008320B7">
        <w:rPr>
          <w:rFonts w:ascii="Times New Roman" w:eastAsia="Times New Roman" w:hAnsi="Times New Roman" w:cs="Times New Roman"/>
          <w:sz w:val="24"/>
          <w:szCs w:val="24"/>
        </w:rPr>
        <w:t>analysis,</w:t>
      </w:r>
      <w:proofErr w:type="gramEnd"/>
      <w:r w:rsidRPr="008320B7">
        <w:rPr>
          <w:rFonts w:ascii="Times New Roman" w:eastAsia="Times New Roman" w:hAnsi="Times New Roman" w:cs="Times New Roman"/>
          <w:sz w:val="24"/>
          <w:szCs w:val="24"/>
        </w:rPr>
        <w:t xml:space="preserve"> particularly where historical data demonstrates an association between higher DTI and adverse outcomes.</w:t>
      </w:r>
    </w:p>
    <w:p w14:paraId="50348CB8" w14:textId="77777777" w:rsidR="008320B7" w:rsidRPr="008320B7" w:rsidRDefault="008320B7" w:rsidP="00A31084">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Review risk-based pricing</w:t>
      </w:r>
    </w:p>
    <w:p w14:paraId="0B07507B"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Interest rates should be analyzed against loan grades and observed performance to support appropriate risk-based pricing.</w:t>
      </w:r>
    </w:p>
    <w:p w14:paraId="32A725CC" w14:textId="77777777" w:rsidR="008320B7" w:rsidRPr="008320B7" w:rsidRDefault="008320B7" w:rsidP="00A31084">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Monitor portfolio growth</w:t>
      </w:r>
    </w:p>
    <w:p w14:paraId="5161D5E8"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Periods of rapid loan disbursement should be evaluated alongside changes in adverse rates and outstanding balances.</w:t>
      </w:r>
    </w:p>
    <w:p w14:paraId="3157F41B" w14:textId="77777777" w:rsidR="008320B7" w:rsidRPr="008320B7" w:rsidRDefault="008320B7" w:rsidP="00A31084">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Improve data-driven decision-making</w:t>
      </w:r>
    </w:p>
    <w:p w14:paraId="163C8CF3"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lastRenderedPageBreak/>
        <w:t>Management should continue using dashboards and periodic portfolio reporting to identify emerging trends rather than relying solely on manual review.</w:t>
      </w:r>
    </w:p>
    <w:p w14:paraId="61F06166" w14:textId="77777777" w:rsidR="008320B7" w:rsidRPr="008320B7" w:rsidRDefault="008320B7" w:rsidP="00A31084">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t>19. Business Value of the Project</w:t>
      </w:r>
    </w:p>
    <w:p w14:paraId="5DD564C3"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project provides several potential benefits to the financial institution.</w:t>
      </w:r>
    </w:p>
    <w:p w14:paraId="5E877D75" w14:textId="77777777" w:rsidR="008320B7" w:rsidRPr="008320B7" w:rsidRDefault="008320B7" w:rsidP="00A31084">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Credit Risk Management</w:t>
      </w:r>
    </w:p>
    <w:p w14:paraId="0EE4CB92"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dashboard helps identify loan segments requiring closer monitoring.</w:t>
      </w:r>
    </w:p>
    <w:p w14:paraId="7A626040" w14:textId="77777777" w:rsidR="008320B7" w:rsidRPr="008320B7" w:rsidRDefault="008320B7" w:rsidP="00A31084">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Portfolio Management</w:t>
      </w:r>
    </w:p>
    <w:p w14:paraId="2B136AA4"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Management can monitor loan volume, performance, and outstanding exposure.</w:t>
      </w:r>
    </w:p>
    <w:p w14:paraId="22EEE4EE" w14:textId="77777777" w:rsidR="008320B7" w:rsidRPr="008320B7" w:rsidRDefault="008320B7" w:rsidP="00A31084">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Underwriting</w:t>
      </w:r>
    </w:p>
    <w:p w14:paraId="41D13FA6"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Borrower characteristics such as income and DTI can be incorporated into affordability analysis.</w:t>
      </w:r>
    </w:p>
    <w:p w14:paraId="13839E32" w14:textId="77777777" w:rsidR="008320B7" w:rsidRPr="008320B7" w:rsidRDefault="008320B7" w:rsidP="00A31084">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Recovery Management</w:t>
      </w:r>
    </w:p>
    <w:p w14:paraId="3B58A44E"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Outstanding principal and adverse-loan analysis can help prioritize appropriate recovery activities.</w:t>
      </w:r>
    </w:p>
    <w:p w14:paraId="52A40A65" w14:textId="77777777" w:rsidR="008320B7" w:rsidRPr="008320B7" w:rsidRDefault="008320B7" w:rsidP="00A31084">
      <w:pPr>
        <w:spacing w:before="100" w:beforeAutospacing="1" w:after="100" w:afterAutospacing="1"/>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Management Reporting</w:t>
      </w:r>
    </w:p>
    <w:p w14:paraId="0EED4413" w14:textId="5D54EF59"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interactive dashboard provides a concise way of communicating portfolio performance to decision-makers.</w:t>
      </w:r>
    </w:p>
    <w:p w14:paraId="3F594506" w14:textId="77777777" w:rsidR="008320B7" w:rsidRPr="008320B7" w:rsidRDefault="008320B7" w:rsidP="00A31084">
      <w:pPr>
        <w:spacing w:before="100" w:beforeAutospacing="1" w:after="100" w:afterAutospacing="1" w:line="240" w:lineRule="auto"/>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t>20. Tools and Techniques Used</w:t>
      </w:r>
    </w:p>
    <w:p w14:paraId="5EB9D2E4" w14:textId="77777777" w:rsidR="008320B7" w:rsidRPr="008320B7" w:rsidRDefault="008320B7" w:rsidP="00A3108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Software</w:t>
      </w:r>
    </w:p>
    <w:p w14:paraId="19DC5B42" w14:textId="77777777" w:rsidR="008320B7" w:rsidRPr="008320B7" w:rsidRDefault="008320B7" w:rsidP="00A31084">
      <w:pPr>
        <w:spacing w:before="100" w:beforeAutospacing="1" w:after="100" w:afterAutospacing="1" w:line="240" w:lineRule="auto"/>
        <w:jc w:val="both"/>
        <w:rPr>
          <w:rFonts w:ascii="Times New Roman" w:eastAsia="Times New Roman" w:hAnsi="Times New Roman" w:cs="Times New Roman"/>
          <w:sz w:val="24"/>
          <w:szCs w:val="24"/>
        </w:rPr>
      </w:pPr>
      <w:r w:rsidRPr="008320B7">
        <w:rPr>
          <w:rFonts w:ascii="Times New Roman" w:eastAsia="Times New Roman" w:hAnsi="Times New Roman" w:cs="Times New Roman"/>
          <w:b/>
          <w:bCs/>
          <w:sz w:val="24"/>
          <w:szCs w:val="24"/>
        </w:rPr>
        <w:t>Microsoft Excel</w:t>
      </w:r>
    </w:p>
    <w:p w14:paraId="35A5B211" w14:textId="77777777" w:rsidR="008320B7" w:rsidRPr="008320B7" w:rsidRDefault="008320B7" w:rsidP="00A31084">
      <w:pPr>
        <w:spacing w:before="100" w:beforeAutospacing="1" w:after="100" w:afterAutospacing="1" w:line="240" w:lineRule="auto"/>
        <w:jc w:val="both"/>
        <w:outlineLvl w:val="2"/>
        <w:rPr>
          <w:rFonts w:ascii="Times New Roman" w:eastAsia="Times New Roman" w:hAnsi="Times New Roman" w:cs="Times New Roman"/>
          <w:b/>
          <w:bCs/>
          <w:sz w:val="24"/>
          <w:szCs w:val="24"/>
        </w:rPr>
      </w:pPr>
      <w:r w:rsidRPr="008320B7">
        <w:rPr>
          <w:rFonts w:ascii="Times New Roman" w:eastAsia="Times New Roman" w:hAnsi="Times New Roman" w:cs="Times New Roman"/>
          <w:b/>
          <w:bCs/>
          <w:sz w:val="24"/>
          <w:szCs w:val="24"/>
        </w:rPr>
        <w:t>Techniques</w:t>
      </w:r>
    </w:p>
    <w:p w14:paraId="30AD0DC5" w14:textId="77777777" w:rsidR="008320B7" w:rsidRPr="008320B7" w:rsidRDefault="008320B7" w:rsidP="00A3108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Data cleaning </w:t>
      </w:r>
    </w:p>
    <w:p w14:paraId="79F5FF00" w14:textId="77777777" w:rsidR="008320B7" w:rsidRPr="008320B7" w:rsidRDefault="008320B7" w:rsidP="00A3108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Data validation </w:t>
      </w:r>
    </w:p>
    <w:p w14:paraId="6D44AB4B" w14:textId="77777777" w:rsidR="008320B7" w:rsidRPr="008320B7" w:rsidRDefault="008320B7" w:rsidP="00A3108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Calculated columns </w:t>
      </w:r>
    </w:p>
    <w:p w14:paraId="7E6C45AB" w14:textId="77777777" w:rsidR="008320B7" w:rsidRPr="008320B7" w:rsidRDefault="008320B7" w:rsidP="00A3108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Excel formulas </w:t>
      </w:r>
    </w:p>
    <w:p w14:paraId="1AB9A0D7" w14:textId="77777777" w:rsidR="008320B7" w:rsidRPr="008320B7" w:rsidRDefault="008320B7" w:rsidP="00A3108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PivotTables </w:t>
      </w:r>
    </w:p>
    <w:p w14:paraId="5E5C2B59" w14:textId="77777777" w:rsidR="008320B7" w:rsidRPr="008320B7" w:rsidRDefault="008320B7" w:rsidP="00A3108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8320B7">
        <w:rPr>
          <w:rFonts w:ascii="Times New Roman" w:eastAsia="Times New Roman" w:hAnsi="Times New Roman" w:cs="Times New Roman"/>
          <w:sz w:val="24"/>
          <w:szCs w:val="24"/>
        </w:rPr>
        <w:t>PivotCharts</w:t>
      </w:r>
      <w:proofErr w:type="spellEnd"/>
      <w:r w:rsidRPr="008320B7">
        <w:rPr>
          <w:rFonts w:ascii="Times New Roman" w:eastAsia="Times New Roman" w:hAnsi="Times New Roman" w:cs="Times New Roman"/>
          <w:sz w:val="24"/>
          <w:szCs w:val="24"/>
        </w:rPr>
        <w:t xml:space="preserve"> </w:t>
      </w:r>
    </w:p>
    <w:p w14:paraId="10F7EDF8" w14:textId="77777777" w:rsidR="008320B7" w:rsidRPr="008320B7" w:rsidRDefault="008320B7" w:rsidP="00A3108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KPI cards </w:t>
      </w:r>
    </w:p>
    <w:p w14:paraId="12710782" w14:textId="77777777" w:rsidR="008320B7" w:rsidRPr="008320B7" w:rsidRDefault="008320B7" w:rsidP="00A3108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Slicers </w:t>
      </w:r>
    </w:p>
    <w:p w14:paraId="1539B37C" w14:textId="77777777" w:rsidR="008320B7" w:rsidRPr="008320B7" w:rsidRDefault="008320B7" w:rsidP="00A3108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lastRenderedPageBreak/>
        <w:t xml:space="preserve">Dashboard design </w:t>
      </w:r>
    </w:p>
    <w:p w14:paraId="61A76ACB" w14:textId="77777777" w:rsidR="008320B7" w:rsidRPr="008320B7" w:rsidRDefault="008320B7" w:rsidP="00A31084">
      <w:pPr>
        <w:numPr>
          <w:ilvl w:val="0"/>
          <w:numId w:val="10"/>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Descriptive analysis </w:t>
      </w:r>
    </w:p>
    <w:p w14:paraId="6EB8EA46" w14:textId="77777777" w:rsidR="008320B7" w:rsidRPr="008320B7" w:rsidRDefault="008320B7" w:rsidP="00A3108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Risk segmentation </w:t>
      </w:r>
    </w:p>
    <w:p w14:paraId="78868319" w14:textId="30C48FF7" w:rsidR="008320B7" w:rsidRPr="008320B7" w:rsidRDefault="008320B7" w:rsidP="00A31084">
      <w:pPr>
        <w:numPr>
          <w:ilvl w:val="0"/>
          <w:numId w:val="10"/>
        </w:numPr>
        <w:spacing w:before="100" w:beforeAutospacing="1" w:after="100" w:afterAutospacing="1" w:line="240" w:lineRule="auto"/>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Business interpretation </w:t>
      </w:r>
    </w:p>
    <w:p w14:paraId="5B603F48" w14:textId="77777777" w:rsidR="008320B7" w:rsidRPr="008320B7" w:rsidRDefault="008320B7" w:rsidP="00A31084">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t>21. Dashboard Design</w:t>
      </w:r>
    </w:p>
    <w:p w14:paraId="166887E6"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dashboard was designed to provide management with a single-page overview of the loan portfolio.</w:t>
      </w:r>
    </w:p>
    <w:p w14:paraId="433234C2"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The major dashboard components include:</w:t>
      </w:r>
    </w:p>
    <w:p w14:paraId="781EC4C6"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b/>
          <w:bCs/>
          <w:sz w:val="24"/>
          <w:szCs w:val="24"/>
        </w:rPr>
        <w:t>KPI Cards</w:t>
      </w:r>
    </w:p>
    <w:p w14:paraId="4F6FD903" w14:textId="77777777" w:rsidR="008320B7" w:rsidRPr="008320B7" w:rsidRDefault="008320B7" w:rsidP="00A31084">
      <w:pPr>
        <w:numPr>
          <w:ilvl w:val="0"/>
          <w:numId w:val="11"/>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Performing </w:t>
      </w:r>
    </w:p>
    <w:p w14:paraId="10E53650" w14:textId="77777777" w:rsidR="008320B7" w:rsidRPr="008320B7" w:rsidRDefault="008320B7" w:rsidP="00A31084">
      <w:pPr>
        <w:numPr>
          <w:ilvl w:val="0"/>
          <w:numId w:val="11"/>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Adverse </w:t>
      </w:r>
    </w:p>
    <w:p w14:paraId="446155F5" w14:textId="77777777" w:rsidR="008320B7" w:rsidRPr="008320B7" w:rsidRDefault="008320B7" w:rsidP="00A31084">
      <w:pPr>
        <w:numPr>
          <w:ilvl w:val="0"/>
          <w:numId w:val="11"/>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At Risk </w:t>
      </w:r>
    </w:p>
    <w:p w14:paraId="652B6900" w14:textId="77777777" w:rsidR="008320B7" w:rsidRPr="008320B7" w:rsidRDefault="008320B7" w:rsidP="00A31084">
      <w:pPr>
        <w:numPr>
          <w:ilvl w:val="0"/>
          <w:numId w:val="11"/>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Total Count </w:t>
      </w:r>
    </w:p>
    <w:p w14:paraId="4D680C67"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b/>
          <w:bCs/>
          <w:sz w:val="24"/>
          <w:szCs w:val="24"/>
        </w:rPr>
        <w:t>Charts</w:t>
      </w:r>
    </w:p>
    <w:p w14:paraId="2BB0985F" w14:textId="77777777" w:rsidR="008320B7" w:rsidRPr="008320B7" w:rsidRDefault="008320B7" w:rsidP="00A31084">
      <w:pPr>
        <w:numPr>
          <w:ilvl w:val="0"/>
          <w:numId w:val="1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Loan Disbursement by Date </w:t>
      </w:r>
    </w:p>
    <w:p w14:paraId="30D23CE5" w14:textId="77777777" w:rsidR="008320B7" w:rsidRPr="008320B7" w:rsidRDefault="008320B7" w:rsidP="00A31084">
      <w:pPr>
        <w:numPr>
          <w:ilvl w:val="0"/>
          <w:numId w:val="1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Average Interest Rate by Loan Grade </w:t>
      </w:r>
    </w:p>
    <w:p w14:paraId="0C76E281" w14:textId="77777777" w:rsidR="008320B7" w:rsidRPr="008320B7" w:rsidRDefault="008320B7" w:rsidP="00A31084">
      <w:pPr>
        <w:numPr>
          <w:ilvl w:val="0"/>
          <w:numId w:val="1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Outstanding Principal by Loan Grade </w:t>
      </w:r>
    </w:p>
    <w:p w14:paraId="47DC2303" w14:textId="77777777" w:rsidR="008320B7" w:rsidRPr="008320B7" w:rsidRDefault="008320B7" w:rsidP="00A31084">
      <w:pPr>
        <w:numPr>
          <w:ilvl w:val="0"/>
          <w:numId w:val="1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Borrower Distribution by DTI Category </w:t>
      </w:r>
    </w:p>
    <w:p w14:paraId="6338141D" w14:textId="77777777" w:rsidR="008320B7" w:rsidRPr="008320B7" w:rsidRDefault="008320B7" w:rsidP="00A31084">
      <w:pPr>
        <w:numPr>
          <w:ilvl w:val="0"/>
          <w:numId w:val="12"/>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Loan Grade Performance </w:t>
      </w:r>
    </w:p>
    <w:p w14:paraId="79687732"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b/>
          <w:bCs/>
          <w:sz w:val="24"/>
          <w:szCs w:val="24"/>
        </w:rPr>
        <w:t>Interactive Filters</w:t>
      </w:r>
    </w:p>
    <w:p w14:paraId="37B1B120" w14:textId="77777777" w:rsidR="008320B7" w:rsidRPr="008320B7" w:rsidRDefault="008320B7" w:rsidP="00A31084">
      <w:pPr>
        <w:numPr>
          <w:ilvl w:val="0"/>
          <w:numId w:val="13"/>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Home Ownership </w:t>
      </w:r>
    </w:p>
    <w:p w14:paraId="36E4EB1F" w14:textId="77777777" w:rsidR="008320B7" w:rsidRPr="008320B7" w:rsidRDefault="008320B7" w:rsidP="00A31084">
      <w:pPr>
        <w:numPr>
          <w:ilvl w:val="0"/>
          <w:numId w:val="13"/>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Loan Grade </w:t>
      </w:r>
    </w:p>
    <w:p w14:paraId="071CDD94" w14:textId="77777777" w:rsidR="008320B7" w:rsidRPr="008320B7" w:rsidRDefault="008320B7" w:rsidP="00A31084">
      <w:pPr>
        <w:numPr>
          <w:ilvl w:val="0"/>
          <w:numId w:val="13"/>
        </w:num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Verification Status </w:t>
      </w:r>
    </w:p>
    <w:p w14:paraId="6EF13C0D" w14:textId="1DA6D364"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This design allows users to move from a </w:t>
      </w:r>
      <w:r w:rsidRPr="008320B7">
        <w:rPr>
          <w:rFonts w:ascii="Times New Roman" w:eastAsia="Times New Roman" w:hAnsi="Times New Roman" w:cs="Times New Roman"/>
          <w:b/>
          <w:bCs/>
          <w:sz w:val="24"/>
          <w:szCs w:val="24"/>
        </w:rPr>
        <w:t>high-level portfolio overview to more detailed segment analysis</w:t>
      </w:r>
      <w:r w:rsidRPr="008320B7">
        <w:rPr>
          <w:rFonts w:ascii="Times New Roman" w:eastAsia="Times New Roman" w:hAnsi="Times New Roman" w:cs="Times New Roman"/>
          <w:sz w:val="24"/>
          <w:szCs w:val="24"/>
        </w:rPr>
        <w:t>.</w:t>
      </w:r>
    </w:p>
    <w:p w14:paraId="6EF6EE81" w14:textId="77777777" w:rsidR="00A31084" w:rsidRDefault="00A31084" w:rsidP="008320B7">
      <w:pPr>
        <w:spacing w:before="100" w:beforeAutospacing="1" w:after="100" w:afterAutospacing="1" w:line="240" w:lineRule="auto"/>
        <w:outlineLvl w:val="0"/>
        <w:rPr>
          <w:rFonts w:ascii="Times New Roman" w:eastAsia="Times New Roman" w:hAnsi="Times New Roman" w:cs="Times New Roman"/>
          <w:b/>
          <w:bCs/>
          <w:kern w:val="36"/>
          <w:sz w:val="48"/>
          <w:szCs w:val="48"/>
        </w:rPr>
      </w:pPr>
    </w:p>
    <w:p w14:paraId="1DB2F1E8" w14:textId="77777777" w:rsidR="00A31084" w:rsidRDefault="00A31084" w:rsidP="00A31084">
      <w:pPr>
        <w:spacing w:before="100" w:beforeAutospacing="1" w:after="100" w:afterAutospacing="1"/>
        <w:jc w:val="both"/>
        <w:outlineLvl w:val="0"/>
        <w:rPr>
          <w:rFonts w:ascii="Times New Roman" w:eastAsia="Times New Roman" w:hAnsi="Times New Roman" w:cs="Times New Roman"/>
          <w:b/>
          <w:bCs/>
          <w:kern w:val="36"/>
          <w:sz w:val="24"/>
          <w:szCs w:val="24"/>
        </w:rPr>
      </w:pPr>
    </w:p>
    <w:p w14:paraId="6689CE54" w14:textId="77777777" w:rsidR="00DC3399" w:rsidRDefault="00DC3399" w:rsidP="00A31084">
      <w:pPr>
        <w:spacing w:before="100" w:beforeAutospacing="1" w:after="100" w:afterAutospacing="1"/>
        <w:jc w:val="both"/>
        <w:outlineLvl w:val="0"/>
        <w:rPr>
          <w:rFonts w:ascii="Times New Roman" w:eastAsia="Times New Roman" w:hAnsi="Times New Roman" w:cs="Times New Roman"/>
          <w:b/>
          <w:bCs/>
          <w:kern w:val="36"/>
          <w:sz w:val="24"/>
          <w:szCs w:val="24"/>
        </w:rPr>
      </w:pPr>
    </w:p>
    <w:p w14:paraId="3799B0D7" w14:textId="46C74AB5" w:rsidR="008320B7" w:rsidRPr="008320B7" w:rsidRDefault="008320B7" w:rsidP="00A31084">
      <w:pPr>
        <w:spacing w:before="100" w:beforeAutospacing="1" w:after="100" w:afterAutospacing="1"/>
        <w:jc w:val="both"/>
        <w:outlineLvl w:val="0"/>
        <w:rPr>
          <w:rFonts w:ascii="Times New Roman" w:eastAsia="Times New Roman" w:hAnsi="Times New Roman" w:cs="Times New Roman"/>
          <w:b/>
          <w:bCs/>
          <w:kern w:val="36"/>
          <w:sz w:val="24"/>
          <w:szCs w:val="24"/>
        </w:rPr>
      </w:pPr>
      <w:r w:rsidRPr="008320B7">
        <w:rPr>
          <w:rFonts w:ascii="Times New Roman" w:eastAsia="Times New Roman" w:hAnsi="Times New Roman" w:cs="Times New Roman"/>
          <w:b/>
          <w:bCs/>
          <w:kern w:val="36"/>
          <w:sz w:val="24"/>
          <w:szCs w:val="24"/>
        </w:rPr>
        <w:lastRenderedPageBreak/>
        <w:t>22. Conclusion</w:t>
      </w:r>
    </w:p>
    <w:p w14:paraId="1E21F429"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w:t>
      </w:r>
      <w:r w:rsidRPr="008320B7">
        <w:rPr>
          <w:rFonts w:ascii="Times New Roman" w:eastAsia="Times New Roman" w:hAnsi="Times New Roman" w:cs="Times New Roman"/>
          <w:b/>
          <w:bCs/>
          <w:sz w:val="24"/>
          <w:szCs w:val="24"/>
        </w:rPr>
        <w:t>LOAN_INFO Loan Portfolio Risk Analysis</w:t>
      </w:r>
      <w:r w:rsidRPr="008320B7">
        <w:rPr>
          <w:rFonts w:ascii="Times New Roman" w:eastAsia="Times New Roman" w:hAnsi="Times New Roman" w:cs="Times New Roman"/>
          <w:sz w:val="24"/>
          <w:szCs w:val="24"/>
        </w:rPr>
        <w:t xml:space="preserve"> demonstrates how raw loan data can be transformed into useful business intelligence using Microsoft Excel.</w:t>
      </w:r>
    </w:p>
    <w:p w14:paraId="17A08A62"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analysis shows that the majority of the </w:t>
      </w:r>
      <w:r w:rsidRPr="008320B7">
        <w:rPr>
          <w:rFonts w:ascii="Times New Roman" w:eastAsia="Times New Roman" w:hAnsi="Times New Roman" w:cs="Times New Roman"/>
          <w:b/>
          <w:bCs/>
          <w:sz w:val="24"/>
          <w:szCs w:val="24"/>
        </w:rPr>
        <w:t>49,913-loan portfolio is classified as Performing</w:t>
      </w:r>
      <w:r w:rsidRPr="008320B7">
        <w:rPr>
          <w:rFonts w:ascii="Times New Roman" w:eastAsia="Times New Roman" w:hAnsi="Times New Roman" w:cs="Times New Roman"/>
          <w:sz w:val="24"/>
          <w:szCs w:val="24"/>
        </w:rPr>
        <w:t>, while a substantial group is classified as Adverse. The dashboard also provides visibility into loan-grade performance, outstanding principal exposure, borrower DTI distribution, interest-rate patterns, and disbursement activity.</w:t>
      </w:r>
    </w:p>
    <w:p w14:paraId="04E9A201" w14:textId="77777777"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most important lesson from the analysis is that loan portfolio risk should not be evaluated using a single metric. Management should consider </w:t>
      </w:r>
      <w:r w:rsidRPr="008320B7">
        <w:rPr>
          <w:rFonts w:ascii="Times New Roman" w:eastAsia="Times New Roman" w:hAnsi="Times New Roman" w:cs="Times New Roman"/>
          <w:b/>
          <w:bCs/>
          <w:sz w:val="24"/>
          <w:szCs w:val="24"/>
        </w:rPr>
        <w:t>loan performance, risk grade, outstanding exposure, borrower affordability, pricing, and portfolio growth together</w:t>
      </w:r>
      <w:r w:rsidRPr="008320B7">
        <w:rPr>
          <w:rFonts w:ascii="Times New Roman" w:eastAsia="Times New Roman" w:hAnsi="Times New Roman" w:cs="Times New Roman"/>
          <w:sz w:val="24"/>
          <w:szCs w:val="24"/>
        </w:rPr>
        <w:t>.</w:t>
      </w:r>
    </w:p>
    <w:p w14:paraId="0C857760" w14:textId="44EB67B9" w:rsidR="008320B7" w:rsidRPr="008320B7" w:rsidRDefault="008320B7" w:rsidP="00A31084">
      <w:pPr>
        <w:spacing w:before="100" w:beforeAutospacing="1" w:after="100" w:afterAutospacing="1"/>
        <w:jc w:val="both"/>
        <w:rPr>
          <w:rFonts w:ascii="Times New Roman" w:eastAsia="Times New Roman" w:hAnsi="Times New Roman" w:cs="Times New Roman"/>
          <w:sz w:val="24"/>
          <w:szCs w:val="24"/>
        </w:rPr>
      </w:pPr>
      <w:r w:rsidRPr="008320B7">
        <w:rPr>
          <w:rFonts w:ascii="Times New Roman" w:eastAsia="Times New Roman" w:hAnsi="Times New Roman" w:cs="Times New Roman"/>
          <w:sz w:val="24"/>
          <w:szCs w:val="24"/>
        </w:rPr>
        <w:t xml:space="preserve">The dashboard therefore provides a foundation for more informed </w:t>
      </w:r>
      <w:r w:rsidRPr="008320B7">
        <w:rPr>
          <w:rFonts w:ascii="Times New Roman" w:eastAsia="Times New Roman" w:hAnsi="Times New Roman" w:cs="Times New Roman"/>
          <w:b/>
          <w:bCs/>
          <w:sz w:val="24"/>
          <w:szCs w:val="24"/>
        </w:rPr>
        <w:t>credit-risk monitoring, underwriting analysis, portfolio management, and management reporting</w:t>
      </w:r>
      <w:r w:rsidRPr="008320B7">
        <w:rPr>
          <w:rFonts w:ascii="Times New Roman" w:eastAsia="Times New Roman" w:hAnsi="Times New Roman" w:cs="Times New Roman"/>
          <w:sz w:val="24"/>
          <w:szCs w:val="24"/>
        </w:rPr>
        <w:t>.</w:t>
      </w:r>
    </w:p>
    <w:p w14:paraId="0B71E2B1" w14:textId="200812DC" w:rsidR="008320B7" w:rsidRPr="008320B7" w:rsidRDefault="008320B7" w:rsidP="008320B7">
      <w:pPr>
        <w:spacing w:before="100" w:beforeAutospacing="1" w:after="100" w:afterAutospacing="1" w:line="240" w:lineRule="auto"/>
        <w:rPr>
          <w:rFonts w:ascii="Times New Roman" w:eastAsia="Times New Roman" w:hAnsi="Times New Roman" w:cs="Times New Roman"/>
          <w:sz w:val="24"/>
          <w:szCs w:val="24"/>
        </w:rPr>
      </w:pPr>
    </w:p>
    <w:p w14:paraId="56FF5679" w14:textId="77777777" w:rsidR="00C85B2D" w:rsidRDefault="00C85B2D"/>
    <w:sectPr w:rsidR="00C85B2D">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78DF29" w14:textId="77777777" w:rsidR="00DA4E53" w:rsidRDefault="00DA4E53" w:rsidP="00D656F1">
      <w:pPr>
        <w:spacing w:after="0" w:line="240" w:lineRule="auto"/>
      </w:pPr>
      <w:r>
        <w:separator/>
      </w:r>
    </w:p>
  </w:endnote>
  <w:endnote w:type="continuationSeparator" w:id="0">
    <w:p w14:paraId="4460CC2C" w14:textId="77777777" w:rsidR="00DA4E53" w:rsidRDefault="00DA4E53" w:rsidP="00D656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2C897D" w14:textId="77777777" w:rsidR="00DA4E53" w:rsidRDefault="00DA4E53" w:rsidP="00D656F1">
      <w:pPr>
        <w:spacing w:after="0" w:line="240" w:lineRule="auto"/>
      </w:pPr>
      <w:r>
        <w:separator/>
      </w:r>
    </w:p>
  </w:footnote>
  <w:footnote w:type="continuationSeparator" w:id="0">
    <w:p w14:paraId="48606DBF" w14:textId="77777777" w:rsidR="00DA4E53" w:rsidRDefault="00DA4E53" w:rsidP="00D656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2F156C"/>
    <w:multiLevelType w:val="multilevel"/>
    <w:tmpl w:val="20C81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46578"/>
    <w:multiLevelType w:val="multilevel"/>
    <w:tmpl w:val="129A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5946FC"/>
    <w:multiLevelType w:val="multilevel"/>
    <w:tmpl w:val="FCF4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A179D1"/>
    <w:multiLevelType w:val="multilevel"/>
    <w:tmpl w:val="2CBA2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DB240A8"/>
    <w:multiLevelType w:val="multilevel"/>
    <w:tmpl w:val="6030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B159B7"/>
    <w:multiLevelType w:val="multilevel"/>
    <w:tmpl w:val="2D9C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FA94E11"/>
    <w:multiLevelType w:val="multilevel"/>
    <w:tmpl w:val="5CF6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3B106EA"/>
    <w:multiLevelType w:val="multilevel"/>
    <w:tmpl w:val="F44CC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D44429D"/>
    <w:multiLevelType w:val="multilevel"/>
    <w:tmpl w:val="67F8F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B5916CB"/>
    <w:multiLevelType w:val="multilevel"/>
    <w:tmpl w:val="60B4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4E36E70"/>
    <w:multiLevelType w:val="multilevel"/>
    <w:tmpl w:val="3C08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6C0BF4"/>
    <w:multiLevelType w:val="multilevel"/>
    <w:tmpl w:val="A4A4BE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485ABC"/>
    <w:multiLevelType w:val="hybridMultilevel"/>
    <w:tmpl w:val="64EC36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F77483F"/>
    <w:multiLevelType w:val="multilevel"/>
    <w:tmpl w:val="C0CE4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3"/>
  </w:num>
  <w:num w:numId="3">
    <w:abstractNumId w:val="11"/>
  </w:num>
  <w:num w:numId="4">
    <w:abstractNumId w:val="5"/>
  </w:num>
  <w:num w:numId="5">
    <w:abstractNumId w:val="9"/>
  </w:num>
  <w:num w:numId="6">
    <w:abstractNumId w:val="7"/>
  </w:num>
  <w:num w:numId="7">
    <w:abstractNumId w:val="1"/>
  </w:num>
  <w:num w:numId="8">
    <w:abstractNumId w:val="2"/>
  </w:num>
  <w:num w:numId="9">
    <w:abstractNumId w:val="3"/>
  </w:num>
  <w:num w:numId="10">
    <w:abstractNumId w:val="4"/>
  </w:num>
  <w:num w:numId="11">
    <w:abstractNumId w:val="6"/>
  </w:num>
  <w:num w:numId="12">
    <w:abstractNumId w:val="8"/>
  </w:num>
  <w:num w:numId="13">
    <w:abstractNumId w:val="0"/>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20B7"/>
    <w:rsid w:val="000E0CB7"/>
    <w:rsid w:val="00264A84"/>
    <w:rsid w:val="00325789"/>
    <w:rsid w:val="00476E08"/>
    <w:rsid w:val="004A5561"/>
    <w:rsid w:val="00667BE1"/>
    <w:rsid w:val="008320B7"/>
    <w:rsid w:val="009579F9"/>
    <w:rsid w:val="009A42DA"/>
    <w:rsid w:val="009D5767"/>
    <w:rsid w:val="00A31084"/>
    <w:rsid w:val="00C4263C"/>
    <w:rsid w:val="00C85B2D"/>
    <w:rsid w:val="00C86B17"/>
    <w:rsid w:val="00D3643D"/>
    <w:rsid w:val="00D656F1"/>
    <w:rsid w:val="00DA4E53"/>
    <w:rsid w:val="00DC3399"/>
    <w:rsid w:val="00DD2A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0DE617"/>
  <w15:chartTrackingRefBased/>
  <w15:docId w15:val="{2DDE4499-043E-4AF8-B6A2-BDB81D2496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8320B7"/>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8320B7"/>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8320B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20B7"/>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8320B7"/>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8320B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8320B7"/>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320B7"/>
    <w:rPr>
      <w:b/>
      <w:bCs/>
    </w:rPr>
  </w:style>
  <w:style w:type="character" w:styleId="HTMLCode">
    <w:name w:val="HTML Code"/>
    <w:basedOn w:val="DefaultParagraphFont"/>
    <w:uiPriority w:val="99"/>
    <w:semiHidden/>
    <w:unhideWhenUsed/>
    <w:rsid w:val="008320B7"/>
    <w:rPr>
      <w:rFonts w:ascii="Courier New" w:eastAsia="Times New Roman" w:hAnsi="Courier New" w:cs="Courier New"/>
      <w:sz w:val="20"/>
      <w:szCs w:val="20"/>
    </w:rPr>
  </w:style>
  <w:style w:type="paragraph" w:styleId="Header">
    <w:name w:val="header"/>
    <w:basedOn w:val="Normal"/>
    <w:link w:val="HeaderChar"/>
    <w:uiPriority w:val="99"/>
    <w:unhideWhenUsed/>
    <w:rsid w:val="00D656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D656F1"/>
  </w:style>
  <w:style w:type="paragraph" w:styleId="Footer">
    <w:name w:val="footer"/>
    <w:basedOn w:val="Normal"/>
    <w:link w:val="FooterChar"/>
    <w:uiPriority w:val="99"/>
    <w:unhideWhenUsed/>
    <w:rsid w:val="00D656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D656F1"/>
  </w:style>
  <w:style w:type="paragraph" w:customStyle="1" w:styleId="pdq2pgselectionanchorcontainer">
    <w:name w:val="pdq2pg_selectionanchorcontainer"/>
    <w:basedOn w:val="Normal"/>
    <w:rsid w:val="004A556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99498">
      <w:bodyDiv w:val="1"/>
      <w:marLeft w:val="0"/>
      <w:marRight w:val="0"/>
      <w:marTop w:val="0"/>
      <w:marBottom w:val="0"/>
      <w:divBdr>
        <w:top w:val="none" w:sz="0" w:space="0" w:color="auto"/>
        <w:left w:val="none" w:sz="0" w:space="0" w:color="auto"/>
        <w:bottom w:val="none" w:sz="0" w:space="0" w:color="auto"/>
        <w:right w:val="none" w:sz="0" w:space="0" w:color="auto"/>
      </w:divBdr>
    </w:div>
    <w:div w:id="270014590">
      <w:bodyDiv w:val="1"/>
      <w:marLeft w:val="0"/>
      <w:marRight w:val="0"/>
      <w:marTop w:val="0"/>
      <w:marBottom w:val="0"/>
      <w:divBdr>
        <w:top w:val="none" w:sz="0" w:space="0" w:color="auto"/>
        <w:left w:val="none" w:sz="0" w:space="0" w:color="auto"/>
        <w:bottom w:val="none" w:sz="0" w:space="0" w:color="auto"/>
        <w:right w:val="none" w:sz="0" w:space="0" w:color="auto"/>
      </w:divBdr>
    </w:div>
    <w:div w:id="347408141">
      <w:bodyDiv w:val="1"/>
      <w:marLeft w:val="0"/>
      <w:marRight w:val="0"/>
      <w:marTop w:val="0"/>
      <w:marBottom w:val="0"/>
      <w:divBdr>
        <w:top w:val="none" w:sz="0" w:space="0" w:color="auto"/>
        <w:left w:val="none" w:sz="0" w:space="0" w:color="auto"/>
        <w:bottom w:val="none" w:sz="0" w:space="0" w:color="auto"/>
        <w:right w:val="none" w:sz="0" w:space="0" w:color="auto"/>
      </w:divBdr>
    </w:div>
    <w:div w:id="539980474">
      <w:bodyDiv w:val="1"/>
      <w:marLeft w:val="0"/>
      <w:marRight w:val="0"/>
      <w:marTop w:val="0"/>
      <w:marBottom w:val="0"/>
      <w:divBdr>
        <w:top w:val="none" w:sz="0" w:space="0" w:color="auto"/>
        <w:left w:val="none" w:sz="0" w:space="0" w:color="auto"/>
        <w:bottom w:val="none" w:sz="0" w:space="0" w:color="auto"/>
        <w:right w:val="none" w:sz="0" w:space="0" w:color="auto"/>
      </w:divBdr>
    </w:div>
    <w:div w:id="727075463">
      <w:bodyDiv w:val="1"/>
      <w:marLeft w:val="0"/>
      <w:marRight w:val="0"/>
      <w:marTop w:val="0"/>
      <w:marBottom w:val="0"/>
      <w:divBdr>
        <w:top w:val="none" w:sz="0" w:space="0" w:color="auto"/>
        <w:left w:val="none" w:sz="0" w:space="0" w:color="auto"/>
        <w:bottom w:val="none" w:sz="0" w:space="0" w:color="auto"/>
        <w:right w:val="none" w:sz="0" w:space="0" w:color="auto"/>
      </w:divBdr>
    </w:div>
    <w:div w:id="951132296">
      <w:bodyDiv w:val="1"/>
      <w:marLeft w:val="0"/>
      <w:marRight w:val="0"/>
      <w:marTop w:val="0"/>
      <w:marBottom w:val="0"/>
      <w:divBdr>
        <w:top w:val="none" w:sz="0" w:space="0" w:color="auto"/>
        <w:left w:val="none" w:sz="0" w:space="0" w:color="auto"/>
        <w:bottom w:val="none" w:sz="0" w:space="0" w:color="auto"/>
        <w:right w:val="none" w:sz="0" w:space="0" w:color="auto"/>
      </w:divBdr>
    </w:div>
    <w:div w:id="1125583852">
      <w:bodyDiv w:val="1"/>
      <w:marLeft w:val="0"/>
      <w:marRight w:val="0"/>
      <w:marTop w:val="0"/>
      <w:marBottom w:val="0"/>
      <w:divBdr>
        <w:top w:val="none" w:sz="0" w:space="0" w:color="auto"/>
        <w:left w:val="none" w:sz="0" w:space="0" w:color="auto"/>
        <w:bottom w:val="none" w:sz="0" w:space="0" w:color="auto"/>
        <w:right w:val="none" w:sz="0" w:space="0" w:color="auto"/>
      </w:divBdr>
    </w:div>
    <w:div w:id="1262572008">
      <w:bodyDiv w:val="1"/>
      <w:marLeft w:val="0"/>
      <w:marRight w:val="0"/>
      <w:marTop w:val="0"/>
      <w:marBottom w:val="0"/>
      <w:divBdr>
        <w:top w:val="none" w:sz="0" w:space="0" w:color="auto"/>
        <w:left w:val="none" w:sz="0" w:space="0" w:color="auto"/>
        <w:bottom w:val="none" w:sz="0" w:space="0" w:color="auto"/>
        <w:right w:val="none" w:sz="0" w:space="0" w:color="auto"/>
      </w:divBdr>
    </w:div>
    <w:div w:id="1328099420">
      <w:bodyDiv w:val="1"/>
      <w:marLeft w:val="0"/>
      <w:marRight w:val="0"/>
      <w:marTop w:val="0"/>
      <w:marBottom w:val="0"/>
      <w:divBdr>
        <w:top w:val="none" w:sz="0" w:space="0" w:color="auto"/>
        <w:left w:val="none" w:sz="0" w:space="0" w:color="auto"/>
        <w:bottom w:val="none" w:sz="0" w:space="0" w:color="auto"/>
        <w:right w:val="none" w:sz="0" w:space="0" w:color="auto"/>
      </w:divBdr>
    </w:div>
    <w:div w:id="1441802057">
      <w:bodyDiv w:val="1"/>
      <w:marLeft w:val="0"/>
      <w:marRight w:val="0"/>
      <w:marTop w:val="0"/>
      <w:marBottom w:val="0"/>
      <w:divBdr>
        <w:top w:val="none" w:sz="0" w:space="0" w:color="auto"/>
        <w:left w:val="none" w:sz="0" w:space="0" w:color="auto"/>
        <w:bottom w:val="none" w:sz="0" w:space="0" w:color="auto"/>
        <w:right w:val="none" w:sz="0" w:space="0" w:color="auto"/>
      </w:divBdr>
    </w:div>
    <w:div w:id="1463887177">
      <w:bodyDiv w:val="1"/>
      <w:marLeft w:val="0"/>
      <w:marRight w:val="0"/>
      <w:marTop w:val="0"/>
      <w:marBottom w:val="0"/>
      <w:divBdr>
        <w:top w:val="none" w:sz="0" w:space="0" w:color="auto"/>
        <w:left w:val="none" w:sz="0" w:space="0" w:color="auto"/>
        <w:bottom w:val="none" w:sz="0" w:space="0" w:color="auto"/>
        <w:right w:val="none" w:sz="0" w:space="0" w:color="auto"/>
      </w:divBdr>
    </w:div>
    <w:div w:id="1501118397">
      <w:bodyDiv w:val="1"/>
      <w:marLeft w:val="0"/>
      <w:marRight w:val="0"/>
      <w:marTop w:val="0"/>
      <w:marBottom w:val="0"/>
      <w:divBdr>
        <w:top w:val="none" w:sz="0" w:space="0" w:color="auto"/>
        <w:left w:val="none" w:sz="0" w:space="0" w:color="auto"/>
        <w:bottom w:val="none" w:sz="0" w:space="0" w:color="auto"/>
        <w:right w:val="none" w:sz="0" w:space="0" w:color="auto"/>
      </w:divBdr>
    </w:div>
    <w:div w:id="1563911222">
      <w:bodyDiv w:val="1"/>
      <w:marLeft w:val="0"/>
      <w:marRight w:val="0"/>
      <w:marTop w:val="0"/>
      <w:marBottom w:val="0"/>
      <w:divBdr>
        <w:top w:val="none" w:sz="0" w:space="0" w:color="auto"/>
        <w:left w:val="none" w:sz="0" w:space="0" w:color="auto"/>
        <w:bottom w:val="none" w:sz="0" w:space="0" w:color="auto"/>
        <w:right w:val="none" w:sz="0" w:space="0" w:color="auto"/>
      </w:divBdr>
    </w:div>
    <w:div w:id="1626504463">
      <w:bodyDiv w:val="1"/>
      <w:marLeft w:val="0"/>
      <w:marRight w:val="0"/>
      <w:marTop w:val="0"/>
      <w:marBottom w:val="0"/>
      <w:divBdr>
        <w:top w:val="none" w:sz="0" w:space="0" w:color="auto"/>
        <w:left w:val="none" w:sz="0" w:space="0" w:color="auto"/>
        <w:bottom w:val="none" w:sz="0" w:space="0" w:color="auto"/>
        <w:right w:val="none" w:sz="0" w:space="0" w:color="auto"/>
      </w:divBdr>
      <w:divsChild>
        <w:div w:id="1460877090">
          <w:marLeft w:val="0"/>
          <w:marRight w:val="0"/>
          <w:marTop w:val="0"/>
          <w:marBottom w:val="0"/>
          <w:divBdr>
            <w:top w:val="none" w:sz="0" w:space="0" w:color="auto"/>
            <w:left w:val="none" w:sz="0" w:space="0" w:color="auto"/>
            <w:bottom w:val="none" w:sz="0" w:space="0" w:color="auto"/>
            <w:right w:val="none" w:sz="0" w:space="0" w:color="auto"/>
          </w:divBdr>
          <w:divsChild>
            <w:div w:id="142242356">
              <w:marLeft w:val="0"/>
              <w:marRight w:val="0"/>
              <w:marTop w:val="0"/>
              <w:marBottom w:val="0"/>
              <w:divBdr>
                <w:top w:val="none" w:sz="0" w:space="0" w:color="auto"/>
                <w:left w:val="none" w:sz="0" w:space="0" w:color="auto"/>
                <w:bottom w:val="none" w:sz="0" w:space="0" w:color="auto"/>
                <w:right w:val="none" w:sz="0" w:space="0" w:color="auto"/>
              </w:divBdr>
            </w:div>
          </w:divsChild>
        </w:div>
        <w:div w:id="1203334">
          <w:marLeft w:val="0"/>
          <w:marRight w:val="0"/>
          <w:marTop w:val="0"/>
          <w:marBottom w:val="0"/>
          <w:divBdr>
            <w:top w:val="none" w:sz="0" w:space="0" w:color="auto"/>
            <w:left w:val="none" w:sz="0" w:space="0" w:color="auto"/>
            <w:bottom w:val="none" w:sz="0" w:space="0" w:color="auto"/>
            <w:right w:val="none" w:sz="0" w:space="0" w:color="auto"/>
          </w:divBdr>
          <w:divsChild>
            <w:div w:id="1552960541">
              <w:marLeft w:val="0"/>
              <w:marRight w:val="0"/>
              <w:marTop w:val="0"/>
              <w:marBottom w:val="0"/>
              <w:divBdr>
                <w:top w:val="none" w:sz="0" w:space="0" w:color="auto"/>
                <w:left w:val="none" w:sz="0" w:space="0" w:color="auto"/>
                <w:bottom w:val="none" w:sz="0" w:space="0" w:color="auto"/>
                <w:right w:val="none" w:sz="0" w:space="0" w:color="auto"/>
              </w:divBdr>
            </w:div>
          </w:divsChild>
        </w:div>
        <w:div w:id="928123808">
          <w:blockQuote w:val="1"/>
          <w:marLeft w:val="720"/>
          <w:marRight w:val="720"/>
          <w:marTop w:val="100"/>
          <w:marBottom w:val="100"/>
          <w:divBdr>
            <w:top w:val="none" w:sz="0" w:space="0" w:color="auto"/>
            <w:left w:val="none" w:sz="0" w:space="0" w:color="auto"/>
            <w:bottom w:val="none" w:sz="0" w:space="0" w:color="auto"/>
            <w:right w:val="none" w:sz="0" w:space="0" w:color="auto"/>
          </w:divBdr>
        </w:div>
        <w:div w:id="252471864">
          <w:blockQuote w:val="1"/>
          <w:marLeft w:val="720"/>
          <w:marRight w:val="720"/>
          <w:marTop w:val="100"/>
          <w:marBottom w:val="100"/>
          <w:divBdr>
            <w:top w:val="none" w:sz="0" w:space="0" w:color="auto"/>
            <w:left w:val="none" w:sz="0" w:space="0" w:color="auto"/>
            <w:bottom w:val="none" w:sz="0" w:space="0" w:color="auto"/>
            <w:right w:val="none" w:sz="0" w:space="0" w:color="auto"/>
          </w:divBdr>
        </w:div>
        <w:div w:id="28843492">
          <w:blockQuote w:val="1"/>
          <w:marLeft w:val="720"/>
          <w:marRight w:val="720"/>
          <w:marTop w:val="100"/>
          <w:marBottom w:val="100"/>
          <w:divBdr>
            <w:top w:val="none" w:sz="0" w:space="0" w:color="auto"/>
            <w:left w:val="none" w:sz="0" w:space="0" w:color="auto"/>
            <w:bottom w:val="none" w:sz="0" w:space="0" w:color="auto"/>
            <w:right w:val="none" w:sz="0" w:space="0" w:color="auto"/>
          </w:divBdr>
        </w:div>
        <w:div w:id="306712509">
          <w:blockQuote w:val="1"/>
          <w:marLeft w:val="720"/>
          <w:marRight w:val="720"/>
          <w:marTop w:val="100"/>
          <w:marBottom w:val="100"/>
          <w:divBdr>
            <w:top w:val="none" w:sz="0" w:space="0" w:color="auto"/>
            <w:left w:val="none" w:sz="0" w:space="0" w:color="auto"/>
            <w:bottom w:val="none" w:sz="0" w:space="0" w:color="auto"/>
            <w:right w:val="none" w:sz="0" w:space="0" w:color="auto"/>
          </w:divBdr>
        </w:div>
        <w:div w:id="1569342394">
          <w:blockQuote w:val="1"/>
          <w:marLeft w:val="720"/>
          <w:marRight w:val="720"/>
          <w:marTop w:val="100"/>
          <w:marBottom w:val="100"/>
          <w:divBdr>
            <w:top w:val="none" w:sz="0" w:space="0" w:color="auto"/>
            <w:left w:val="none" w:sz="0" w:space="0" w:color="auto"/>
            <w:bottom w:val="none" w:sz="0" w:space="0" w:color="auto"/>
            <w:right w:val="none" w:sz="0" w:space="0" w:color="auto"/>
          </w:divBdr>
        </w:div>
        <w:div w:id="1139030998">
          <w:blockQuote w:val="1"/>
          <w:marLeft w:val="720"/>
          <w:marRight w:val="720"/>
          <w:marTop w:val="100"/>
          <w:marBottom w:val="100"/>
          <w:divBdr>
            <w:top w:val="none" w:sz="0" w:space="0" w:color="auto"/>
            <w:left w:val="none" w:sz="0" w:space="0" w:color="auto"/>
            <w:bottom w:val="none" w:sz="0" w:space="0" w:color="auto"/>
            <w:right w:val="none" w:sz="0" w:space="0" w:color="auto"/>
          </w:divBdr>
        </w:div>
        <w:div w:id="9634598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3190497">
      <w:bodyDiv w:val="1"/>
      <w:marLeft w:val="0"/>
      <w:marRight w:val="0"/>
      <w:marTop w:val="0"/>
      <w:marBottom w:val="0"/>
      <w:divBdr>
        <w:top w:val="none" w:sz="0" w:space="0" w:color="auto"/>
        <w:left w:val="none" w:sz="0" w:space="0" w:color="auto"/>
        <w:bottom w:val="none" w:sz="0" w:space="0" w:color="auto"/>
        <w:right w:val="none" w:sz="0" w:space="0" w:color="auto"/>
      </w:divBdr>
    </w:div>
    <w:div w:id="1917352349">
      <w:bodyDiv w:val="1"/>
      <w:marLeft w:val="0"/>
      <w:marRight w:val="0"/>
      <w:marTop w:val="0"/>
      <w:marBottom w:val="0"/>
      <w:divBdr>
        <w:top w:val="none" w:sz="0" w:space="0" w:color="auto"/>
        <w:left w:val="none" w:sz="0" w:space="0" w:color="auto"/>
        <w:bottom w:val="none" w:sz="0" w:space="0" w:color="auto"/>
        <w:right w:val="none" w:sz="0" w:space="0" w:color="auto"/>
      </w:divBdr>
    </w:div>
    <w:div w:id="1981232291">
      <w:bodyDiv w:val="1"/>
      <w:marLeft w:val="0"/>
      <w:marRight w:val="0"/>
      <w:marTop w:val="0"/>
      <w:marBottom w:val="0"/>
      <w:divBdr>
        <w:top w:val="none" w:sz="0" w:space="0" w:color="auto"/>
        <w:left w:val="none" w:sz="0" w:space="0" w:color="auto"/>
        <w:bottom w:val="none" w:sz="0" w:space="0" w:color="auto"/>
        <w:right w:val="none" w:sz="0" w:space="0" w:color="auto"/>
      </w:divBdr>
      <w:divsChild>
        <w:div w:id="145853025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8939506">
      <w:bodyDiv w:val="1"/>
      <w:marLeft w:val="0"/>
      <w:marRight w:val="0"/>
      <w:marTop w:val="0"/>
      <w:marBottom w:val="0"/>
      <w:divBdr>
        <w:top w:val="none" w:sz="0" w:space="0" w:color="auto"/>
        <w:left w:val="none" w:sz="0" w:space="0" w:color="auto"/>
        <w:bottom w:val="none" w:sz="0" w:space="0" w:color="auto"/>
        <w:right w:val="none" w:sz="0" w:space="0" w:color="auto"/>
      </w:divBdr>
    </w:div>
    <w:div w:id="21276571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202</TotalTime>
  <Pages>17</Pages>
  <Words>3108</Words>
  <Characters>17716</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20783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Augustine</dc:creator>
  <cp:keywords/>
  <dc:description/>
  <cp:lastModifiedBy>Augustine</cp:lastModifiedBy>
  <cp:revision>2</cp:revision>
  <dcterms:created xsi:type="dcterms:W3CDTF">2026-09-24T10:04:00Z</dcterms:created>
  <dcterms:modified xsi:type="dcterms:W3CDTF">2026-09-24T13:35:00Z</dcterms:modified>
</cp:coreProperties>
</file>