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281DC">
      <w:pPr>
        <w:spacing w:before="184" w:line="186" w:lineRule="auto"/>
        <w:ind w:left="870"/>
        <w:rPr>
          <w:rFonts w:ascii="微软雅黑" w:hAnsi="微软雅黑" w:eastAsia="微软雅黑" w:cs="微软雅黑"/>
          <w:sz w:val="43"/>
          <w:szCs w:val="43"/>
        </w:rPr>
      </w:pPr>
      <w:r>
        <w:rPr>
          <w:rFonts w:ascii="微软雅黑" w:hAnsi="微软雅黑" w:eastAsia="微软雅黑" w:cs="微软雅黑"/>
          <w:spacing w:val="9"/>
          <w:sz w:val="43"/>
          <w:szCs w:val="43"/>
        </w:rPr>
        <w:t>东南大学大学生创新创业训练计划</w:t>
      </w:r>
    </w:p>
    <w:p w14:paraId="0988A46E">
      <w:pPr>
        <w:spacing w:before="276" w:line="185" w:lineRule="auto"/>
        <w:ind w:left="2882"/>
        <w:rPr>
          <w:rFonts w:ascii="微软雅黑" w:hAnsi="微软雅黑" w:eastAsia="微软雅黑" w:cs="微软雅黑"/>
          <w:sz w:val="43"/>
          <w:szCs w:val="43"/>
        </w:rPr>
      </w:pPr>
      <w:r>
        <w:rPr>
          <w:rFonts w:ascii="微软雅黑" w:hAnsi="微软雅黑" w:eastAsia="微软雅黑" w:cs="微软雅黑"/>
          <w:spacing w:val="3"/>
          <w:sz w:val="43"/>
          <w:szCs w:val="43"/>
        </w:rPr>
        <w:t>中期检查报告</w:t>
      </w:r>
    </w:p>
    <w:p w14:paraId="030FBF4C">
      <w:pPr>
        <w:spacing w:line="242" w:lineRule="auto"/>
        <w:rPr>
          <w:rFonts w:ascii="Arial"/>
          <w:sz w:val="21"/>
        </w:rPr>
      </w:pPr>
    </w:p>
    <w:p w14:paraId="06BB19EC">
      <w:pPr>
        <w:spacing w:line="242" w:lineRule="auto"/>
        <w:rPr>
          <w:rFonts w:ascii="Arial"/>
          <w:sz w:val="21"/>
        </w:rPr>
      </w:pPr>
    </w:p>
    <w:p w14:paraId="733806AE">
      <w:pPr>
        <w:spacing w:line="243" w:lineRule="auto"/>
        <w:rPr>
          <w:rFonts w:ascii="Arial"/>
          <w:sz w:val="21"/>
        </w:rPr>
      </w:pPr>
    </w:p>
    <w:p w14:paraId="0FA21E29">
      <w:pPr>
        <w:spacing w:line="243" w:lineRule="auto"/>
        <w:rPr>
          <w:rFonts w:ascii="Arial"/>
          <w:sz w:val="21"/>
        </w:rPr>
      </w:pPr>
    </w:p>
    <w:p w14:paraId="05BF0315">
      <w:pPr>
        <w:spacing w:line="243" w:lineRule="auto"/>
        <w:rPr>
          <w:rFonts w:ascii="Arial"/>
          <w:sz w:val="21"/>
        </w:rPr>
      </w:pPr>
    </w:p>
    <w:p w14:paraId="00EA0A74">
      <w:pPr>
        <w:spacing w:line="243" w:lineRule="auto"/>
        <w:rPr>
          <w:rFonts w:ascii="Arial"/>
          <w:sz w:val="21"/>
        </w:rPr>
      </w:pPr>
    </w:p>
    <w:p w14:paraId="3FF185E2">
      <w:pPr>
        <w:spacing w:line="243" w:lineRule="auto"/>
        <w:rPr>
          <w:rFonts w:ascii="Arial"/>
          <w:sz w:val="21"/>
        </w:rPr>
      </w:pPr>
    </w:p>
    <w:p w14:paraId="3CBEB054">
      <w:pPr>
        <w:spacing w:line="243" w:lineRule="auto"/>
        <w:rPr>
          <w:rFonts w:ascii="Arial"/>
          <w:sz w:val="21"/>
        </w:rPr>
      </w:pPr>
    </w:p>
    <w:p w14:paraId="5143E70A">
      <w:pPr>
        <w:spacing w:line="243" w:lineRule="auto"/>
        <w:rPr>
          <w:rFonts w:ascii="Arial"/>
          <w:sz w:val="21"/>
        </w:rPr>
      </w:pPr>
    </w:p>
    <w:p w14:paraId="2D7928E1">
      <w:pPr>
        <w:spacing w:line="243" w:lineRule="auto"/>
        <w:rPr>
          <w:rFonts w:ascii="Arial"/>
          <w:sz w:val="21"/>
        </w:rPr>
      </w:pPr>
    </w:p>
    <w:p w14:paraId="3F339952">
      <w:pPr>
        <w:spacing w:line="243" w:lineRule="auto"/>
        <w:rPr>
          <w:rFonts w:ascii="Arial"/>
          <w:sz w:val="21"/>
        </w:rPr>
      </w:pPr>
    </w:p>
    <w:p w14:paraId="5914DAE0">
      <w:pPr>
        <w:spacing w:line="243" w:lineRule="auto"/>
        <w:rPr>
          <w:rFonts w:ascii="Arial"/>
          <w:sz w:val="21"/>
        </w:rPr>
      </w:pPr>
    </w:p>
    <w:p w14:paraId="5C4DA5BD">
      <w:pPr>
        <w:spacing w:line="243" w:lineRule="auto"/>
        <w:rPr>
          <w:rFonts w:ascii="Arial"/>
          <w:sz w:val="21"/>
        </w:rPr>
      </w:pPr>
    </w:p>
    <w:p w14:paraId="0512D18E">
      <w:pPr>
        <w:spacing w:line="243" w:lineRule="auto"/>
        <w:rPr>
          <w:rFonts w:ascii="Arial"/>
          <w:sz w:val="21"/>
        </w:rPr>
      </w:pPr>
    </w:p>
    <w:p w14:paraId="4B03EC50">
      <w:pPr>
        <w:pStyle w:val="2"/>
        <w:tabs>
          <w:tab w:val="left" w:pos="7555"/>
        </w:tabs>
        <w:spacing w:before="91" w:line="424" w:lineRule="auto"/>
        <w:ind w:left="904" w:right="778"/>
        <w:jc w:val="both"/>
        <w:rPr>
          <w:rFonts w:ascii="宋体" w:hAnsi="宋体" w:eastAsia="宋体" w:cs="宋体"/>
          <w:u w:val="single" w:color="auto"/>
        </w:rPr>
      </w:pPr>
      <w:r>
        <w:rPr>
          <w:spacing w:val="-8"/>
        </w:rPr>
        <w:t>项</w:t>
      </w:r>
      <w:r>
        <w:rPr>
          <w:rFonts w:hint="eastAsia"/>
          <w:spacing w:val="-8"/>
          <w:lang w:val="en-US" w:eastAsia="zh-CN"/>
        </w:rPr>
        <w:t xml:space="preserve"> </w:t>
      </w:r>
      <w:r>
        <w:rPr>
          <w:spacing w:val="-8"/>
        </w:rPr>
        <w:t>目</w:t>
      </w:r>
      <w:r>
        <w:rPr>
          <w:rFonts w:hint="eastAsia"/>
          <w:spacing w:val="-8"/>
          <w:lang w:val="en-US" w:eastAsia="zh-CN"/>
        </w:rPr>
        <w:t xml:space="preserve"> </w:t>
      </w:r>
      <w:r>
        <w:rPr>
          <w:spacing w:val="-8"/>
        </w:rPr>
        <w:t>名</w:t>
      </w:r>
      <w:r>
        <w:rPr>
          <w:rFonts w:hint="eastAsia"/>
          <w:spacing w:val="-8"/>
          <w:lang w:val="en-US" w:eastAsia="zh-CN"/>
        </w:rPr>
        <w:t xml:space="preserve"> </w:t>
      </w:r>
      <w:r>
        <w:rPr>
          <w:spacing w:val="-8"/>
        </w:rPr>
        <w:t>称</w:t>
      </w:r>
      <w:r>
        <w:rPr>
          <w:rFonts w:hint="eastAsia"/>
          <w:spacing w:val="-8"/>
          <w:lang w:val="en-US" w:eastAsia="zh-CN"/>
        </w:rPr>
        <w:t>:</w:t>
      </w:r>
      <w:r>
        <w:rPr>
          <w:rFonts w:ascii="宋体" w:hAnsi="宋体" w:eastAsia="宋体" w:cs="宋体"/>
          <w:spacing w:val="57"/>
          <w:u w:val="single" w:color="auto"/>
        </w:rPr>
        <w:t xml:space="preserve"> </w:t>
      </w:r>
      <w:r>
        <w:rPr>
          <w:rFonts w:hint="eastAsia" w:ascii="宋体" w:hAnsi="宋体" w:eastAsia="宋体" w:cs="宋体"/>
          <w:b/>
          <w:bCs/>
          <w:spacing w:val="57"/>
          <w:sz w:val="22"/>
          <w:szCs w:val="22"/>
          <w:u w:val="single" w:color="auto"/>
          <w:lang w:val="en-US" w:eastAsia="zh-CN"/>
        </w:rPr>
        <w:t>极地光伏组件及阵列最优化设计</w:t>
      </w:r>
      <w:r>
        <w:rPr>
          <w:rFonts w:ascii="宋体" w:hAnsi="宋体" w:eastAsia="宋体" w:cs="宋体"/>
          <w:sz w:val="22"/>
          <w:szCs w:val="22"/>
          <w:u w:val="single" w:color="auto"/>
        </w:rPr>
        <w:tab/>
      </w:r>
      <w:r>
        <w:rPr>
          <w:rFonts w:ascii="宋体" w:hAnsi="宋体" w:eastAsia="宋体" w:cs="宋体"/>
          <w:sz w:val="22"/>
          <w:szCs w:val="22"/>
        </w:rPr>
        <w:t xml:space="preserve"> </w:t>
      </w:r>
      <w:r>
        <w:rPr>
          <w:rFonts w:ascii="Times New Roman" w:hAnsi="Times New Roman" w:eastAsia="Times New Roman" w:cs="Times New Roman"/>
          <w:sz w:val="22"/>
          <w:szCs w:val="22"/>
        </w:rPr>
        <w:t xml:space="preserve"> </w:t>
      </w:r>
      <w:r>
        <w:rPr>
          <w:spacing w:val="-23"/>
        </w:rPr>
        <w:t>项</w:t>
      </w:r>
      <w:r>
        <w:rPr>
          <w:rFonts w:hint="eastAsia"/>
          <w:spacing w:val="-23"/>
          <w:lang w:val="en-US" w:eastAsia="zh-CN"/>
        </w:rPr>
        <w:t xml:space="preserve"> </w:t>
      </w:r>
      <w:r>
        <w:rPr>
          <w:spacing w:val="-23"/>
        </w:rPr>
        <w:t>目</w:t>
      </w:r>
      <w:r>
        <w:rPr>
          <w:rFonts w:hint="eastAsia"/>
          <w:spacing w:val="-23"/>
          <w:lang w:val="en-US" w:eastAsia="zh-CN"/>
        </w:rPr>
        <w:t xml:space="preserve"> </w:t>
      </w:r>
      <w:r>
        <w:rPr>
          <w:spacing w:val="-23"/>
        </w:rPr>
        <w:t>负</w:t>
      </w:r>
      <w:r>
        <w:rPr>
          <w:rFonts w:hint="eastAsia"/>
          <w:spacing w:val="-23"/>
          <w:lang w:val="en-US" w:eastAsia="zh-CN"/>
        </w:rPr>
        <w:t xml:space="preserve"> </w:t>
      </w:r>
      <w:r>
        <w:rPr>
          <w:spacing w:val="-23"/>
        </w:rPr>
        <w:t>责</w:t>
      </w:r>
      <w:r>
        <w:rPr>
          <w:rFonts w:hint="eastAsia"/>
          <w:spacing w:val="-23"/>
          <w:lang w:val="en-US" w:eastAsia="zh-CN"/>
        </w:rPr>
        <w:t xml:space="preserve"> </w:t>
      </w:r>
      <w:r>
        <w:rPr>
          <w:spacing w:val="-23"/>
        </w:rPr>
        <w:t>人：</w:t>
      </w:r>
      <w:r>
        <w:rPr>
          <w:spacing w:val="-33"/>
        </w:rPr>
        <w:t xml:space="preserve"> </w:t>
      </w:r>
      <w:r>
        <w:rPr>
          <w:rFonts w:ascii="宋体" w:hAnsi="宋体" w:eastAsia="宋体" w:cs="宋体"/>
          <w:spacing w:val="5"/>
          <w:u w:val="single" w:color="auto"/>
        </w:rPr>
        <w:t xml:space="preserve">        </w:t>
      </w:r>
      <w:r>
        <w:rPr>
          <w:rFonts w:hint="eastAsia" w:ascii="宋体" w:hAnsi="宋体" w:eastAsia="宋体" w:cs="宋体"/>
          <w:spacing w:val="5"/>
          <w:u w:val="single" w:color="auto"/>
          <w:lang w:val="en-US" w:eastAsia="zh-CN"/>
        </w:rPr>
        <w:t xml:space="preserve">   </w:t>
      </w:r>
      <w:r>
        <w:rPr>
          <w:rFonts w:hint="eastAsia" w:ascii="宋体" w:hAnsi="宋体" w:eastAsia="宋体" w:cs="宋体"/>
          <w:b/>
          <w:bCs/>
          <w:spacing w:val="5"/>
          <w:sz w:val="24"/>
          <w:szCs w:val="24"/>
          <w:u w:val="single" w:color="auto"/>
          <w:lang w:val="en-US" w:eastAsia="zh-CN"/>
        </w:rPr>
        <w:t>洪一涵</w:t>
      </w:r>
      <w:r>
        <w:rPr>
          <w:rFonts w:ascii="宋体" w:hAnsi="宋体" w:eastAsia="宋体" w:cs="宋体"/>
          <w:b/>
          <w:bCs/>
          <w:spacing w:val="5"/>
          <w:sz w:val="24"/>
          <w:szCs w:val="24"/>
          <w:u w:val="single" w:color="auto"/>
        </w:rPr>
        <w:t xml:space="preserve"> </w:t>
      </w:r>
      <w:r>
        <w:rPr>
          <w:rFonts w:ascii="宋体" w:hAnsi="宋体" w:eastAsia="宋体" w:cs="宋体"/>
          <w:b/>
          <w:bCs/>
          <w:spacing w:val="5"/>
          <w:u w:val="single" w:color="auto"/>
        </w:rPr>
        <w:t xml:space="preserve"> </w:t>
      </w:r>
      <w:r>
        <w:rPr>
          <w:rFonts w:ascii="宋体" w:hAnsi="宋体" w:eastAsia="宋体" w:cs="宋体"/>
          <w:spacing w:val="5"/>
          <w:u w:val="single" w:color="auto"/>
        </w:rPr>
        <w:t xml:space="preserve"> </w:t>
      </w:r>
      <w:r>
        <w:rPr>
          <w:rFonts w:ascii="宋体" w:hAnsi="宋体" w:eastAsia="宋体" w:cs="宋体"/>
          <w:u w:val="single" w:color="auto"/>
        </w:rPr>
        <w:tab/>
      </w:r>
    </w:p>
    <w:p w14:paraId="1CA7C6D2">
      <w:pPr>
        <w:pStyle w:val="2"/>
        <w:tabs>
          <w:tab w:val="left" w:pos="7555"/>
        </w:tabs>
        <w:spacing w:before="91" w:line="424" w:lineRule="auto"/>
        <w:ind w:left="904" w:right="778"/>
        <w:jc w:val="both"/>
        <w:rPr>
          <w:rFonts w:hint="default" w:ascii="宋体" w:hAnsi="宋体" w:eastAsia="宋体" w:cs="宋体"/>
          <w:lang w:val="en-US" w:eastAsia="zh-CN"/>
        </w:rPr>
      </w:pPr>
      <w:r>
        <w:rPr>
          <w:spacing w:val="-23"/>
        </w:rPr>
        <w:t>项</w:t>
      </w:r>
      <w:r>
        <w:rPr>
          <w:rFonts w:hint="eastAsia"/>
          <w:spacing w:val="-23"/>
          <w:lang w:val="en-US" w:eastAsia="zh-CN"/>
        </w:rPr>
        <w:t xml:space="preserve"> </w:t>
      </w:r>
      <w:r>
        <w:rPr>
          <w:spacing w:val="-23"/>
        </w:rPr>
        <w:t>目</w:t>
      </w:r>
      <w:r>
        <w:rPr>
          <w:rFonts w:hint="eastAsia"/>
          <w:spacing w:val="-23"/>
          <w:lang w:val="en-US" w:eastAsia="zh-CN"/>
        </w:rPr>
        <w:t xml:space="preserve"> 成 员</w:t>
      </w:r>
      <w:r>
        <w:rPr>
          <w:spacing w:val="-23"/>
        </w:rPr>
        <w:t>：</w:t>
      </w:r>
      <w:r>
        <w:rPr>
          <w:spacing w:val="-33"/>
        </w:rPr>
        <w:t xml:space="preserve"> </w:t>
      </w:r>
      <w:r>
        <w:rPr>
          <w:rFonts w:ascii="宋体" w:hAnsi="宋体" w:eastAsia="宋体" w:cs="宋体"/>
          <w:spacing w:val="5"/>
          <w:u w:val="single" w:color="auto"/>
        </w:rPr>
        <w:t xml:space="preserve">     </w:t>
      </w:r>
      <w:r>
        <w:rPr>
          <w:rFonts w:hint="eastAsia" w:ascii="宋体" w:hAnsi="宋体" w:eastAsia="宋体" w:cs="宋体"/>
          <w:spacing w:val="5"/>
          <w:u w:val="single" w:color="auto"/>
          <w:lang w:val="en-US" w:eastAsia="zh-CN"/>
        </w:rPr>
        <w:t xml:space="preserve">   </w:t>
      </w:r>
      <w:r>
        <w:rPr>
          <w:rFonts w:hint="eastAsia" w:ascii="宋体" w:hAnsi="宋体" w:eastAsia="宋体" w:cs="宋体"/>
          <w:b/>
          <w:bCs/>
          <w:spacing w:val="5"/>
          <w:sz w:val="24"/>
          <w:szCs w:val="24"/>
          <w:u w:val="single" w:color="auto"/>
          <w:lang w:val="en-US" w:eastAsia="zh-CN"/>
        </w:rPr>
        <w:t>王浩鑫 陈星宇 石晗旭</w:t>
      </w:r>
      <w:r>
        <w:rPr>
          <w:rFonts w:hint="eastAsia" w:ascii="宋体" w:hAnsi="宋体" w:eastAsia="宋体" w:cs="宋体"/>
          <w:b/>
          <w:bCs/>
          <w:spacing w:val="5"/>
          <w:u w:val="single" w:color="auto"/>
          <w:lang w:val="en-US" w:eastAsia="zh-CN"/>
        </w:rPr>
        <w:t xml:space="preserve">  </w:t>
      </w:r>
      <w:r>
        <w:rPr>
          <w:rFonts w:ascii="宋体" w:hAnsi="宋体" w:eastAsia="宋体" w:cs="宋体"/>
          <w:spacing w:val="5"/>
          <w:u w:val="single" w:color="auto"/>
        </w:rPr>
        <w:t xml:space="preserve"> </w:t>
      </w:r>
      <w:r>
        <w:rPr>
          <w:rFonts w:ascii="宋体" w:hAnsi="宋体" w:eastAsia="宋体" w:cs="宋体"/>
          <w:u w:val="single" w:color="auto"/>
        </w:rPr>
        <w:tab/>
      </w:r>
      <w:r>
        <w:rPr>
          <w:rFonts w:ascii="宋体" w:hAnsi="宋体" w:eastAsia="宋体" w:cs="宋体"/>
        </w:rPr>
        <w:t xml:space="preserve">  </w:t>
      </w:r>
      <w:r>
        <w:rPr>
          <w:spacing w:val="-20"/>
        </w:rPr>
        <w:t>所</w:t>
      </w:r>
      <w:r>
        <w:rPr>
          <w:spacing w:val="14"/>
        </w:rPr>
        <w:t xml:space="preserve"> </w:t>
      </w:r>
      <w:r>
        <w:rPr>
          <w:spacing w:val="-20"/>
        </w:rPr>
        <w:t>在</w:t>
      </w:r>
      <w:r>
        <w:rPr>
          <w:spacing w:val="19"/>
        </w:rPr>
        <w:t xml:space="preserve"> </w:t>
      </w:r>
      <w:r>
        <w:rPr>
          <w:spacing w:val="-20"/>
        </w:rPr>
        <w:t>学</w:t>
      </w:r>
      <w:r>
        <w:rPr>
          <w:spacing w:val="20"/>
        </w:rPr>
        <w:t xml:space="preserve"> </w:t>
      </w:r>
      <w:r>
        <w:rPr>
          <w:spacing w:val="-20"/>
        </w:rPr>
        <w:t>院</w:t>
      </w:r>
      <w:r>
        <w:rPr>
          <w:spacing w:val="24"/>
        </w:rPr>
        <w:t xml:space="preserve"> </w:t>
      </w:r>
      <w:r>
        <w:rPr>
          <w:spacing w:val="-20"/>
        </w:rPr>
        <w:t>：</w:t>
      </w:r>
      <w:r>
        <w:rPr>
          <w:spacing w:val="-33"/>
        </w:rPr>
        <w:t xml:space="preserve"> </w:t>
      </w:r>
      <w:r>
        <w:rPr>
          <w:rFonts w:ascii="宋体" w:hAnsi="宋体" w:eastAsia="宋体" w:cs="宋体"/>
          <w:spacing w:val="11"/>
          <w:u w:val="single" w:color="auto"/>
        </w:rPr>
        <w:t xml:space="preserve">         </w:t>
      </w:r>
      <w:r>
        <w:rPr>
          <w:rFonts w:hint="eastAsia" w:ascii="宋体" w:hAnsi="宋体" w:eastAsia="宋体" w:cs="宋体"/>
          <w:b/>
          <w:bCs/>
          <w:spacing w:val="5"/>
          <w:sz w:val="24"/>
          <w:szCs w:val="24"/>
          <w:u w:val="single" w:color="auto"/>
          <w:lang w:val="en-US" w:eastAsia="zh-CN"/>
        </w:rPr>
        <w:t xml:space="preserve">自动化学院 </w:t>
      </w:r>
      <w:r>
        <w:rPr>
          <w:rFonts w:ascii="宋体" w:hAnsi="宋体" w:eastAsia="宋体" w:cs="宋体"/>
          <w:u w:val="single" w:color="auto"/>
        </w:rPr>
        <w:t xml:space="preserve">        </w:t>
      </w:r>
      <w:r>
        <w:rPr>
          <w:rFonts w:hint="eastAsia" w:ascii="宋体" w:hAnsi="宋体" w:eastAsia="宋体" w:cs="宋体"/>
          <w:u w:val="single" w:color="auto"/>
          <w:lang w:val="en-US" w:eastAsia="zh-CN"/>
        </w:rPr>
        <w:t>_____</w:t>
      </w:r>
    </w:p>
    <w:p w14:paraId="423736A2">
      <w:pPr>
        <w:pStyle w:val="2"/>
        <w:spacing w:before="3" w:line="223" w:lineRule="auto"/>
        <w:ind w:left="903"/>
        <w:rPr>
          <w:rFonts w:hint="default"/>
          <w:spacing w:val="1"/>
          <w:lang w:val="en-US" w:eastAsia="zh-CN"/>
        </w:rPr>
      </w:pPr>
      <w:r>
        <w:rPr>
          <w:spacing w:val="-18"/>
        </w:rPr>
        <w:t>指</w:t>
      </w:r>
      <w:r>
        <w:rPr>
          <w:spacing w:val="16"/>
        </w:rPr>
        <w:t xml:space="preserve"> </w:t>
      </w:r>
      <w:r>
        <w:rPr>
          <w:spacing w:val="-18"/>
        </w:rPr>
        <w:t>导</w:t>
      </w:r>
      <w:r>
        <w:rPr>
          <w:spacing w:val="12"/>
        </w:rPr>
        <w:t xml:space="preserve"> </w:t>
      </w:r>
      <w:r>
        <w:rPr>
          <w:spacing w:val="-18"/>
        </w:rPr>
        <w:t>教</w:t>
      </w:r>
      <w:r>
        <w:rPr>
          <w:spacing w:val="22"/>
        </w:rPr>
        <w:t xml:space="preserve"> </w:t>
      </w:r>
      <w:r>
        <w:rPr>
          <w:spacing w:val="-18"/>
        </w:rPr>
        <w:t>师</w:t>
      </w:r>
      <w:r>
        <w:rPr>
          <w:spacing w:val="24"/>
        </w:rPr>
        <w:t xml:space="preserve"> </w:t>
      </w:r>
      <w:r>
        <w:rPr>
          <w:spacing w:val="-18"/>
        </w:rPr>
        <w:t>：</w:t>
      </w:r>
      <w:r>
        <w:rPr>
          <w:rFonts w:hint="eastAsia"/>
          <w:spacing w:val="-18"/>
          <w:u w:val="single"/>
          <w:lang w:val="en-US" w:eastAsia="zh-CN"/>
        </w:rPr>
        <w:t xml:space="preserve">                </w:t>
      </w:r>
      <w:r>
        <w:rPr>
          <w:rFonts w:hint="eastAsia" w:ascii="宋体" w:hAnsi="宋体" w:eastAsia="宋体" w:cs="宋体"/>
          <w:b/>
          <w:bCs/>
          <w:spacing w:val="5"/>
          <w:sz w:val="24"/>
          <w:szCs w:val="24"/>
          <w:u w:val="single" w:color="auto"/>
          <w:lang w:val="en-US" w:eastAsia="zh-CN"/>
        </w:rPr>
        <w:t xml:space="preserve">张侃键 </w:t>
      </w:r>
      <w:r>
        <w:rPr>
          <w:rFonts w:hint="eastAsia"/>
          <w:b/>
          <w:bCs/>
          <w:spacing w:val="1"/>
          <w:sz w:val="28"/>
          <w:u w:val="single"/>
          <w:lang w:val="en-US" w:eastAsia="zh-CN"/>
        </w:rPr>
        <w:t xml:space="preserve">  </w:t>
      </w:r>
      <w:r>
        <w:rPr>
          <w:rFonts w:hint="eastAsia"/>
          <w:spacing w:val="1"/>
          <w:sz w:val="28"/>
          <w:u w:val="single"/>
          <w:lang w:val="en-US" w:eastAsia="zh-CN"/>
        </w:rPr>
        <w:t xml:space="preserve">            </w:t>
      </w:r>
    </w:p>
    <w:p w14:paraId="5A48CA30">
      <w:pPr>
        <w:pStyle w:val="2"/>
        <w:spacing w:before="285" w:line="182" w:lineRule="auto"/>
        <w:ind w:left="900"/>
        <w:rPr>
          <w:rFonts w:ascii="Arial" w:hAnsi="Arial" w:eastAsia="Arial" w:cs="Arial"/>
          <w:sz w:val="21"/>
          <w:szCs w:val="21"/>
        </w:rPr>
        <w:sectPr>
          <w:pgSz w:w="11906" w:h="16839"/>
          <w:pgMar w:top="1431" w:right="1785" w:bottom="0" w:left="1785" w:header="0" w:footer="0" w:gutter="0"/>
          <w:cols w:space="720" w:num="1"/>
        </w:sectPr>
      </w:pPr>
      <w:r>
        <w:rPr>
          <w:spacing w:val="-9"/>
        </w:rPr>
        <w:t>联</w:t>
      </w:r>
      <w:r>
        <w:rPr>
          <w:spacing w:val="25"/>
        </w:rPr>
        <w:t xml:space="preserve"> </w:t>
      </w:r>
      <w:r>
        <w:rPr>
          <w:spacing w:val="-9"/>
        </w:rPr>
        <w:t>系</w:t>
      </w:r>
      <w:r>
        <w:rPr>
          <w:spacing w:val="29"/>
        </w:rPr>
        <w:t xml:space="preserve"> </w:t>
      </w:r>
      <w:r>
        <w:rPr>
          <w:spacing w:val="-9"/>
        </w:rPr>
        <w:t>电</w:t>
      </w:r>
      <w:r>
        <w:rPr>
          <w:spacing w:val="12"/>
        </w:rPr>
        <w:t xml:space="preserve"> </w:t>
      </w:r>
      <w:r>
        <w:rPr>
          <w:spacing w:val="-9"/>
        </w:rPr>
        <w:t>话</w:t>
      </w:r>
      <w:r>
        <w:rPr>
          <w:spacing w:val="24"/>
        </w:rPr>
        <w:t xml:space="preserve"> </w:t>
      </w:r>
      <w:r>
        <w:rPr>
          <w:spacing w:val="-9"/>
        </w:rPr>
        <w:t xml:space="preserve">：        </w:t>
      </w:r>
    </w:p>
    <w:p w14:paraId="7D5EF547">
      <w:pPr>
        <w:spacing w:line="273" w:lineRule="auto"/>
        <w:rPr>
          <w:rFonts w:ascii="Arial"/>
          <w:sz w:val="21"/>
        </w:rPr>
      </w:pPr>
    </w:p>
    <w:p w14:paraId="2C096BC0">
      <w:pPr>
        <w:spacing w:before="169" w:line="222" w:lineRule="auto"/>
        <w:jc w:val="center"/>
        <w:rPr>
          <w:rFonts w:ascii="宋体" w:hAnsi="宋体" w:eastAsia="宋体" w:cs="宋体"/>
          <w:sz w:val="52"/>
          <w:szCs w:val="52"/>
        </w:rPr>
      </w:pPr>
      <w:r>
        <w:rPr>
          <w:rFonts w:ascii="宋体" w:hAnsi="宋体" w:eastAsia="宋体" w:cs="宋体"/>
          <w:b/>
          <w:bCs/>
          <w:spacing w:val="-64"/>
          <w:sz w:val="52"/>
          <w:szCs w:val="52"/>
        </w:rPr>
        <w:t>目</w:t>
      </w:r>
      <w:r>
        <w:rPr>
          <w:rFonts w:hint="eastAsia" w:ascii="宋体" w:hAnsi="宋体" w:eastAsia="宋体" w:cs="宋体"/>
          <w:b/>
          <w:bCs/>
          <w:spacing w:val="-64"/>
          <w:sz w:val="52"/>
          <w:szCs w:val="52"/>
          <w:lang w:val="en-US" w:eastAsia="zh-CN"/>
        </w:rPr>
        <w:t xml:space="preserve">     </w:t>
      </w:r>
      <w:r>
        <w:rPr>
          <w:rFonts w:ascii="宋体" w:hAnsi="宋体" w:eastAsia="宋体" w:cs="宋体"/>
          <w:b/>
          <w:bCs/>
          <w:spacing w:val="-64"/>
          <w:sz w:val="52"/>
          <w:szCs w:val="52"/>
        </w:rPr>
        <w:t>录</w:t>
      </w:r>
    </w:p>
    <w:p w14:paraId="1D400490">
      <w:pPr>
        <w:tabs>
          <w:tab w:val="right" w:leader="dot" w:pos="8320"/>
        </w:tabs>
        <w:spacing w:before="156" w:line="193" w:lineRule="auto"/>
        <w:ind w:left="25"/>
        <w:rPr>
          <w:rFonts w:ascii="Calibri" w:hAnsi="Calibri" w:eastAsia="Calibri" w:cs="Calibri"/>
          <w:sz w:val="20"/>
          <w:szCs w:val="20"/>
        </w:rPr>
      </w:pPr>
      <w:r>
        <w:fldChar w:fldCharType="begin"/>
      </w:r>
      <w:r>
        <w:instrText xml:space="preserve"> HYPERLINK \l "bookmark1" </w:instrText>
      </w:r>
      <w:r>
        <w:fldChar w:fldCharType="separate"/>
      </w:r>
      <w:r>
        <w:rPr>
          <w:rFonts w:ascii="宋体" w:hAnsi="宋体" w:eastAsia="宋体" w:cs="宋体"/>
          <w:spacing w:val="4"/>
          <w:sz w:val="20"/>
          <w:szCs w:val="20"/>
        </w:rPr>
        <w:t>一</w:t>
      </w:r>
      <w:r>
        <w:rPr>
          <w:rFonts w:ascii="Calibri" w:hAnsi="Calibri" w:eastAsia="Calibri" w:cs="Calibri"/>
          <w:spacing w:val="4"/>
          <w:sz w:val="20"/>
          <w:szCs w:val="20"/>
        </w:rPr>
        <w:t>.</w:t>
      </w:r>
      <w:r>
        <w:rPr>
          <w:rFonts w:ascii="Calibri" w:hAnsi="Calibri" w:eastAsia="Calibri" w:cs="Calibri"/>
          <w:spacing w:val="13"/>
          <w:w w:val="101"/>
          <w:sz w:val="20"/>
          <w:szCs w:val="20"/>
        </w:rPr>
        <w:t xml:space="preserve">  </w:t>
      </w:r>
      <w:r>
        <w:rPr>
          <w:rFonts w:ascii="宋体" w:hAnsi="宋体" w:eastAsia="宋体" w:cs="宋体"/>
          <w:spacing w:val="4"/>
          <w:sz w:val="20"/>
          <w:szCs w:val="20"/>
        </w:rPr>
        <w:t>文献综述</w:t>
      </w:r>
      <w:r>
        <w:rPr>
          <w:rFonts w:ascii="宋体" w:hAnsi="宋体" w:eastAsia="宋体" w:cs="宋体"/>
          <w:spacing w:val="-56"/>
          <w:sz w:val="20"/>
          <w:szCs w:val="20"/>
        </w:rPr>
        <w:t xml:space="preserve"> </w:t>
      </w:r>
      <w:r>
        <w:rPr>
          <w:rFonts w:ascii="宋体" w:hAnsi="宋体" w:eastAsia="宋体" w:cs="宋体"/>
          <w:sz w:val="20"/>
          <w:szCs w:val="20"/>
        </w:rPr>
        <w:tab/>
      </w:r>
      <w:r>
        <w:rPr>
          <w:rFonts w:ascii="宋体" w:hAnsi="宋体" w:eastAsia="宋体" w:cs="宋体"/>
          <w:spacing w:val="-39"/>
          <w:sz w:val="20"/>
          <w:szCs w:val="20"/>
        </w:rPr>
        <w:t xml:space="preserve"> </w:t>
      </w:r>
      <w:r>
        <w:rPr>
          <w:rFonts w:ascii="Calibri" w:hAnsi="Calibri" w:eastAsia="Calibri" w:cs="Calibri"/>
          <w:sz w:val="20"/>
          <w:szCs w:val="20"/>
        </w:rPr>
        <w:fldChar w:fldCharType="end"/>
      </w:r>
    </w:p>
    <w:p w14:paraId="4F42377E">
      <w:pPr>
        <w:tabs>
          <w:tab w:val="right" w:leader="dot" w:pos="8320"/>
        </w:tabs>
        <w:spacing w:before="102" w:line="193" w:lineRule="auto"/>
        <w:ind w:left="458"/>
        <w:rPr>
          <w:rFonts w:ascii="Calibri" w:hAnsi="Calibri" w:eastAsia="Calibri" w:cs="Calibri"/>
          <w:sz w:val="20"/>
          <w:szCs w:val="20"/>
        </w:rPr>
      </w:pPr>
      <w:r>
        <w:fldChar w:fldCharType="begin"/>
      </w:r>
      <w:r>
        <w:instrText xml:space="preserve"> HYPERLINK \l "bookmark2" </w:instrText>
      </w:r>
      <w:r>
        <w:fldChar w:fldCharType="separate"/>
      </w:r>
      <w:r>
        <w:rPr>
          <w:rFonts w:ascii="Times New Roman" w:hAnsi="Times New Roman" w:eastAsia="Times New Roman" w:cs="Times New Roman"/>
          <w:spacing w:val="5"/>
          <w:sz w:val="20"/>
          <w:szCs w:val="20"/>
        </w:rPr>
        <w:t>1</w:t>
      </w:r>
      <w:r>
        <w:rPr>
          <w:rFonts w:ascii="Times New Roman" w:hAnsi="Times New Roman" w:eastAsia="Times New Roman" w:cs="Times New Roman"/>
          <w:spacing w:val="-18"/>
          <w:sz w:val="20"/>
          <w:szCs w:val="20"/>
        </w:rPr>
        <w:t xml:space="preserve"> </w:t>
      </w:r>
      <w:r>
        <w:rPr>
          <w:rFonts w:ascii="宋体" w:hAnsi="宋体" w:eastAsia="宋体" w:cs="宋体"/>
          <w:spacing w:val="5"/>
          <w:sz w:val="20"/>
          <w:szCs w:val="20"/>
        </w:rPr>
        <w:t>、极地光伏系统环境特性与挑战</w:t>
      </w:r>
      <w:r>
        <w:rPr>
          <w:rFonts w:ascii="宋体" w:hAnsi="宋体" w:eastAsia="宋体" w:cs="宋体"/>
          <w:spacing w:val="-55"/>
          <w:sz w:val="20"/>
          <w:szCs w:val="20"/>
        </w:rPr>
        <w:t xml:space="preserve"> </w:t>
      </w:r>
      <w:r>
        <w:rPr>
          <w:rFonts w:ascii="宋体" w:hAnsi="宋体" w:eastAsia="宋体" w:cs="宋体"/>
          <w:sz w:val="20"/>
          <w:szCs w:val="20"/>
        </w:rPr>
        <w:tab/>
      </w:r>
      <w:r>
        <w:rPr>
          <w:rFonts w:ascii="宋体" w:hAnsi="宋体" w:eastAsia="宋体" w:cs="宋体"/>
          <w:spacing w:val="-63"/>
          <w:sz w:val="20"/>
          <w:szCs w:val="20"/>
        </w:rPr>
        <w:t xml:space="preserve"> </w:t>
      </w:r>
      <w:r>
        <w:rPr>
          <w:rFonts w:ascii="Calibri" w:hAnsi="Calibri" w:eastAsia="Calibri" w:cs="Calibri"/>
          <w:sz w:val="20"/>
          <w:szCs w:val="20"/>
        </w:rPr>
        <w:fldChar w:fldCharType="end"/>
      </w:r>
    </w:p>
    <w:p w14:paraId="3E8D6FD4">
      <w:pPr>
        <w:tabs>
          <w:tab w:val="right" w:leader="dot" w:pos="8320"/>
        </w:tabs>
        <w:spacing w:before="102" w:line="193" w:lineRule="auto"/>
        <w:ind w:left="458"/>
        <w:rPr>
          <w:rFonts w:ascii="Times New Roman" w:hAnsi="Times New Roman" w:eastAsia="Times New Roman" w:cs="Times New Roman"/>
          <w:spacing w:val="5"/>
          <w:sz w:val="20"/>
          <w:szCs w:val="20"/>
        </w:rPr>
      </w:pPr>
      <w:r>
        <w:rPr>
          <w:rFonts w:ascii="Times New Roman" w:hAnsi="Times New Roman" w:eastAsia="Times New Roman" w:cs="Times New Roman"/>
          <w:spacing w:val="5"/>
          <w:sz w:val="20"/>
          <w:szCs w:val="20"/>
        </w:rPr>
        <w:fldChar w:fldCharType="begin"/>
      </w:r>
      <w:r>
        <w:rPr>
          <w:rFonts w:ascii="Times New Roman" w:hAnsi="Times New Roman" w:eastAsia="Times New Roman" w:cs="Times New Roman"/>
          <w:spacing w:val="5"/>
          <w:sz w:val="20"/>
          <w:szCs w:val="20"/>
        </w:rPr>
        <w:instrText xml:space="preserve"> HYPERLINK \l "bookmark6" </w:instrText>
      </w:r>
      <w:r>
        <w:rPr>
          <w:rFonts w:ascii="Times New Roman" w:hAnsi="Times New Roman" w:eastAsia="Times New Roman" w:cs="Times New Roman"/>
          <w:spacing w:val="5"/>
          <w:sz w:val="20"/>
          <w:szCs w:val="20"/>
        </w:rPr>
        <w:fldChar w:fldCharType="separate"/>
      </w:r>
      <w:r>
        <w:rPr>
          <w:rFonts w:ascii="Times New Roman" w:hAnsi="Times New Roman" w:eastAsia="Times New Roman" w:cs="Times New Roman"/>
          <w:spacing w:val="5"/>
          <w:sz w:val="20"/>
          <w:szCs w:val="20"/>
        </w:rPr>
        <w:t>2</w:t>
      </w:r>
      <w:r>
        <w:rPr>
          <w:rFonts w:hint="default" w:ascii="Times New Roman" w:hAnsi="Times New Roman" w:eastAsia="Times New Roman" w:cs="Times New Roman"/>
          <w:spacing w:val="5"/>
          <w:sz w:val="20"/>
          <w:szCs w:val="20"/>
          <w:lang w:val="en-US" w:eastAsia="en-US"/>
        </w:rPr>
        <w:t>、光伏组件光学性能优化模型</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pacing w:val="5"/>
          <w:sz w:val="20"/>
          <w:szCs w:val="20"/>
        </w:rPr>
        <w:tab/>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pacing w:val="5"/>
          <w:sz w:val="20"/>
          <w:szCs w:val="20"/>
        </w:rPr>
        <w:fldChar w:fldCharType="end"/>
      </w:r>
    </w:p>
    <w:p w14:paraId="786F3210">
      <w:pPr>
        <w:tabs>
          <w:tab w:val="right" w:leader="dot" w:pos="8320"/>
        </w:tabs>
        <w:spacing w:before="102" w:line="193" w:lineRule="auto"/>
        <w:ind w:left="458"/>
        <w:rPr>
          <w:rFonts w:hint="default" w:ascii="Times New Roman" w:hAnsi="Times New Roman" w:eastAsia="Times New Roman" w:cs="Times New Roman"/>
          <w:spacing w:val="5"/>
          <w:sz w:val="20"/>
          <w:szCs w:val="20"/>
        </w:rPr>
      </w:pPr>
      <w:r>
        <w:rPr>
          <w:rFonts w:hint="default" w:ascii="Times New Roman" w:hAnsi="Times New Roman" w:eastAsia="Times New Roman" w:cs="Times New Roman"/>
          <w:spacing w:val="5"/>
          <w:sz w:val="20"/>
          <w:szCs w:val="20"/>
          <w:lang w:val="en-US" w:eastAsia="en-US"/>
        </w:rPr>
        <w:t>3、</w:t>
      </w:r>
      <w:r>
        <w:rPr>
          <w:rFonts w:hint="default" w:ascii="Times New Roman" w:hAnsi="Times New Roman" w:eastAsia="Times New Roman" w:cs="Times New Roman"/>
          <w:spacing w:val="5"/>
          <w:sz w:val="20"/>
          <w:szCs w:val="20"/>
        </w:rPr>
        <w:t>高纬度系统构型选择与优化</w:t>
      </w:r>
    </w:p>
    <w:p w14:paraId="360BE168">
      <w:pPr>
        <w:tabs>
          <w:tab w:val="right" w:leader="dot" w:pos="8320"/>
        </w:tabs>
        <w:spacing w:before="102" w:line="193" w:lineRule="auto"/>
        <w:ind w:left="458"/>
        <w:rPr>
          <w:rFonts w:ascii="Times New Roman" w:hAnsi="Times New Roman" w:eastAsia="Times New Roman" w:cs="Times New Roman"/>
          <w:spacing w:val="5"/>
          <w:sz w:val="20"/>
          <w:szCs w:val="20"/>
        </w:rPr>
      </w:pPr>
      <w:r>
        <w:rPr>
          <w:rFonts w:ascii="Times New Roman" w:hAnsi="Times New Roman" w:eastAsia="Times New Roman" w:cs="Times New Roman"/>
          <w:spacing w:val="5"/>
          <w:sz w:val="20"/>
          <w:szCs w:val="20"/>
          <w:lang w:val="en-US" w:eastAsia="en-US"/>
        </w:rPr>
        <w:t>4、</w:t>
      </w:r>
      <w:r>
        <w:rPr>
          <w:rFonts w:hint="default" w:ascii="Times New Roman" w:hAnsi="Times New Roman" w:eastAsia="Times New Roman" w:cs="Times New Roman"/>
          <w:spacing w:val="5"/>
          <w:sz w:val="20"/>
          <w:szCs w:val="20"/>
        </w:rPr>
        <w:t>严寒环境下的积雪损失评估</w:t>
      </w:r>
    </w:p>
    <w:p w14:paraId="79FEF27B">
      <w:pPr>
        <w:spacing w:before="103" w:line="228" w:lineRule="auto"/>
        <w:ind w:left="25"/>
        <w:rPr>
          <w:rFonts w:hint="default" w:ascii="宋体" w:hAnsi="宋体" w:eastAsia="宋体" w:cs="宋体"/>
          <w:sz w:val="20"/>
          <w:szCs w:val="20"/>
          <w:lang w:val="en-US" w:eastAsia="zh-CN"/>
        </w:rPr>
      </w:pPr>
      <w:r>
        <w:fldChar w:fldCharType="begin"/>
      </w:r>
      <w:r>
        <w:instrText xml:space="preserve"> HYPERLINK \l "bookmark7" </w:instrText>
      </w:r>
      <w:r>
        <w:fldChar w:fldCharType="separate"/>
      </w:r>
      <w:r>
        <w:rPr>
          <w:rFonts w:ascii="宋体" w:hAnsi="宋体" w:eastAsia="宋体" w:cs="宋体"/>
          <w:spacing w:val="7"/>
          <w:sz w:val="20"/>
          <w:szCs w:val="20"/>
        </w:rPr>
        <w:t>二、</w:t>
      </w:r>
      <w:r>
        <w:rPr>
          <w:rFonts w:hint="eastAsia" w:ascii="宋体" w:hAnsi="宋体" w:eastAsia="宋体" w:cs="宋体"/>
          <w:spacing w:val="7"/>
          <w:sz w:val="20"/>
          <w:szCs w:val="20"/>
          <w:lang w:val="en-US" w:eastAsia="zh-CN"/>
        </w:rPr>
        <w:t>系统</w:t>
      </w:r>
      <w:r>
        <w:rPr>
          <w:rFonts w:ascii="宋体" w:hAnsi="宋体" w:eastAsia="宋体" w:cs="宋体"/>
          <w:spacing w:val="7"/>
          <w:sz w:val="20"/>
          <w:szCs w:val="20"/>
        </w:rPr>
        <w:t>设计</w:t>
      </w:r>
      <w:r>
        <w:rPr>
          <w:rFonts w:ascii="宋体" w:hAnsi="宋体" w:eastAsia="宋体" w:cs="宋体"/>
          <w:spacing w:val="7"/>
          <w:sz w:val="20"/>
          <w:szCs w:val="20"/>
        </w:rPr>
        <w:fldChar w:fldCharType="end"/>
      </w:r>
      <w:r>
        <w:rPr>
          <w:rFonts w:hint="eastAsia" w:ascii="宋体" w:hAnsi="宋体" w:eastAsia="宋体" w:cs="宋体"/>
          <w:spacing w:val="7"/>
          <w:sz w:val="20"/>
          <w:szCs w:val="20"/>
          <w:lang w:val="en-US" w:eastAsia="zh-CN"/>
        </w:rPr>
        <w:t>与仿真</w:t>
      </w:r>
    </w:p>
    <w:p w14:paraId="5323E88C">
      <w:pPr>
        <w:tabs>
          <w:tab w:val="right" w:leader="dot" w:pos="8317"/>
        </w:tabs>
        <w:spacing w:before="66" w:line="229" w:lineRule="auto"/>
        <w:ind w:left="457"/>
        <w:rPr>
          <w:rFonts w:ascii="Calibri" w:hAnsi="Calibri" w:eastAsia="Calibri" w:cs="Calibri"/>
          <w:sz w:val="20"/>
          <w:szCs w:val="20"/>
        </w:rPr>
      </w:pPr>
      <w:r>
        <w:fldChar w:fldCharType="begin"/>
      </w:r>
      <w:r>
        <w:instrText xml:space="preserve"> HYPERLINK \l "bookmark8" </w:instrText>
      </w:r>
      <w:r>
        <w:fldChar w:fldCharType="separate"/>
      </w:r>
      <w:r>
        <w:rPr>
          <w:rFonts w:ascii="宋体" w:hAnsi="宋体" w:eastAsia="宋体" w:cs="宋体"/>
          <w:spacing w:val="1"/>
          <w:sz w:val="20"/>
          <w:szCs w:val="20"/>
        </w:rPr>
        <w:t>1、</w:t>
      </w:r>
      <w:r>
        <w:rPr>
          <w:rFonts w:hint="eastAsia" w:ascii="宋体" w:hAnsi="宋体" w:eastAsia="宋体" w:cs="宋体"/>
          <w:spacing w:val="1"/>
          <w:sz w:val="20"/>
          <w:szCs w:val="20"/>
          <w:lang w:val="en-US" w:eastAsia="zh-CN"/>
        </w:rPr>
        <w:t>极地光伏组件与系统设计方案</w:t>
      </w:r>
      <w:r>
        <w:rPr>
          <w:rFonts w:ascii="宋体" w:hAnsi="宋体" w:eastAsia="宋体" w:cs="宋体"/>
          <w:sz w:val="20"/>
          <w:szCs w:val="20"/>
        </w:rPr>
        <w:tab/>
      </w:r>
      <w:r>
        <w:rPr>
          <w:rFonts w:ascii="宋体" w:hAnsi="宋体" w:eastAsia="宋体" w:cs="宋体"/>
          <w:spacing w:val="-37"/>
          <w:sz w:val="20"/>
          <w:szCs w:val="20"/>
        </w:rPr>
        <w:t xml:space="preserve"> </w:t>
      </w:r>
      <w:r>
        <w:rPr>
          <w:rFonts w:ascii="Calibri" w:hAnsi="Calibri" w:eastAsia="Calibri" w:cs="Calibri"/>
          <w:spacing w:val="-5"/>
          <w:sz w:val="20"/>
          <w:szCs w:val="20"/>
        </w:rPr>
        <w:fldChar w:fldCharType="end"/>
      </w:r>
    </w:p>
    <w:p w14:paraId="5CE94D0F">
      <w:pPr>
        <w:tabs>
          <w:tab w:val="right" w:leader="dot" w:pos="8317"/>
        </w:tabs>
        <w:spacing w:before="63" w:line="193" w:lineRule="auto"/>
        <w:ind w:left="444"/>
        <w:rPr>
          <w:rFonts w:ascii="Calibri" w:hAnsi="Calibri" w:eastAsia="Calibri" w:cs="Calibri"/>
          <w:sz w:val="20"/>
          <w:szCs w:val="20"/>
        </w:rPr>
      </w:pPr>
      <w:r>
        <w:fldChar w:fldCharType="begin"/>
      </w:r>
      <w:r>
        <w:instrText xml:space="preserve"> HYPERLINK \l "bookmark9" </w:instrText>
      </w:r>
      <w:r>
        <w:fldChar w:fldCharType="separate"/>
      </w:r>
      <w:r>
        <w:rPr>
          <w:rFonts w:ascii="宋体" w:hAnsi="宋体" w:eastAsia="宋体" w:cs="宋体"/>
          <w:spacing w:val="6"/>
          <w:sz w:val="20"/>
          <w:szCs w:val="20"/>
        </w:rPr>
        <w:t>2、</w:t>
      </w:r>
      <w:r>
        <w:rPr>
          <w:rFonts w:hint="eastAsia" w:ascii="宋体" w:hAnsi="宋体" w:eastAsia="宋体" w:cs="宋体"/>
          <w:spacing w:val="6"/>
          <w:sz w:val="20"/>
          <w:szCs w:val="20"/>
          <w:lang w:val="en-US" w:eastAsia="zh-CN"/>
        </w:rPr>
        <w:t>Matlab与Python仿真</w:t>
      </w:r>
      <w:r>
        <w:rPr>
          <w:rFonts w:ascii="宋体" w:hAnsi="宋体" w:eastAsia="宋体" w:cs="宋体"/>
          <w:spacing w:val="-56"/>
          <w:sz w:val="20"/>
          <w:szCs w:val="20"/>
        </w:rPr>
        <w:t xml:space="preserve"> </w:t>
      </w:r>
      <w:r>
        <w:rPr>
          <w:rFonts w:ascii="宋体" w:hAnsi="宋体" w:eastAsia="宋体" w:cs="宋体"/>
          <w:sz w:val="20"/>
          <w:szCs w:val="20"/>
        </w:rPr>
        <w:tab/>
      </w:r>
      <w:r>
        <w:rPr>
          <w:rFonts w:ascii="宋体" w:hAnsi="宋体" w:eastAsia="宋体" w:cs="宋体"/>
          <w:spacing w:val="-38"/>
          <w:sz w:val="20"/>
          <w:szCs w:val="20"/>
        </w:rPr>
        <w:t xml:space="preserve"> </w:t>
      </w:r>
      <w:r>
        <w:rPr>
          <w:rFonts w:ascii="Calibri" w:hAnsi="Calibri" w:eastAsia="Calibri" w:cs="Calibri"/>
          <w:spacing w:val="-5"/>
          <w:sz w:val="20"/>
          <w:szCs w:val="20"/>
        </w:rPr>
        <w:fldChar w:fldCharType="end"/>
      </w:r>
    </w:p>
    <w:p w14:paraId="77B8C737">
      <w:pPr>
        <w:spacing w:before="67" w:line="228" w:lineRule="auto"/>
        <w:ind w:left="41"/>
        <w:rPr>
          <w:rFonts w:ascii="宋体" w:hAnsi="宋体" w:eastAsia="宋体" w:cs="宋体"/>
          <w:sz w:val="20"/>
          <w:szCs w:val="20"/>
        </w:rPr>
      </w:pPr>
      <w:r>
        <w:fldChar w:fldCharType="begin"/>
      </w:r>
      <w:r>
        <w:instrText xml:space="preserve"> HYPERLINK \l "bookmark13" </w:instrText>
      </w:r>
      <w:r>
        <w:fldChar w:fldCharType="separate"/>
      </w:r>
      <w:r>
        <w:rPr>
          <w:rFonts w:hint="eastAsia" w:eastAsia="宋体"/>
          <w:lang w:val="en-US" w:eastAsia="zh-CN"/>
        </w:rPr>
        <w:t>三</w:t>
      </w:r>
      <w:r>
        <w:rPr>
          <w:rFonts w:ascii="宋体" w:hAnsi="宋体" w:eastAsia="宋体" w:cs="宋体"/>
          <w:spacing w:val="6"/>
          <w:sz w:val="20"/>
          <w:szCs w:val="20"/>
        </w:rPr>
        <w:t>、</w:t>
      </w:r>
      <w:r>
        <w:rPr>
          <w:rFonts w:hint="eastAsia" w:ascii="宋体" w:hAnsi="宋体" w:eastAsia="宋体" w:cs="宋体"/>
          <w:spacing w:val="6"/>
          <w:sz w:val="20"/>
          <w:szCs w:val="20"/>
          <w:lang w:val="en-US" w:eastAsia="zh-CN"/>
        </w:rPr>
        <w:t>阶段性</w:t>
      </w:r>
      <w:r>
        <w:rPr>
          <w:rFonts w:ascii="宋体" w:hAnsi="宋体" w:eastAsia="宋体" w:cs="宋体"/>
          <w:spacing w:val="6"/>
          <w:sz w:val="20"/>
          <w:szCs w:val="20"/>
        </w:rPr>
        <w:t>结果</w:t>
      </w:r>
      <w:r>
        <w:rPr>
          <w:rFonts w:ascii="宋体" w:hAnsi="宋体" w:eastAsia="宋体" w:cs="宋体"/>
          <w:spacing w:val="6"/>
          <w:sz w:val="20"/>
          <w:szCs w:val="20"/>
        </w:rPr>
        <w:fldChar w:fldCharType="end"/>
      </w:r>
    </w:p>
    <w:p w14:paraId="5EBD71B1">
      <w:pPr>
        <w:tabs>
          <w:tab w:val="right" w:leader="dot" w:pos="8317"/>
        </w:tabs>
        <w:spacing w:before="65" w:line="228" w:lineRule="auto"/>
        <w:ind w:left="451"/>
        <w:rPr>
          <w:rFonts w:ascii="Calibri" w:hAnsi="Calibri" w:eastAsia="Calibri" w:cs="Calibri"/>
          <w:sz w:val="20"/>
          <w:szCs w:val="20"/>
        </w:rPr>
      </w:pPr>
      <w:r>
        <w:fldChar w:fldCharType="begin"/>
      </w:r>
      <w:r>
        <w:instrText xml:space="preserve"> HYPERLINK \l "bookmark14" </w:instrText>
      </w:r>
      <w:r>
        <w:fldChar w:fldCharType="separate"/>
      </w:r>
      <w:r>
        <w:rPr>
          <w:rFonts w:ascii="Calibri" w:hAnsi="Calibri" w:eastAsia="Calibri" w:cs="Calibri"/>
          <w:spacing w:val="-4"/>
          <w:sz w:val="20"/>
          <w:szCs w:val="20"/>
        </w:rPr>
        <w:t>1</w:t>
      </w:r>
      <w:r>
        <w:rPr>
          <w:rFonts w:ascii="宋体" w:hAnsi="宋体" w:eastAsia="宋体" w:cs="宋体"/>
          <w:spacing w:val="-4"/>
          <w:sz w:val="20"/>
          <w:szCs w:val="20"/>
        </w:rPr>
        <w:t>、</w:t>
      </w:r>
      <w:r>
        <w:rPr>
          <w:rFonts w:hint="eastAsia" w:ascii="宋体" w:hAnsi="宋体" w:eastAsia="宋体" w:cs="宋体"/>
          <w:spacing w:val="-4"/>
          <w:sz w:val="20"/>
          <w:szCs w:val="20"/>
          <w:lang w:val="en-US" w:eastAsia="zh-CN"/>
        </w:rPr>
        <w:t>代码运行结果</w:t>
      </w:r>
      <w:r>
        <w:rPr>
          <w:rFonts w:ascii="宋体" w:hAnsi="宋体" w:eastAsia="宋体" w:cs="宋体"/>
          <w:spacing w:val="-82"/>
          <w:sz w:val="20"/>
          <w:szCs w:val="20"/>
        </w:rPr>
        <w:t xml:space="preserve"> </w:t>
      </w:r>
      <w:r>
        <w:rPr>
          <w:rFonts w:ascii="宋体" w:hAnsi="宋体" w:eastAsia="宋体" w:cs="宋体"/>
          <w:sz w:val="20"/>
          <w:szCs w:val="20"/>
        </w:rPr>
        <w:tab/>
      </w:r>
      <w:r>
        <w:rPr>
          <w:rFonts w:ascii="Calibri" w:hAnsi="Calibri" w:eastAsia="Calibri" w:cs="Calibri"/>
          <w:spacing w:val="6"/>
          <w:sz w:val="20"/>
          <w:szCs w:val="20"/>
        </w:rPr>
        <w:fldChar w:fldCharType="end"/>
      </w:r>
    </w:p>
    <w:p w14:paraId="2B30EEB9">
      <w:pPr>
        <w:tabs>
          <w:tab w:val="right" w:leader="dot" w:pos="8317"/>
        </w:tabs>
        <w:spacing w:before="64" w:line="228" w:lineRule="auto"/>
        <w:ind w:left="445"/>
        <w:rPr>
          <w:rFonts w:ascii="Calibri" w:hAnsi="Calibri" w:eastAsia="Calibri" w:cs="Calibri"/>
          <w:sz w:val="20"/>
          <w:szCs w:val="20"/>
        </w:rPr>
      </w:pPr>
      <w:r>
        <w:fldChar w:fldCharType="begin"/>
      </w:r>
      <w:r>
        <w:instrText xml:space="preserve"> HYPERLINK \l "bookmark15" </w:instrText>
      </w:r>
      <w:r>
        <w:fldChar w:fldCharType="separate"/>
      </w:r>
      <w:r>
        <w:rPr>
          <w:rFonts w:ascii="Calibri" w:hAnsi="Calibri" w:eastAsia="Calibri" w:cs="Calibri"/>
          <w:spacing w:val="-3"/>
          <w:sz w:val="20"/>
          <w:szCs w:val="20"/>
        </w:rPr>
        <w:t>2</w:t>
      </w:r>
      <w:r>
        <w:rPr>
          <w:rFonts w:ascii="宋体" w:hAnsi="宋体" w:eastAsia="宋体" w:cs="宋体"/>
          <w:spacing w:val="-3"/>
          <w:sz w:val="20"/>
          <w:szCs w:val="20"/>
        </w:rPr>
        <w:t>、</w:t>
      </w:r>
      <w:r>
        <w:rPr>
          <w:rFonts w:hint="eastAsia" w:ascii="宋体" w:hAnsi="宋体" w:eastAsia="宋体" w:cs="宋体"/>
          <w:spacing w:val="-3"/>
          <w:sz w:val="20"/>
          <w:szCs w:val="20"/>
          <w:lang w:val="en-US" w:eastAsia="zh-CN"/>
        </w:rPr>
        <w:t>仿真</w:t>
      </w:r>
      <w:r>
        <w:rPr>
          <w:rFonts w:ascii="宋体" w:hAnsi="宋体" w:eastAsia="宋体" w:cs="宋体"/>
          <w:spacing w:val="-3"/>
          <w:sz w:val="20"/>
          <w:szCs w:val="20"/>
        </w:rPr>
        <w:t>结果</w:t>
      </w:r>
      <w:r>
        <w:rPr>
          <w:rFonts w:ascii="宋体" w:hAnsi="宋体" w:eastAsia="宋体" w:cs="宋体"/>
          <w:spacing w:val="-82"/>
          <w:sz w:val="20"/>
          <w:szCs w:val="20"/>
        </w:rPr>
        <w:t xml:space="preserve"> </w:t>
      </w:r>
      <w:r>
        <w:rPr>
          <w:rFonts w:ascii="宋体" w:hAnsi="宋体" w:eastAsia="宋体" w:cs="宋体"/>
          <w:sz w:val="20"/>
          <w:szCs w:val="20"/>
        </w:rPr>
        <w:tab/>
      </w:r>
      <w:r>
        <w:rPr>
          <w:rFonts w:ascii="Calibri" w:hAnsi="Calibri" w:eastAsia="Calibri" w:cs="Calibri"/>
          <w:spacing w:val="6"/>
          <w:sz w:val="20"/>
          <w:szCs w:val="20"/>
        </w:rPr>
        <w:fldChar w:fldCharType="end"/>
      </w:r>
    </w:p>
    <w:p w14:paraId="2CB99A29">
      <w:pPr>
        <w:spacing w:before="65" w:line="229" w:lineRule="auto"/>
        <w:ind w:left="25"/>
        <w:rPr>
          <w:rFonts w:ascii="宋体" w:hAnsi="宋体" w:eastAsia="宋体" w:cs="宋体"/>
          <w:sz w:val="20"/>
          <w:szCs w:val="20"/>
        </w:rPr>
      </w:pPr>
      <w:r>
        <w:fldChar w:fldCharType="begin"/>
      </w:r>
      <w:r>
        <w:instrText xml:space="preserve"> HYPERLINK \l "bookmark16" </w:instrText>
      </w:r>
      <w:r>
        <w:fldChar w:fldCharType="separate"/>
      </w:r>
      <w:r>
        <w:rPr>
          <w:rFonts w:hint="eastAsia" w:eastAsia="宋体"/>
          <w:lang w:val="en-US" w:eastAsia="zh-CN"/>
        </w:rPr>
        <w:t>四</w:t>
      </w:r>
      <w:r>
        <w:rPr>
          <w:rFonts w:ascii="宋体" w:hAnsi="宋体" w:eastAsia="宋体" w:cs="宋体"/>
          <w:spacing w:val="8"/>
          <w:sz w:val="20"/>
          <w:szCs w:val="20"/>
        </w:rPr>
        <w:t>、总结与展望</w:t>
      </w:r>
      <w:r>
        <w:rPr>
          <w:rFonts w:ascii="宋体" w:hAnsi="宋体" w:eastAsia="宋体" w:cs="宋体"/>
          <w:spacing w:val="8"/>
          <w:sz w:val="20"/>
          <w:szCs w:val="20"/>
        </w:rPr>
        <w:fldChar w:fldCharType="end"/>
      </w:r>
    </w:p>
    <w:p w14:paraId="542C1AD0">
      <w:pPr>
        <w:tabs>
          <w:tab w:val="right" w:leader="dot" w:pos="8182"/>
        </w:tabs>
        <w:spacing w:before="64" w:line="227" w:lineRule="auto"/>
        <w:ind w:left="457"/>
        <w:rPr>
          <w:rFonts w:ascii="宋体" w:hAnsi="宋体" w:eastAsia="宋体" w:cs="宋体"/>
          <w:sz w:val="20"/>
          <w:szCs w:val="20"/>
        </w:rPr>
      </w:pPr>
      <w:r>
        <w:fldChar w:fldCharType="begin"/>
      </w:r>
      <w:r>
        <w:instrText xml:space="preserve"> HYPERLINK \l "bookmark17" </w:instrText>
      </w:r>
      <w:r>
        <w:fldChar w:fldCharType="separate"/>
      </w:r>
      <w:r>
        <w:rPr>
          <w:rFonts w:ascii="宋体" w:hAnsi="宋体" w:eastAsia="宋体" w:cs="宋体"/>
          <w:spacing w:val="5"/>
          <w:sz w:val="20"/>
          <w:szCs w:val="20"/>
        </w:rPr>
        <w:t>1、个人心得</w:t>
      </w:r>
      <w:r>
        <w:rPr>
          <w:rFonts w:ascii="宋体" w:hAnsi="宋体" w:eastAsia="宋体" w:cs="宋体"/>
          <w:spacing w:val="-59"/>
          <w:sz w:val="20"/>
          <w:szCs w:val="20"/>
        </w:rPr>
        <w:t xml:space="preserve"> </w:t>
      </w:r>
      <w:r>
        <w:rPr>
          <w:rFonts w:ascii="宋体" w:hAnsi="宋体" w:eastAsia="宋体" w:cs="宋体"/>
          <w:sz w:val="20"/>
          <w:szCs w:val="20"/>
        </w:rPr>
        <w:tab/>
      </w:r>
      <w:r>
        <w:rPr>
          <w:rFonts w:ascii="宋体" w:hAnsi="宋体" w:eastAsia="宋体" w:cs="宋体"/>
          <w:spacing w:val="-63"/>
          <w:sz w:val="20"/>
          <w:szCs w:val="20"/>
        </w:rPr>
        <w:t xml:space="preserve"> </w:t>
      </w:r>
      <w:r>
        <w:rPr>
          <w:rFonts w:ascii="宋体" w:hAnsi="宋体" w:eastAsia="宋体" w:cs="宋体"/>
          <w:b/>
          <w:bCs/>
          <w:sz w:val="20"/>
          <w:szCs w:val="20"/>
        </w:rPr>
        <w:fldChar w:fldCharType="end"/>
      </w:r>
    </w:p>
    <w:p w14:paraId="0808451A">
      <w:pPr>
        <w:tabs>
          <w:tab w:val="right" w:leader="dot" w:pos="8315"/>
        </w:tabs>
        <w:spacing w:before="66" w:line="228" w:lineRule="auto"/>
        <w:ind w:left="445"/>
        <w:rPr>
          <w:rFonts w:ascii="Calibri" w:hAnsi="Calibri" w:eastAsia="Calibri" w:cs="Calibri"/>
          <w:sz w:val="20"/>
          <w:szCs w:val="20"/>
        </w:rPr>
      </w:pPr>
      <w:r>
        <w:fldChar w:fldCharType="begin"/>
      </w:r>
      <w:r>
        <w:instrText xml:space="preserve"> HYPERLINK \l "bookmark18" </w:instrText>
      </w:r>
      <w:r>
        <w:fldChar w:fldCharType="separate"/>
      </w:r>
      <w:r>
        <w:rPr>
          <w:rFonts w:ascii="Calibri" w:hAnsi="Calibri" w:eastAsia="Calibri" w:cs="Calibri"/>
          <w:spacing w:val="5"/>
          <w:sz w:val="20"/>
          <w:szCs w:val="20"/>
        </w:rPr>
        <w:t>2</w:t>
      </w:r>
      <w:r>
        <w:rPr>
          <w:rFonts w:ascii="Calibri" w:hAnsi="Calibri" w:eastAsia="Calibri" w:cs="Calibri"/>
          <w:spacing w:val="-21"/>
          <w:sz w:val="20"/>
          <w:szCs w:val="20"/>
        </w:rPr>
        <w:t xml:space="preserve"> </w:t>
      </w:r>
      <w:r>
        <w:rPr>
          <w:rFonts w:ascii="宋体" w:hAnsi="宋体" w:eastAsia="宋体" w:cs="宋体"/>
          <w:spacing w:val="5"/>
          <w:sz w:val="20"/>
          <w:szCs w:val="20"/>
        </w:rPr>
        <w:t>、可能的改进方向</w:t>
      </w:r>
      <w:r>
        <w:rPr>
          <w:rFonts w:ascii="宋体" w:hAnsi="宋体" w:eastAsia="宋体" w:cs="宋体"/>
          <w:spacing w:val="-83"/>
          <w:sz w:val="20"/>
          <w:szCs w:val="20"/>
        </w:rPr>
        <w:t xml:space="preserve"> </w:t>
      </w:r>
      <w:r>
        <w:rPr>
          <w:rFonts w:ascii="宋体" w:hAnsi="宋体" w:eastAsia="宋体" w:cs="宋体"/>
          <w:sz w:val="20"/>
          <w:szCs w:val="20"/>
        </w:rPr>
        <w:tab/>
      </w:r>
      <w:r>
        <w:rPr>
          <w:rFonts w:ascii="Calibri" w:hAnsi="Calibri" w:eastAsia="Calibri" w:cs="Calibri"/>
          <w:spacing w:val="5"/>
          <w:sz w:val="20"/>
          <w:szCs w:val="20"/>
        </w:rPr>
        <w:fldChar w:fldCharType="end"/>
      </w:r>
    </w:p>
    <w:p w14:paraId="300DE8A6">
      <w:pPr>
        <w:tabs>
          <w:tab w:val="right" w:leader="dot" w:pos="8315"/>
        </w:tabs>
        <w:spacing w:before="66" w:line="228" w:lineRule="auto"/>
        <w:ind w:left="444"/>
        <w:rPr>
          <w:rFonts w:ascii="Calibri" w:hAnsi="Calibri" w:eastAsia="Calibri" w:cs="Calibri"/>
          <w:sz w:val="20"/>
          <w:szCs w:val="20"/>
        </w:rPr>
      </w:pPr>
      <w:r>
        <w:fldChar w:fldCharType="begin"/>
      </w:r>
      <w:r>
        <w:instrText xml:space="preserve"> HYPERLINK \l "bookmark19" </w:instrText>
      </w:r>
      <w:r>
        <w:fldChar w:fldCharType="separate"/>
      </w:r>
      <w:r>
        <w:rPr>
          <w:rFonts w:ascii="Calibri" w:hAnsi="Calibri" w:eastAsia="Calibri" w:cs="Calibri"/>
          <w:spacing w:val="-3"/>
          <w:sz w:val="20"/>
          <w:szCs w:val="20"/>
        </w:rPr>
        <w:t>3</w:t>
      </w:r>
      <w:r>
        <w:rPr>
          <w:rFonts w:ascii="Calibri" w:hAnsi="Calibri" w:eastAsia="Calibri" w:cs="Calibri"/>
          <w:spacing w:val="-22"/>
          <w:sz w:val="20"/>
          <w:szCs w:val="20"/>
        </w:rPr>
        <w:t xml:space="preserve"> </w:t>
      </w:r>
      <w:r>
        <w:rPr>
          <w:rFonts w:ascii="宋体" w:hAnsi="宋体" w:eastAsia="宋体" w:cs="宋体"/>
          <w:spacing w:val="-3"/>
          <w:sz w:val="20"/>
          <w:szCs w:val="20"/>
        </w:rPr>
        <w:t>、致谢</w:t>
      </w:r>
      <w:r>
        <w:rPr>
          <w:rFonts w:hint="eastAsia" w:ascii="宋体" w:hAnsi="宋体" w:eastAsia="宋体" w:cs="宋体"/>
          <w:spacing w:val="-3"/>
          <w:sz w:val="20"/>
          <w:szCs w:val="20"/>
          <w:lang w:val="en-US" w:eastAsia="zh-CN"/>
        </w:rPr>
        <w:t xml:space="preserve"> </w:t>
      </w:r>
      <w:r>
        <w:rPr>
          <w:rFonts w:ascii="宋体" w:hAnsi="宋体" w:eastAsia="宋体" w:cs="宋体"/>
          <w:spacing w:val="-82"/>
          <w:sz w:val="20"/>
          <w:szCs w:val="20"/>
        </w:rPr>
        <w:t xml:space="preserve"> </w:t>
      </w:r>
      <w:r>
        <w:rPr>
          <w:rFonts w:ascii="宋体" w:hAnsi="宋体" w:eastAsia="宋体" w:cs="宋体"/>
          <w:sz w:val="20"/>
          <w:szCs w:val="20"/>
        </w:rPr>
        <w:tab/>
      </w:r>
      <w:r>
        <w:rPr>
          <w:rFonts w:ascii="Calibri" w:hAnsi="Calibri" w:eastAsia="Calibri" w:cs="Calibri"/>
          <w:spacing w:val="4"/>
          <w:sz w:val="20"/>
          <w:szCs w:val="20"/>
        </w:rPr>
        <w:fldChar w:fldCharType="end"/>
      </w:r>
    </w:p>
    <w:p w14:paraId="21DCE42E">
      <w:pPr>
        <w:rPr>
          <w:rFonts w:ascii="Calibri" w:hAnsi="Calibri" w:eastAsia="Calibri" w:cs="Calibri"/>
          <w:sz w:val="20"/>
          <w:szCs w:val="20"/>
        </w:rPr>
        <w:sectPr>
          <w:pgSz w:w="11906" w:h="16838"/>
          <w:pgMar w:top="1440" w:right="1800" w:bottom="1440" w:left="1800" w:header="851" w:footer="992" w:gutter="0"/>
          <w:cols w:space="425" w:num="1"/>
          <w:docGrid w:type="lines" w:linePitch="312" w:charSpace="0"/>
        </w:sectPr>
      </w:pPr>
      <w:r>
        <w:fldChar w:fldCharType="begin"/>
      </w:r>
      <w:r>
        <w:instrText xml:space="preserve"> HYPERLINK \l "bookmark20" </w:instrText>
      </w:r>
      <w:r>
        <w:fldChar w:fldCharType="separate"/>
      </w:r>
      <w:r>
        <w:rPr>
          <w:rFonts w:ascii="宋体" w:hAnsi="宋体" w:eastAsia="宋体" w:cs="宋体"/>
          <w:spacing w:val="6"/>
          <w:sz w:val="20"/>
          <w:szCs w:val="20"/>
        </w:rPr>
        <w:t>参考文献</w:t>
      </w:r>
      <w:r>
        <w:rPr>
          <w:rFonts w:ascii="宋体" w:hAnsi="宋体" w:eastAsia="宋体" w:cs="宋体"/>
          <w:spacing w:val="-80"/>
          <w:sz w:val="20"/>
          <w:szCs w:val="20"/>
        </w:rPr>
        <w:t xml:space="preserve"> </w:t>
      </w:r>
      <w:r>
        <w:rPr>
          <w:rFonts w:ascii="宋体" w:hAnsi="宋体" w:eastAsia="宋体" w:cs="宋体"/>
          <w:sz w:val="20"/>
          <w:szCs w:val="20"/>
        </w:rPr>
        <w:tab/>
      </w:r>
      <w:r>
        <w:rPr>
          <w:rFonts w:ascii="Calibri" w:hAnsi="Calibri" w:eastAsia="Calibri" w:cs="Calibri"/>
          <w:spacing w:val="5"/>
          <w:sz w:val="20"/>
          <w:szCs w:val="20"/>
        </w:rPr>
        <w:fldChar w:fldCharType="end"/>
      </w:r>
    </w:p>
    <w:p w14:paraId="4F810C95">
      <w:pPr>
        <w:numPr>
          <w:ilvl w:val="0"/>
          <w:numId w:val="0"/>
        </w:numPr>
        <w:spacing w:before="91" w:line="221" w:lineRule="auto"/>
        <w:ind w:left="3411" w:leftChars="0"/>
        <w:outlineLvl w:val="0"/>
        <w:rPr>
          <w:rFonts w:hint="default" w:ascii="宋体" w:hAnsi="宋体" w:eastAsia="宋体" w:cs="宋体"/>
          <w:b/>
          <w:bCs/>
          <w:spacing w:val="-7"/>
          <w:sz w:val="28"/>
          <w:szCs w:val="28"/>
          <w:lang w:val="en-US" w:eastAsia="zh-CN"/>
        </w:rPr>
      </w:pPr>
      <w:r>
        <w:rPr>
          <w:rFonts w:hint="eastAsia" w:ascii="宋体" w:hAnsi="宋体" w:eastAsia="宋体" w:cs="宋体"/>
          <w:b/>
          <w:bCs/>
          <w:snapToGrid w:val="0"/>
          <w:color w:val="000000"/>
          <w:spacing w:val="-7"/>
          <w:kern w:val="0"/>
          <w:sz w:val="28"/>
          <w:szCs w:val="28"/>
          <w:lang w:val="en-US" w:eastAsia="zh-CN" w:bidi="ar-SA"/>
        </w:rPr>
        <w:t>一.</w:t>
      </w:r>
      <w:r>
        <w:rPr>
          <w:rFonts w:hint="default" w:ascii="宋体" w:hAnsi="宋体" w:eastAsia="宋体" w:cs="宋体"/>
          <w:b/>
          <w:bCs/>
          <w:spacing w:val="-7"/>
          <w:sz w:val="28"/>
          <w:szCs w:val="28"/>
          <w:lang w:val="en-US" w:eastAsia="zh-CN"/>
        </w:rPr>
        <w:t>文献综述</w:t>
      </w:r>
    </w:p>
    <w:p w14:paraId="3DC30EA8">
      <w:pPr>
        <w:numPr>
          <w:ilvl w:val="0"/>
          <w:numId w:val="0"/>
        </w:numPr>
        <w:spacing w:before="91" w:line="221" w:lineRule="auto"/>
        <w:outlineLvl w:val="0"/>
        <w:rPr>
          <w:rFonts w:hint="eastAsia" w:ascii="宋体" w:hAnsi="宋体" w:eastAsia="宋体" w:cs="宋体"/>
          <w:b/>
          <w:bCs/>
          <w:spacing w:val="-7"/>
          <w:sz w:val="28"/>
          <w:szCs w:val="28"/>
          <w:lang w:val="en-US" w:eastAsia="zh-CN"/>
        </w:rPr>
      </w:pPr>
    </w:p>
    <w:p w14:paraId="48121473">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摘要</w:t>
      </w:r>
      <w:r>
        <w:rPr>
          <w:rFonts w:hint="default" w:ascii="宋体" w:hAnsi="宋体" w:eastAsia="宋体" w:cs="宋体"/>
          <w:snapToGrid w:val="0"/>
          <w:color w:val="000000"/>
          <w:kern w:val="0"/>
          <w:sz w:val="24"/>
          <w:szCs w:val="24"/>
          <w:lang w:val="en-US" w:eastAsia="zh-CN" w:bidi="ar"/>
        </w:rPr>
        <w:t>： 随着全球能源转型及极地科考需求的增加，高纬度及极地环境下的光伏（PV）发电技术成为近年来的研究热点。由于极地地区具有太阳高度角极低、地表反照率高以及严寒多雪</w:t>
      </w:r>
      <w:r>
        <w:rPr>
          <w:rFonts w:hint="default" w:ascii="宋体" w:hAnsi="宋体" w:eastAsia="宋体" w:cs="宋体"/>
          <w:spacing w:val="-3"/>
          <w:sz w:val="24"/>
          <w:szCs w:val="24"/>
          <w:lang w:val="en-US" w:eastAsia="zh-CN"/>
        </w:rPr>
        <w:t>等特殊环境特征，传统光伏模型在评估有效辐照度及发电性能时存在显著误差。本文针对极地光伏组件的最新研究现状，从光谱反照率特性、光学性能修正模型、系统构型优化以及积雪损失评估、</w:t>
      </w:r>
      <w:r>
        <w:rPr>
          <w:rFonts w:hint="eastAsia" w:ascii="宋体" w:hAnsi="宋体" w:eastAsia="宋体" w:cs="宋体"/>
          <w:spacing w:val="-3"/>
          <w:sz w:val="24"/>
          <w:szCs w:val="24"/>
          <w:lang w:val="en-US" w:eastAsia="zh-CN"/>
        </w:rPr>
        <w:t>系统设计及阴影遮挡等</w:t>
      </w:r>
      <w:r>
        <w:rPr>
          <w:rFonts w:hint="default" w:ascii="宋体" w:hAnsi="宋体" w:eastAsia="宋体" w:cs="宋体"/>
          <w:spacing w:val="-3"/>
          <w:sz w:val="24"/>
          <w:szCs w:val="24"/>
          <w:lang w:val="en-US" w:eastAsia="zh-CN"/>
        </w:rPr>
        <w:t>维度进行了综述，探讨了</w:t>
      </w:r>
      <w:r>
        <w:rPr>
          <w:rFonts w:hint="eastAsia" w:ascii="宋体" w:hAnsi="宋体" w:eastAsia="宋体" w:cs="宋体"/>
          <w:spacing w:val="-3"/>
          <w:sz w:val="24"/>
          <w:szCs w:val="24"/>
          <w:lang w:val="en-US" w:eastAsia="zh-CN"/>
        </w:rPr>
        <w:t>当代光伏</w:t>
      </w:r>
      <w:r>
        <w:rPr>
          <w:rFonts w:hint="default" w:ascii="宋体" w:hAnsi="宋体" w:eastAsia="宋体" w:cs="宋体"/>
          <w:spacing w:val="-3"/>
          <w:sz w:val="24"/>
          <w:szCs w:val="24"/>
          <w:lang w:val="en-US" w:eastAsia="zh-CN"/>
        </w:rPr>
        <w:t>技术在极地环境下的增益潜</w:t>
      </w:r>
      <w:r>
        <w:rPr>
          <w:rFonts w:hint="default" w:ascii="宋体" w:hAnsi="宋体" w:eastAsia="宋体" w:cs="宋体"/>
          <w:snapToGrid w:val="0"/>
          <w:color w:val="000000"/>
          <w:kern w:val="0"/>
          <w:sz w:val="24"/>
          <w:szCs w:val="24"/>
          <w:lang w:val="en-US" w:eastAsia="zh-CN" w:bidi="ar"/>
        </w:rPr>
        <w:t>力，并总结了当前环境感知与模拟技术的特点。</w:t>
      </w:r>
    </w:p>
    <w:p w14:paraId="43A10C7A">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42BE3189">
      <w:pPr>
        <w:keepNext w:val="0"/>
        <w:keepLines w:val="0"/>
        <w:widowControl/>
        <w:suppressLineNumbers w:val="0"/>
        <w:spacing w:line="360" w:lineRule="auto"/>
        <w:ind w:firstLine="420" w:firstLineChars="0"/>
        <w:jc w:val="left"/>
        <w:rPr>
          <w:rFonts w:hint="eastAsia" w:ascii="宋体" w:hAnsi="宋体" w:eastAsia="宋体" w:cs="宋体"/>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关键词</w:t>
      </w:r>
      <w:r>
        <w:rPr>
          <w:rFonts w:hint="default" w:ascii="宋体" w:hAnsi="宋体" w:eastAsia="宋体" w:cs="宋体"/>
          <w:snapToGrid w:val="0"/>
          <w:color w:val="000000"/>
          <w:kern w:val="0"/>
          <w:sz w:val="24"/>
          <w:szCs w:val="24"/>
          <w:lang w:val="en-US" w:eastAsia="zh-CN" w:bidi="ar"/>
        </w:rPr>
        <w:t>： 极地光伏</w:t>
      </w:r>
      <w:r>
        <w:rPr>
          <w:rFonts w:hint="eastAsia" w:ascii="宋体" w:hAnsi="宋体" w:eastAsia="宋体" w:cs="宋体"/>
          <w:snapToGrid w:val="0"/>
          <w:color w:val="000000"/>
          <w:kern w:val="0"/>
          <w:sz w:val="24"/>
          <w:szCs w:val="24"/>
          <w:lang w:val="en-US" w:eastAsia="zh-CN" w:bidi="ar"/>
        </w:rPr>
        <w:t xml:space="preserve">, 组件角度, </w:t>
      </w:r>
      <w:r>
        <w:rPr>
          <w:rFonts w:hint="default" w:ascii="宋体" w:hAnsi="宋体" w:eastAsia="宋体" w:cs="宋体"/>
          <w:snapToGrid w:val="0"/>
          <w:color w:val="000000"/>
          <w:kern w:val="0"/>
          <w:sz w:val="24"/>
          <w:szCs w:val="24"/>
          <w:lang w:val="en-US" w:eastAsia="zh-CN" w:bidi="ar"/>
        </w:rPr>
        <w:t>反照率修正</w:t>
      </w:r>
      <w:r>
        <w:rPr>
          <w:rFonts w:hint="eastAsia" w:ascii="宋体" w:hAnsi="宋体" w:eastAsia="宋体" w:cs="宋体"/>
          <w:snapToGrid w:val="0"/>
          <w:color w:val="000000"/>
          <w:kern w:val="0"/>
          <w:sz w:val="24"/>
          <w:szCs w:val="24"/>
          <w:lang w:val="en-US" w:eastAsia="zh-CN" w:bidi="ar"/>
        </w:rPr>
        <w:t xml:space="preserve">, </w:t>
      </w:r>
      <w:r>
        <w:rPr>
          <w:rFonts w:hint="default" w:ascii="宋体" w:hAnsi="宋体" w:eastAsia="宋体" w:cs="宋体"/>
          <w:snapToGrid w:val="0"/>
          <w:color w:val="000000"/>
          <w:kern w:val="0"/>
          <w:sz w:val="24"/>
          <w:szCs w:val="24"/>
          <w:lang w:val="en-US" w:eastAsia="zh-CN" w:bidi="ar"/>
        </w:rPr>
        <w:t>积雪损失</w:t>
      </w:r>
      <w:r>
        <w:rPr>
          <w:rFonts w:hint="eastAsia" w:ascii="宋体" w:hAnsi="宋体" w:eastAsia="宋体" w:cs="宋体"/>
          <w:snapToGrid w:val="0"/>
          <w:color w:val="000000"/>
          <w:kern w:val="0"/>
          <w:sz w:val="24"/>
          <w:szCs w:val="24"/>
          <w:lang w:val="en-US" w:eastAsia="zh-CN" w:bidi="ar"/>
        </w:rPr>
        <w:t>模型, 阴影遮挡, 阵列系统</w:t>
      </w:r>
    </w:p>
    <w:p w14:paraId="21120B41">
      <w:pPr>
        <w:keepNext w:val="0"/>
        <w:keepLines w:val="0"/>
        <w:widowControl/>
        <w:suppressLineNumbers w:val="0"/>
        <w:ind w:firstLine="420" w:firstLineChars="0"/>
        <w:jc w:val="left"/>
        <w:rPr>
          <w:rFonts w:hint="eastAsia" w:ascii="宋体" w:hAnsi="宋体" w:eastAsia="宋体" w:cs="宋体"/>
          <w:snapToGrid w:val="0"/>
          <w:color w:val="000000"/>
          <w:kern w:val="0"/>
          <w:sz w:val="24"/>
          <w:szCs w:val="24"/>
          <w:lang w:val="en-US" w:eastAsia="zh-CN" w:bidi="ar"/>
        </w:rPr>
      </w:pPr>
    </w:p>
    <w:p w14:paraId="4C6806A3">
      <w:pPr>
        <w:keepNext w:val="0"/>
        <w:keepLines w:val="0"/>
        <w:widowControl/>
        <w:suppressLineNumbers w:val="0"/>
        <w:ind w:firstLine="420" w:firstLineChars="0"/>
        <w:jc w:val="left"/>
        <w:rPr>
          <w:rFonts w:hint="eastAsia" w:ascii="宋体" w:hAnsi="宋体" w:eastAsia="宋体" w:cs="宋体"/>
          <w:snapToGrid w:val="0"/>
          <w:color w:val="000000"/>
          <w:kern w:val="0"/>
          <w:sz w:val="24"/>
          <w:szCs w:val="24"/>
          <w:lang w:val="en-US" w:eastAsia="zh-CN" w:bidi="ar"/>
        </w:rPr>
      </w:pPr>
    </w:p>
    <w:p w14:paraId="1E20510E">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firstLine="420" w:firstLineChars="0"/>
        <w:jc w:val="left"/>
        <w:textAlignment w:val="baseline"/>
        <w:rPr>
          <w:rFonts w:hint="default" w:ascii="Calibri" w:hAnsi="Calibri" w:eastAsia="宋体" w:cs="Calibri"/>
          <w:snapToGrid w:val="0"/>
          <w:color w:val="000000"/>
          <w:kern w:val="0"/>
          <w:sz w:val="24"/>
          <w:szCs w:val="24"/>
          <w:lang w:val="en-US" w:eastAsia="zh-CN" w:bidi="ar"/>
        </w:rPr>
      </w:pPr>
      <w:r>
        <w:rPr>
          <w:rFonts w:hint="default" w:ascii="Calibri" w:hAnsi="Calibri" w:eastAsia="宋体" w:cs="Calibri"/>
          <w:b/>
          <w:bCs/>
          <w:snapToGrid w:val="0"/>
          <w:color w:val="000000"/>
          <w:kern w:val="0"/>
          <w:sz w:val="24"/>
          <w:szCs w:val="24"/>
          <w:lang w:val="en-US" w:eastAsia="zh-CN" w:bidi="ar"/>
        </w:rPr>
        <w:t>Abstract</w:t>
      </w:r>
      <w:r>
        <w:rPr>
          <w:rFonts w:hint="default" w:ascii="Calibri" w:hAnsi="Calibri" w:eastAsia="宋体" w:cs="Calibri"/>
          <w:snapToGrid w:val="0"/>
          <w:color w:val="000000"/>
          <w:kern w:val="0"/>
          <w:sz w:val="24"/>
          <w:szCs w:val="24"/>
          <w:lang w:val="en-US" w:eastAsia="zh-CN" w:bidi="ar"/>
        </w:rPr>
        <w:t>: </w:t>
      </w:r>
      <w:r>
        <w:rPr>
          <w:rFonts w:hint="eastAsia" w:ascii="Calibri" w:hAnsi="Calibri" w:eastAsia="宋体" w:cs="Calibri"/>
          <w:snapToGrid w:val="0"/>
          <w:color w:val="000000"/>
          <w:kern w:val="0"/>
          <w:sz w:val="24"/>
          <w:szCs w:val="24"/>
          <w:lang w:val="en-US" w:eastAsia="zh-CN" w:bidi="ar"/>
        </w:rPr>
        <w:t xml:space="preserve"> </w:t>
      </w:r>
      <w:r>
        <w:rPr>
          <w:rFonts w:hint="default" w:ascii="Calibri" w:hAnsi="Calibri" w:eastAsia="宋体" w:cs="Calibri"/>
          <w:snapToGrid w:val="0"/>
          <w:color w:val="000000"/>
          <w:kern w:val="0"/>
          <w:sz w:val="24"/>
          <w:szCs w:val="24"/>
          <w:lang w:val="en-US" w:eastAsia="zh-CN" w:bidi="ar"/>
        </w:rPr>
        <w:t>With the increasing global energy transition and the growing demand for polar scientific expeditions, photovoltaic (PV) power generation technology in high-latitude and polar environments has become a research hotspot in recent years. Due to the unique environmental characteristics of polar regions, such as extremely low solar elevation angles, high surface albedo, and harsh, snowy conditions, traditional PV models exhibit significant errors in evaluating effective irradiance and power generation performance. This paper reviews the current state of research on polar PV modules, focusing on four dimensions: spectral albedo characteristics, optical performance correction models, system configuration optimization, and snow loss assessment. It explores the potential gains of bifacial photovoltaic (bPV) technology in polar environments and summarizes the characteristics of current environmental perception and simulation technologies.</w:t>
      </w:r>
    </w:p>
    <w:p w14:paraId="0D35C558">
      <w:pPr>
        <w:keepNext w:val="0"/>
        <w:keepLines w:val="0"/>
        <w:widowControl/>
        <w:suppressLineNumbers w:val="0"/>
        <w:ind w:firstLine="420" w:firstLineChars="0"/>
        <w:jc w:val="left"/>
        <w:rPr>
          <w:rFonts w:hint="default" w:ascii="Calibri" w:hAnsi="Calibri" w:eastAsia="宋体" w:cs="Calibri"/>
          <w:snapToGrid w:val="0"/>
          <w:color w:val="000000"/>
          <w:kern w:val="0"/>
          <w:sz w:val="24"/>
          <w:szCs w:val="24"/>
          <w:lang w:val="en-US" w:eastAsia="zh-CN" w:bidi="ar"/>
        </w:rPr>
      </w:pPr>
    </w:p>
    <w:p w14:paraId="30FF1C70">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firstLine="420" w:firstLineChars="0"/>
        <w:jc w:val="left"/>
        <w:textAlignment w:val="baseline"/>
        <w:rPr>
          <w:rFonts w:hint="default" w:ascii="Calibri" w:hAnsi="Calibri" w:eastAsia="宋体" w:cs="Calibri"/>
          <w:snapToGrid w:val="0"/>
          <w:color w:val="000000"/>
          <w:kern w:val="0"/>
          <w:sz w:val="24"/>
          <w:szCs w:val="24"/>
          <w:lang w:val="en-US" w:eastAsia="zh-CN" w:bidi="ar"/>
        </w:rPr>
      </w:pPr>
      <w:r>
        <w:rPr>
          <w:rFonts w:hint="default" w:ascii="Calibri" w:hAnsi="Calibri" w:eastAsia="宋体" w:cs="Calibri"/>
          <w:b/>
          <w:bCs/>
          <w:snapToGrid w:val="0"/>
          <w:color w:val="000000"/>
          <w:kern w:val="0"/>
          <w:sz w:val="24"/>
          <w:szCs w:val="24"/>
          <w:lang w:val="en-US" w:eastAsia="zh-CN" w:bidi="ar"/>
        </w:rPr>
        <w:t>Keywords</w:t>
      </w:r>
      <w:r>
        <w:rPr>
          <w:rFonts w:hint="default" w:ascii="Calibri" w:hAnsi="Calibri" w:eastAsia="宋体" w:cs="Calibri"/>
          <w:snapToGrid w:val="0"/>
          <w:color w:val="000000"/>
          <w:kern w:val="0"/>
          <w:sz w:val="24"/>
          <w:szCs w:val="24"/>
          <w:lang w:val="en-US" w:eastAsia="zh-CN" w:bidi="ar"/>
        </w:rPr>
        <w:t>:</w:t>
      </w:r>
      <w:r>
        <w:rPr>
          <w:rFonts w:hint="eastAsia" w:ascii="Calibri" w:hAnsi="Calibri" w:eastAsia="宋体" w:cs="Calibri"/>
          <w:snapToGrid w:val="0"/>
          <w:color w:val="000000"/>
          <w:kern w:val="0"/>
          <w:sz w:val="24"/>
          <w:szCs w:val="24"/>
          <w:lang w:val="en-US" w:eastAsia="zh-CN" w:bidi="ar"/>
        </w:rPr>
        <w:t xml:space="preserve"> </w:t>
      </w:r>
      <w:r>
        <w:rPr>
          <w:rFonts w:hint="default" w:ascii="Calibri" w:hAnsi="Calibri" w:eastAsia="宋体" w:cs="Calibri"/>
          <w:snapToGrid w:val="0"/>
          <w:color w:val="000000"/>
          <w:kern w:val="0"/>
          <w:sz w:val="24"/>
          <w:szCs w:val="24"/>
          <w:lang w:val="en-US" w:eastAsia="zh-CN" w:bidi="ar"/>
        </w:rPr>
        <w:t> polar photovoltaic, module angle, albedo correction, snow loss model, shading, array system</w:t>
      </w:r>
    </w:p>
    <w:p w14:paraId="05D3E90E">
      <w:pPr>
        <w:keepNext w:val="0"/>
        <w:keepLines w:val="0"/>
        <w:widowControl/>
        <w:suppressLineNumbers w:val="0"/>
        <w:ind w:firstLine="420" w:firstLineChars="0"/>
        <w:jc w:val="left"/>
        <w:rPr>
          <w:rFonts w:hint="eastAsia" w:ascii="宋体" w:hAnsi="宋体" w:eastAsia="宋体" w:cs="宋体"/>
          <w:snapToGrid w:val="0"/>
          <w:color w:val="000000"/>
          <w:kern w:val="0"/>
          <w:sz w:val="24"/>
          <w:szCs w:val="24"/>
          <w:lang w:val="en-US" w:eastAsia="zh-CN" w:bidi="ar"/>
        </w:rPr>
      </w:pPr>
    </w:p>
    <w:p w14:paraId="585E58C3">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3E0E92DC">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49123ADF">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2129EB30">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7A928E6B">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080D3A2C">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5B305285">
      <w:pPr>
        <w:keepNext w:val="0"/>
        <w:keepLines w:val="0"/>
        <w:widowControl/>
        <w:suppressLineNumbers w:val="0"/>
        <w:spacing w:line="360" w:lineRule="auto"/>
        <w:ind w:firstLine="420" w:firstLineChars="0"/>
        <w:jc w:val="left"/>
        <w:rPr>
          <w:rFonts w:hint="default" w:ascii="宋体" w:hAnsi="宋体" w:eastAsia="宋体" w:cs="宋体"/>
          <w:b/>
          <w:bCs/>
          <w:spacing w:val="-3"/>
          <w:sz w:val="24"/>
          <w:szCs w:val="24"/>
          <w:lang w:val="en-US" w:eastAsia="zh-CN"/>
        </w:rPr>
      </w:pPr>
      <w:r>
        <w:rPr>
          <w:rFonts w:hint="default" w:ascii="宋体" w:hAnsi="宋体" w:eastAsia="宋体" w:cs="宋体"/>
          <w:b/>
          <w:bCs/>
          <w:spacing w:val="-3"/>
          <w:sz w:val="24"/>
          <w:szCs w:val="24"/>
          <w:lang w:val="en-US" w:eastAsia="zh-CN"/>
        </w:rPr>
        <w:t>1、极地光伏系统环境特性与挑战</w:t>
      </w:r>
    </w:p>
    <w:p w14:paraId="58EB4703">
      <w:pPr>
        <w:keepNext w:val="0"/>
        <w:keepLines w:val="0"/>
        <w:widowControl/>
        <w:suppressLineNumbers w:val="0"/>
        <w:spacing w:line="360" w:lineRule="auto"/>
        <w:ind w:firstLine="420" w:firstLineChars="0"/>
        <w:jc w:val="left"/>
        <w:rPr>
          <w:rFonts w:hint="default" w:ascii="宋体" w:hAnsi="宋体" w:eastAsia="宋体" w:cs="宋体"/>
          <w:spacing w:val="-3"/>
          <w:sz w:val="24"/>
          <w:szCs w:val="24"/>
          <w:lang w:val="en-US" w:eastAsia="zh-CN"/>
        </w:rPr>
      </w:pPr>
      <w:r>
        <w:rPr>
          <w:rFonts w:hint="default" w:ascii="宋体" w:hAnsi="宋体" w:eastAsia="宋体" w:cs="宋体"/>
          <w:spacing w:val="-3"/>
          <w:sz w:val="24"/>
          <w:szCs w:val="24"/>
          <w:lang w:val="en-US" w:eastAsia="zh-CN"/>
        </w:rPr>
        <w:t>极地及高纬度地区的光伏应用面临独特的挑战。首先是太阳运动轨迹的极端性，太阳长期处于低高度角运行（</w:t>
      </w:r>
      <w:r>
        <w:rPr>
          <w:rFonts w:hint="eastAsia" w:ascii="宋体" w:hAnsi="宋体" w:eastAsia="宋体" w:cs="宋体"/>
          <w:spacing w:val="-3"/>
          <w:sz w:val="24"/>
          <w:szCs w:val="24"/>
          <w:lang w:val="en-US" w:eastAsia="zh-CN"/>
        </w:rPr>
        <w:t>θ&lt;</w:t>
      </w:r>
      <w:r>
        <w:rPr>
          <w:rFonts w:hint="default" w:ascii="宋体" w:hAnsi="宋体" w:eastAsia="宋体" w:cs="宋体"/>
          <w:spacing w:val="-3"/>
          <w:sz w:val="24"/>
          <w:szCs w:val="24"/>
          <w:lang w:val="en-US" w:eastAsia="zh-CN"/>
        </w:rPr>
        <w:t>10∘），导致光线在大气中的路径变长，光谱发生显著红移。其次，极地冰雪覆盖带来了极高的地面反照率（通常超过 0.85），这为双面组件提供了巨大的能量增益空间。</w:t>
      </w:r>
    </w:p>
    <w:p w14:paraId="6EFDFA63">
      <w:pPr>
        <w:keepNext w:val="0"/>
        <w:keepLines w:val="0"/>
        <w:widowControl/>
        <w:suppressLineNumbers w:val="0"/>
        <w:spacing w:line="360" w:lineRule="auto"/>
        <w:ind w:firstLine="420" w:firstLineChars="0"/>
        <w:jc w:val="left"/>
        <w:rPr>
          <w:rFonts w:hint="default" w:ascii="宋体" w:hAnsi="宋体" w:eastAsia="宋体" w:cs="宋体"/>
          <w:spacing w:val="-3"/>
          <w:sz w:val="24"/>
          <w:szCs w:val="24"/>
          <w:lang w:val="en-US" w:eastAsia="zh-CN"/>
        </w:rPr>
      </w:pPr>
    </w:p>
    <w:p w14:paraId="3AB8CFD6">
      <w:pPr>
        <w:keepNext w:val="0"/>
        <w:keepLines w:val="0"/>
        <w:widowControl/>
        <w:suppressLineNumbers w:val="0"/>
        <w:spacing w:line="360" w:lineRule="auto"/>
        <w:ind w:firstLine="420" w:firstLineChars="0"/>
        <w:jc w:val="left"/>
        <w:rPr>
          <w:rFonts w:hint="eastAsia" w:ascii="宋体" w:hAnsi="宋体" w:eastAsia="宋体" w:cs="宋体"/>
          <w:spacing w:val="-3"/>
          <w:sz w:val="24"/>
          <w:szCs w:val="24"/>
          <w:lang w:val="en-US" w:eastAsia="zh-CN"/>
        </w:rPr>
      </w:pPr>
      <w:r>
        <w:rPr>
          <w:rFonts w:hint="default" w:ascii="宋体" w:hAnsi="宋体" w:eastAsia="宋体" w:cs="宋体"/>
          <w:spacing w:val="-3"/>
          <w:sz w:val="24"/>
          <w:szCs w:val="24"/>
          <w:lang w:val="en-US" w:eastAsia="zh-CN"/>
        </w:rPr>
        <w:t>1.1 光谱反照率与有效利用率</w:t>
      </w:r>
    </w:p>
    <w:p w14:paraId="23173C63">
      <w:pPr>
        <w:keepNext w:val="0"/>
        <w:keepLines w:val="0"/>
        <w:widowControl/>
        <w:suppressLineNumbers w:val="0"/>
        <w:spacing w:line="360" w:lineRule="auto"/>
        <w:ind w:firstLine="420" w:firstLineChars="0"/>
        <w:jc w:val="left"/>
        <w:rPr>
          <w:rFonts w:hint="default" w:ascii="宋体" w:hAnsi="宋体" w:eastAsia="宋体" w:cs="宋体"/>
          <w:spacing w:val="-3"/>
          <w:sz w:val="24"/>
          <w:szCs w:val="24"/>
          <w:lang w:val="en-US" w:eastAsia="zh-CN"/>
        </w:rPr>
      </w:pPr>
      <w:r>
        <w:rPr>
          <w:rFonts w:hint="default" w:ascii="宋体" w:hAnsi="宋体" w:eastAsia="宋体" w:cs="宋体"/>
          <w:spacing w:val="-3"/>
          <w:sz w:val="24"/>
          <w:szCs w:val="24"/>
          <w:lang w:val="en-US" w:eastAsia="zh-CN"/>
        </w:rPr>
        <w:t>传统的辐照度模型通常将地表视为朗伯（各向同性）反射体，并给定一个固定的反照率常数（如 0.2 或 0.85）。然而，研究表明光谱反照率随波长动态变化，尤其在雪地环境下，反射光谱表现出明显的“蓝移”特征。这种光谱失配会导致硅基电池在接收地面反射光时产生约 2% 的电流损失。</w:t>
      </w:r>
    </w:p>
    <w:p w14:paraId="506AD23C">
      <w:pPr>
        <w:keepNext w:val="0"/>
        <w:keepLines w:val="0"/>
        <w:widowControl/>
        <w:suppressLineNumbers w:val="0"/>
        <w:ind w:firstLine="420" w:firstLineChars="0"/>
        <w:jc w:val="left"/>
        <w:rPr>
          <w:rFonts w:hint="default" w:ascii="宋体" w:hAnsi="宋体" w:eastAsia="宋体" w:cs="宋体"/>
          <w:spacing w:val="-3"/>
          <w:sz w:val="24"/>
          <w:szCs w:val="24"/>
          <w:lang w:val="en-US" w:eastAsia="zh-CN"/>
        </w:rPr>
      </w:pPr>
    </w:p>
    <w:p w14:paraId="6EFB4CB2">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r>
        <w:drawing>
          <wp:inline distT="0" distB="0" distL="114300" distR="114300">
            <wp:extent cx="5272405" cy="4765675"/>
            <wp:effectExtent l="0" t="0" r="1079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2405" cy="4765675"/>
                    </a:xfrm>
                    <a:prstGeom prst="rect">
                      <a:avLst/>
                    </a:prstGeom>
                    <a:noFill/>
                    <a:ln>
                      <a:noFill/>
                    </a:ln>
                  </pic:spPr>
                </pic:pic>
              </a:graphicData>
            </a:graphic>
          </wp:inline>
        </w:drawing>
      </w:r>
    </w:p>
    <w:p w14:paraId="0053FD59">
      <w:pPr>
        <w:keepNext w:val="0"/>
        <w:keepLines w:val="0"/>
        <w:widowControl/>
        <w:suppressLineNumbers w:val="0"/>
        <w:jc w:val="center"/>
        <w:rPr>
          <w:rFonts w:hint="eastAsia"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（图1)</w:t>
      </w:r>
    </w:p>
    <w:p w14:paraId="076A0D45">
      <w:pPr>
        <w:keepNext w:val="0"/>
        <w:keepLines w:val="0"/>
        <w:widowControl/>
        <w:suppressLineNumbers w:val="0"/>
        <w:jc w:val="left"/>
        <w:rPr>
          <w:rFonts w:hint="eastAsia"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(Resource: The effect of spectral albedo in bifacial photovoltaic performance, 此图展示了不同地表环境如雪地、草地的实验对比图）</w:t>
      </w:r>
    </w:p>
    <w:p w14:paraId="3E1D5D46">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1637A2BF">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为了更精确地获取数据，研究人员提出了利用卫星（如 MODIS 和 Sentinel-2）数据重建反照率的方法。如图 1 所示，通过结合 MODIS 的双向反射分布函数（BRDF）参数与高空间分辨率的 Sentinel-2 影像，可以实现对复杂地表环境下“有效反照率”的动态模拟。</w:t>
      </w:r>
    </w:p>
    <w:p w14:paraId="6CD98A3E">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14880C32">
      <w:pPr>
        <w:keepNext w:val="0"/>
        <w:keepLines w:val="0"/>
        <w:widowControl/>
        <w:suppressLineNumbers w:val="0"/>
        <w:jc w:val="left"/>
      </w:pPr>
      <w:r>
        <w:drawing>
          <wp:inline distT="0" distB="0" distL="114300" distR="114300">
            <wp:extent cx="5268595" cy="2680970"/>
            <wp:effectExtent l="0" t="0" r="190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8595" cy="2680970"/>
                    </a:xfrm>
                    <a:prstGeom prst="rect">
                      <a:avLst/>
                    </a:prstGeom>
                    <a:noFill/>
                    <a:ln>
                      <a:noFill/>
                    </a:ln>
                  </pic:spPr>
                </pic:pic>
              </a:graphicData>
            </a:graphic>
          </wp:inline>
        </w:drawing>
      </w:r>
    </w:p>
    <w:p w14:paraId="4AAF0150">
      <w:pPr>
        <w:keepNext w:val="0"/>
        <w:keepLines w:val="0"/>
        <w:widowControl/>
        <w:suppressLineNumbers w:val="0"/>
        <w:jc w:val="center"/>
        <w:rPr>
          <w:rFonts w:hint="default"/>
          <w:lang w:val="en-US" w:eastAsia="zh-CN"/>
        </w:rPr>
      </w:pPr>
      <w:r>
        <w:rPr>
          <w:rFonts w:hint="eastAsia" w:ascii="华文楷体" w:hAnsi="华文楷体" w:eastAsia="华文楷体" w:cs="华文楷体"/>
          <w:snapToGrid w:val="0"/>
          <w:color w:val="000000"/>
          <w:kern w:val="0"/>
          <w:sz w:val="21"/>
          <w:szCs w:val="21"/>
          <w:lang w:val="en-US" w:eastAsia="zh-CN" w:bidi="ar"/>
        </w:rPr>
        <w:t>（图2)</w:t>
      </w:r>
    </w:p>
    <w:p w14:paraId="1015C83E">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Resourec: </w:t>
      </w:r>
      <w:r>
        <w:rPr>
          <w:rFonts w:hint="default" w:ascii="华文楷体" w:hAnsi="华文楷体" w:eastAsia="华文楷体" w:cs="华文楷体"/>
          <w:snapToGrid w:val="0"/>
          <w:color w:val="000000"/>
          <w:kern w:val="0"/>
          <w:sz w:val="21"/>
          <w:szCs w:val="21"/>
          <w:lang w:val="en-US" w:eastAsia="zh-CN" w:bidi="ar"/>
        </w:rPr>
        <w:t>Sourcing albedo data for bifacial PV systems in complex landscapes》</w:t>
      </w:r>
      <w:r>
        <w:rPr>
          <w:rFonts w:hint="eastAsia" w:ascii="华文楷体" w:hAnsi="华文楷体" w:eastAsia="华文楷体" w:cs="华文楷体"/>
          <w:snapToGrid w:val="0"/>
          <w:color w:val="000000"/>
          <w:kern w:val="0"/>
          <w:sz w:val="21"/>
          <w:szCs w:val="21"/>
          <w:lang w:val="en-US" w:eastAsia="zh-CN" w:bidi="ar"/>
        </w:rPr>
        <w:t>, 此图</w:t>
      </w:r>
      <w:r>
        <w:rPr>
          <w:rFonts w:hint="default" w:ascii="华文楷体" w:hAnsi="华文楷体" w:eastAsia="华文楷体" w:cs="华文楷体"/>
          <w:snapToGrid w:val="0"/>
          <w:color w:val="000000"/>
          <w:kern w:val="0"/>
          <w:sz w:val="21"/>
          <w:szCs w:val="21"/>
          <w:lang w:val="en-US" w:eastAsia="zh-CN" w:bidi="ar"/>
        </w:rPr>
        <w:t>展示混合反照率计（Hybrid albedometer）的原理示意图）</w:t>
      </w:r>
    </w:p>
    <w:p w14:paraId="04CE22A3">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4C1391BF">
      <w:pPr>
        <w:keepNext w:val="0"/>
        <w:keepLines w:val="0"/>
        <w:widowControl/>
        <w:suppressLineNumbers w:val="0"/>
        <w:spacing w:line="360" w:lineRule="auto"/>
        <w:jc w:val="left"/>
        <w:rPr>
          <w:rFonts w:hint="default"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2、光伏组件光学性能优化模型</w:t>
      </w:r>
    </w:p>
    <w:p w14:paraId="2A0A1AC9">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在极地极低太阳高度角下，光伏板表面的玻璃层会产生严重的反射损失，这被称为入射角（AOI）失配。</w:t>
      </w:r>
    </w:p>
    <w:p w14:paraId="7DD15C85">
      <w:pPr>
        <w:keepNext w:val="0"/>
        <w:keepLines w:val="0"/>
        <w:widowControl/>
        <w:suppressLineNumbers w:val="0"/>
        <w:spacing w:line="360" w:lineRule="auto"/>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2.1 入射角修正模型 (IAM)</w:t>
      </w:r>
    </w:p>
    <w:p w14:paraId="1303E768">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 xml:space="preserve">当光线以大角度（AOI &gt; 60°）入射时，玻璃表面更像一面镜子，反射掉大部分光子。研究者引入了 Sandia IAM 模型 和 Martin and Ruiz 模型 来补偿这种光学损失。如图 </w:t>
      </w:r>
      <w:r>
        <w:rPr>
          <w:rFonts w:hint="eastAsia" w:ascii="宋体" w:hAnsi="宋体" w:eastAsia="宋体" w:cs="宋体"/>
          <w:snapToGrid w:val="0"/>
          <w:color w:val="000000"/>
          <w:kern w:val="0"/>
          <w:sz w:val="24"/>
          <w:szCs w:val="24"/>
          <w:lang w:val="en-US" w:eastAsia="zh-CN" w:bidi="ar"/>
        </w:rPr>
        <w:t>3</w:t>
      </w:r>
      <w:r>
        <w:rPr>
          <w:rFonts w:hint="default" w:ascii="宋体" w:hAnsi="宋体" w:eastAsia="宋体" w:cs="宋体"/>
          <w:snapToGrid w:val="0"/>
          <w:color w:val="000000"/>
          <w:kern w:val="0"/>
          <w:sz w:val="24"/>
          <w:szCs w:val="24"/>
          <w:lang w:val="en-US" w:eastAsia="zh-CN" w:bidi="ar"/>
        </w:rPr>
        <w:t xml:space="preserve"> 所示，修正后的模型能够显著消除传统几何投影公式在高入射角下产生的“辐照度虚高”现象。</w:t>
      </w:r>
    </w:p>
    <w:p w14:paraId="48EB7A3E">
      <w:pPr>
        <w:keepNext w:val="0"/>
        <w:keepLines w:val="0"/>
        <w:widowControl/>
        <w:suppressLineNumbers w:val="0"/>
        <w:spacing w:line="360" w:lineRule="auto"/>
        <w:jc w:val="left"/>
      </w:pPr>
      <w:r>
        <w:drawing>
          <wp:inline distT="0" distB="0" distL="114300" distR="114300">
            <wp:extent cx="5274310" cy="1701165"/>
            <wp:effectExtent l="0" t="0" r="889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4310" cy="1701165"/>
                    </a:xfrm>
                    <a:prstGeom prst="rect">
                      <a:avLst/>
                    </a:prstGeom>
                    <a:noFill/>
                    <a:ln>
                      <a:noFill/>
                    </a:ln>
                  </pic:spPr>
                </pic:pic>
              </a:graphicData>
            </a:graphic>
          </wp:inline>
        </w:drawing>
      </w:r>
    </w:p>
    <w:p w14:paraId="1F4FB184">
      <w:pPr>
        <w:keepNext w:val="0"/>
        <w:keepLines w:val="0"/>
        <w:widowControl/>
        <w:suppressLineNumbers w:val="0"/>
        <w:jc w:val="center"/>
        <w:rPr>
          <w:rFonts w:hint="default"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(图3)</w:t>
      </w:r>
    </w:p>
    <w:p w14:paraId="0F4DE7EB">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Resource: </w:t>
      </w:r>
      <w:r>
        <w:rPr>
          <w:rFonts w:hint="default" w:ascii="华文楷体" w:hAnsi="华文楷体" w:eastAsia="华文楷体" w:cs="华文楷体"/>
          <w:snapToGrid w:val="0"/>
          <w:color w:val="000000"/>
          <w:kern w:val="0"/>
          <w:sz w:val="21"/>
          <w:szCs w:val="21"/>
          <w:lang w:val="en-US" w:eastAsia="zh-CN" w:bidi="ar"/>
        </w:rPr>
        <w:t>Sourcing albedo data for bifacial PV systems in complex landscapes，</w:t>
      </w:r>
      <w:r>
        <w:rPr>
          <w:rFonts w:hint="eastAsia" w:ascii="华文楷体" w:hAnsi="华文楷体" w:eastAsia="华文楷体" w:cs="华文楷体"/>
          <w:snapToGrid w:val="0"/>
          <w:color w:val="000000"/>
          <w:kern w:val="0"/>
          <w:sz w:val="21"/>
          <w:szCs w:val="21"/>
          <w:lang w:val="en-US" w:eastAsia="zh-CN" w:bidi="ar"/>
        </w:rPr>
        <w:t>此图展示了</w:t>
      </w:r>
      <w:r>
        <w:rPr>
          <w:rFonts w:hint="default" w:ascii="华文楷体" w:hAnsi="华文楷体" w:eastAsia="华文楷体" w:cs="华文楷体"/>
          <w:snapToGrid w:val="0"/>
          <w:color w:val="000000"/>
          <w:kern w:val="0"/>
          <w:sz w:val="21"/>
          <w:szCs w:val="21"/>
          <w:lang w:val="en-US" w:eastAsia="zh-CN" w:bidi="ar"/>
        </w:rPr>
        <w:t>参考电池在不同入射角下的响应偏差及模型拟合曲线）</w:t>
      </w:r>
    </w:p>
    <w:p w14:paraId="744C7985">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p>
    <w:p w14:paraId="36C44A8B">
      <w:pPr>
        <w:keepNext w:val="0"/>
        <w:keepLines w:val="0"/>
        <w:widowControl/>
        <w:suppressLineNumbers w:val="0"/>
        <w:spacing w:line="360" w:lineRule="auto"/>
        <w:jc w:val="left"/>
        <w:rPr>
          <w:rFonts w:hint="default"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3、高纬度系统构型选择与优化</w:t>
      </w:r>
    </w:p>
    <w:p w14:paraId="64D55A7F">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在高纬度地区，光伏阵列的构型直接影响其捕捉低位能量的能力。</w:t>
      </w:r>
    </w:p>
    <w:p w14:paraId="354FCBCB">
      <w:pPr>
        <w:keepNext w:val="0"/>
        <w:keepLines w:val="0"/>
        <w:widowControl/>
        <w:suppressLineNumbers w:val="0"/>
        <w:spacing w:line="360" w:lineRule="auto"/>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3.1 垂直安装与跟踪系统</w:t>
      </w:r>
    </w:p>
    <w:p w14:paraId="0AD6FF70">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实证研究表明，垂直安装（Vertical PV）在极地表现优异。垂直组件能够有效减少积雪覆盖，并在清晨和傍晚捕捉近乎平行于地面的阳光。此外，双面垂直安装（E-W orientation）能够产生双发电峰值，更好地匹配极地生活负载。</w:t>
      </w:r>
    </w:p>
    <w:p w14:paraId="0FFDD2B9">
      <w:pPr>
        <w:keepNext w:val="0"/>
        <w:keepLines w:val="0"/>
        <w:widowControl/>
        <w:suppressLineNumbers w:val="0"/>
        <w:spacing w:line="360" w:lineRule="auto"/>
        <w:jc w:val="left"/>
      </w:pPr>
      <w:r>
        <w:drawing>
          <wp:inline distT="0" distB="0" distL="114300" distR="114300">
            <wp:extent cx="5274310" cy="3584575"/>
            <wp:effectExtent l="0" t="0" r="889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4310" cy="3584575"/>
                    </a:xfrm>
                    <a:prstGeom prst="rect">
                      <a:avLst/>
                    </a:prstGeom>
                    <a:noFill/>
                    <a:ln>
                      <a:noFill/>
                    </a:ln>
                  </pic:spPr>
                </pic:pic>
              </a:graphicData>
            </a:graphic>
          </wp:inline>
        </w:drawing>
      </w:r>
    </w:p>
    <w:p w14:paraId="6022F2C0">
      <w:pPr>
        <w:keepNext w:val="0"/>
        <w:keepLines w:val="0"/>
        <w:widowControl/>
        <w:suppressLineNumbers w:val="0"/>
        <w:spacing w:line="240" w:lineRule="auto"/>
        <w:jc w:val="cente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(图4)</w:t>
      </w:r>
    </w:p>
    <w:p w14:paraId="3A2D292D">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Resource: </w:t>
      </w:r>
      <w:r>
        <w:rPr>
          <w:rFonts w:hint="default" w:ascii="华文楷体" w:hAnsi="华文楷体" w:eastAsia="华文楷体" w:cs="华文楷体"/>
          <w:snapToGrid w:val="0"/>
          <w:color w:val="000000"/>
          <w:kern w:val="0"/>
          <w:sz w:val="21"/>
          <w:szCs w:val="21"/>
          <w:lang w:val="en-US" w:eastAsia="zh-CN" w:bidi="ar"/>
        </w:rPr>
        <w:t>Empirical analysis of bifacial photovoltaic modules in high-latitude regions》</w:t>
      </w:r>
      <w:r>
        <w:rPr>
          <w:rFonts w:hint="eastAsia" w:ascii="华文楷体" w:hAnsi="华文楷体" w:eastAsia="华文楷体" w:cs="华文楷体"/>
          <w:snapToGrid w:val="0"/>
          <w:color w:val="000000"/>
          <w:kern w:val="0"/>
          <w:sz w:val="21"/>
          <w:szCs w:val="21"/>
          <w:lang w:val="en-US" w:eastAsia="zh-CN" w:bidi="ar"/>
        </w:rPr>
        <w:t>, 此图</w:t>
      </w:r>
      <w:r>
        <w:rPr>
          <w:rFonts w:hint="default" w:ascii="华文楷体" w:hAnsi="华文楷体" w:eastAsia="华文楷体" w:cs="华文楷体"/>
          <w:snapToGrid w:val="0"/>
          <w:color w:val="000000"/>
          <w:kern w:val="0"/>
          <w:sz w:val="21"/>
          <w:szCs w:val="21"/>
          <w:lang w:val="en-US" w:eastAsia="zh-CN" w:bidi="ar"/>
        </w:rPr>
        <w:t>展示</w:t>
      </w:r>
      <w:r>
        <w:rPr>
          <w:rFonts w:hint="eastAsia" w:ascii="华文楷体" w:hAnsi="华文楷体" w:eastAsia="华文楷体" w:cs="华文楷体"/>
          <w:snapToGrid w:val="0"/>
          <w:color w:val="000000"/>
          <w:kern w:val="0"/>
          <w:sz w:val="21"/>
          <w:szCs w:val="21"/>
          <w:lang w:val="en-US" w:eastAsia="zh-CN" w:bidi="ar"/>
        </w:rPr>
        <w:t>了</w:t>
      </w:r>
      <w:r>
        <w:rPr>
          <w:rFonts w:hint="default" w:ascii="华文楷体" w:hAnsi="华文楷体" w:eastAsia="华文楷体" w:cs="华文楷体"/>
          <w:snapToGrid w:val="0"/>
          <w:color w:val="000000"/>
          <w:kern w:val="0"/>
          <w:sz w:val="21"/>
          <w:szCs w:val="21"/>
          <w:lang w:val="en-US" w:eastAsia="zh-CN" w:bidi="ar"/>
        </w:rPr>
        <w:t>不同配置如垂直、倾斜及跟踪系统在典型日下的发电功率曲线）</w:t>
      </w:r>
    </w:p>
    <w:p w14:paraId="44B2C45B">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p>
    <w:p w14:paraId="2EBBA2B5">
      <w:pPr>
        <w:keepNext w:val="0"/>
        <w:keepLines w:val="0"/>
        <w:widowControl/>
        <w:suppressLineNumbers w:val="0"/>
        <w:spacing w:line="360" w:lineRule="auto"/>
        <w:jc w:val="left"/>
        <w:rPr>
          <w:rFonts w:hint="default"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4、严寒环境下的积雪损失评估</w:t>
      </w:r>
    </w:p>
    <w:p w14:paraId="222E3EA0">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积雪是极地光伏系统的最大不确定因素。全遮挡时，发电量趋于零；局部遮挡则会导致电气失配和热斑效应。</w:t>
      </w:r>
    </w:p>
    <w:p w14:paraId="236F5BF9">
      <w:pPr>
        <w:keepNext w:val="0"/>
        <w:keepLines w:val="0"/>
        <w:widowControl/>
        <w:suppressLineNumbers w:val="0"/>
        <w:spacing w:line="360" w:lineRule="auto"/>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4.1 雪损模型与图像识别技术</w:t>
      </w:r>
    </w:p>
    <w:p w14:paraId="0483D513">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 xml:space="preserve">为了量化积雪影响，研究者改进了 Marion 雪损模型，通过引入随积雪深度变化的“滑动系数（sc）”来模拟积雪的自然清除过程。同时，基于计算机视觉和深度学习（CNN）的图像处理技术被用于自动识别积雪覆盖比例（如图 </w:t>
      </w:r>
      <w:r>
        <w:rPr>
          <w:rFonts w:hint="eastAsia" w:ascii="宋体" w:hAnsi="宋体" w:eastAsia="宋体" w:cs="宋体"/>
          <w:snapToGrid w:val="0"/>
          <w:color w:val="000000"/>
          <w:kern w:val="0"/>
          <w:sz w:val="24"/>
          <w:szCs w:val="24"/>
          <w:lang w:val="en-US" w:eastAsia="zh-CN" w:bidi="ar"/>
        </w:rPr>
        <w:t>5</w:t>
      </w:r>
      <w:r>
        <w:rPr>
          <w:rFonts w:hint="default" w:ascii="宋体" w:hAnsi="宋体" w:eastAsia="宋体" w:cs="宋体"/>
          <w:snapToGrid w:val="0"/>
          <w:color w:val="000000"/>
          <w:kern w:val="0"/>
          <w:sz w:val="24"/>
          <w:szCs w:val="24"/>
          <w:lang w:val="en-US" w:eastAsia="zh-CN" w:bidi="ar"/>
        </w:rPr>
        <w:t xml:space="preserve"> 所示）。实证显示，单面组件在冬季的平均雪损可达 33.12%，而双面组件由于背面吸收光热有助于融雪，损失可降至 16% 以下。</w:t>
      </w:r>
    </w:p>
    <w:p w14:paraId="0190425F">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drawing>
          <wp:inline distT="0" distB="0" distL="114300" distR="114300">
            <wp:extent cx="5269865" cy="3576320"/>
            <wp:effectExtent l="0" t="0" r="63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69865" cy="3576320"/>
                    </a:xfrm>
                    <a:prstGeom prst="rect">
                      <a:avLst/>
                    </a:prstGeom>
                    <a:noFill/>
                    <a:ln>
                      <a:noFill/>
                    </a:ln>
                  </pic:spPr>
                </pic:pic>
              </a:graphicData>
            </a:graphic>
          </wp:inline>
        </w:drawing>
      </w:r>
    </w:p>
    <w:p w14:paraId="28D35965">
      <w:pPr>
        <w:keepNext w:val="0"/>
        <w:keepLines w:val="0"/>
        <w:widowControl/>
        <w:suppressLineNumbers w:val="0"/>
        <w:spacing w:line="240" w:lineRule="auto"/>
        <w:jc w:val="center"/>
        <w:rPr>
          <w:rFonts w:hint="default"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(图5)</w:t>
      </w:r>
    </w:p>
    <w:p w14:paraId="15104964">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Resource: </w:t>
      </w:r>
      <w:r>
        <w:rPr>
          <w:rFonts w:hint="default" w:ascii="华文楷体" w:hAnsi="华文楷体" w:eastAsia="华文楷体" w:cs="华文楷体"/>
          <w:snapToGrid w:val="0"/>
          <w:color w:val="000000"/>
          <w:kern w:val="0"/>
          <w:sz w:val="21"/>
          <w:szCs w:val="21"/>
          <w:lang w:val="en-US" w:eastAsia="zh-CN" w:bidi="ar"/>
        </w:rPr>
        <w:t>Monofacial vs bifacial solar photovoltaic systems in snowy environments，展示利用图像分割技术确定光伏板积雪覆盖比例的过程）</w:t>
      </w:r>
    </w:p>
    <w:p w14:paraId="3E98F258">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p>
    <w:p w14:paraId="0BAC5B2D">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351D8272">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074A750A">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09948B54">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568801D9">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2E7F64AA">
      <w:pPr>
        <w:numPr>
          <w:ilvl w:val="0"/>
          <w:numId w:val="0"/>
        </w:numPr>
        <w:spacing w:before="91" w:line="221" w:lineRule="auto"/>
        <w:jc w:val="both"/>
        <w:outlineLvl w:val="0"/>
        <w:rPr>
          <w:rFonts w:hint="eastAsia" w:ascii="宋体" w:hAnsi="宋体" w:eastAsia="宋体" w:cs="宋体"/>
          <w:b/>
          <w:bCs/>
          <w:snapToGrid w:val="0"/>
          <w:color w:val="000000"/>
          <w:spacing w:val="-7"/>
          <w:kern w:val="0"/>
          <w:sz w:val="28"/>
          <w:szCs w:val="28"/>
          <w:lang w:val="en-US" w:eastAsia="zh-CN" w:bidi="ar-SA"/>
        </w:rPr>
      </w:pPr>
    </w:p>
    <w:p w14:paraId="38D09DD6">
      <w:pPr>
        <w:numPr>
          <w:ilvl w:val="0"/>
          <w:numId w:val="0"/>
        </w:numPr>
        <w:spacing w:before="91" w:line="221" w:lineRule="auto"/>
        <w:jc w:val="center"/>
        <w:outlineLvl w:val="0"/>
        <w:rPr>
          <w:rFonts w:hint="default" w:ascii="宋体" w:hAnsi="宋体" w:eastAsia="宋体" w:cs="宋体"/>
          <w:b/>
          <w:bCs/>
          <w:spacing w:val="-7"/>
          <w:sz w:val="28"/>
          <w:szCs w:val="28"/>
          <w:lang w:val="en-US" w:eastAsia="zh-CN"/>
        </w:rPr>
      </w:pPr>
      <w:r>
        <w:rPr>
          <w:rFonts w:hint="eastAsia" w:ascii="宋体" w:hAnsi="宋体" w:eastAsia="宋体" w:cs="宋体"/>
          <w:b/>
          <w:bCs/>
          <w:snapToGrid w:val="0"/>
          <w:color w:val="000000"/>
          <w:spacing w:val="-7"/>
          <w:kern w:val="0"/>
          <w:sz w:val="28"/>
          <w:szCs w:val="28"/>
          <w:lang w:val="en-US" w:eastAsia="zh-CN" w:bidi="ar-SA"/>
        </w:rPr>
        <w:t>二.</w:t>
      </w:r>
      <w:r>
        <w:rPr>
          <w:rFonts w:hint="eastAsia" w:ascii="宋体" w:hAnsi="宋体" w:eastAsia="宋体" w:cs="宋体"/>
          <w:b/>
          <w:bCs/>
          <w:spacing w:val="-7"/>
          <w:sz w:val="28"/>
          <w:szCs w:val="28"/>
          <w:lang w:val="en-US" w:eastAsia="zh-CN"/>
        </w:rPr>
        <w:t>系统设计与仿真</w:t>
      </w:r>
    </w:p>
    <w:p w14:paraId="17E5D6F9">
      <w:pPr>
        <w:spacing w:before="91" w:line="220" w:lineRule="auto"/>
        <w:jc w:val="both"/>
        <w:rPr>
          <w:rFonts w:hint="default" w:ascii="宋体" w:hAnsi="宋体" w:eastAsia="宋体" w:cs="宋体"/>
          <w:b/>
          <w:bCs/>
          <w:spacing w:val="-6"/>
          <w:sz w:val="28"/>
          <w:szCs w:val="28"/>
          <w:lang w:val="en-US" w:eastAsia="zh-CN"/>
        </w:rPr>
      </w:pPr>
    </w:p>
    <w:p w14:paraId="0180BE67">
      <w:pPr>
        <w:keepNext w:val="0"/>
        <w:keepLines w:val="0"/>
        <w:widowControl/>
        <w:suppressLineNumbers w:val="0"/>
        <w:spacing w:line="360" w:lineRule="auto"/>
        <w:jc w:val="left"/>
        <w:rPr>
          <w:rFonts w:hint="default" w:ascii="宋体" w:hAnsi="宋体" w:eastAsia="宋体" w:cs="宋体"/>
          <w:b/>
          <w:bCs/>
          <w:spacing w:val="-6"/>
          <w:sz w:val="28"/>
          <w:szCs w:val="28"/>
          <w:lang w:val="en-US" w:eastAsia="zh-CN"/>
        </w:rPr>
      </w:pPr>
      <w:r>
        <w:rPr>
          <w:rFonts w:hint="eastAsia" w:ascii="宋体" w:hAnsi="宋体" w:eastAsia="宋体" w:cs="宋体"/>
          <w:b/>
          <w:bCs/>
          <w:snapToGrid w:val="0"/>
          <w:color w:val="000000"/>
          <w:kern w:val="0"/>
          <w:sz w:val="24"/>
          <w:szCs w:val="24"/>
          <w:lang w:val="en-US" w:eastAsia="zh-CN" w:bidi="ar"/>
        </w:rPr>
        <w:t>1.极地光伏组件及系统设计方案:</w:t>
      </w:r>
    </w:p>
    <w:p w14:paraId="353D56E3">
      <w:pPr>
        <w:keepNext w:val="0"/>
        <w:keepLines w:val="0"/>
        <w:widowControl/>
        <w:suppressLineNumbers w:val="0"/>
        <w:spacing w:line="360" w:lineRule="auto"/>
        <w:jc w:val="left"/>
        <w:rPr>
          <w:rFonts w:hint="eastAsia" w:ascii="华文楷体" w:hAnsi="华文楷体" w:eastAsia="华文楷体" w:cs="华文楷体"/>
          <w:spacing w:val="-3"/>
          <w:sz w:val="24"/>
          <w:szCs w:val="24"/>
          <w:lang w:val="en-US" w:eastAsia="zh-CN"/>
        </w:rPr>
      </w:pPr>
      <w:r>
        <w:rPr>
          <w:rFonts w:hint="eastAsia" w:ascii="华文楷体" w:hAnsi="华文楷体" w:eastAsia="华文楷体" w:cs="华文楷体"/>
          <w:spacing w:val="-3"/>
          <w:sz w:val="24"/>
          <w:szCs w:val="24"/>
          <w:lang w:val="en-US" w:eastAsia="zh-CN"/>
        </w:rPr>
        <w:t>(1).光伏组件直射入射角的计算</w:t>
      </w:r>
    </w:p>
    <w:p w14:paraId="0D3B1351"/>
    <w:p w14:paraId="2E60BD87">
      <w:r>
        <w:drawing>
          <wp:inline distT="0" distB="0" distL="114300" distR="114300">
            <wp:extent cx="2754630" cy="1974850"/>
            <wp:effectExtent l="0" t="0" r="1270" b="6350"/>
            <wp:docPr id="6" name="图片 2" descr="屏幕截图 2025-09-17 21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屏幕截图 2025-09-17 215850"/>
                    <pic:cNvPicPr>
                      <a:picLocks noChangeAspect="1"/>
                    </pic:cNvPicPr>
                  </pic:nvPicPr>
                  <pic:blipFill>
                    <a:blip r:embed="rId11"/>
                    <a:stretch>
                      <a:fillRect/>
                    </a:stretch>
                  </pic:blipFill>
                  <pic:spPr>
                    <a:xfrm>
                      <a:off x="0" y="0"/>
                      <a:ext cx="2754630" cy="1974850"/>
                    </a:xfrm>
                    <a:prstGeom prst="rect">
                      <a:avLst/>
                    </a:prstGeom>
                  </pic:spPr>
                </pic:pic>
              </a:graphicData>
            </a:graphic>
          </wp:inline>
        </w:drawing>
      </w:r>
    </w:p>
    <w:p w14:paraId="5053B93C"/>
    <w:p w14:paraId="36F620CB">
      <w:pPr>
        <w:rPr>
          <w:rFonts w:hint="eastAsia" w:ascii="华文楷体" w:hAnsi="华文楷体" w:eastAsia="华文楷体" w:cs="华文楷体"/>
        </w:rPr>
      </w:pPr>
      <w:r>
        <w:rPr>
          <w:rFonts w:hint="eastAsia" w:ascii="华文楷体" w:hAnsi="华文楷体" w:eastAsia="华文楷体" w:cs="华文楷体"/>
        </w:rPr>
        <w:t xml:space="preserve">单面直射入射角计算: </w:t>
      </w:r>
    </w:p>
    <w:p w14:paraId="1B54D81A">
      <w:pPr>
        <w:rPr>
          <w:rFonts w:hint="eastAsia" w:ascii="华文楷体" w:hAnsi="华文楷体" w:eastAsia="华文楷体" w:cs="华文楷体"/>
        </w:rPr>
      </w:pPr>
      <w:r>
        <w:rPr>
          <w:rFonts w:hint="eastAsia" w:ascii="华文楷体" w:hAnsi="华文楷体" w:eastAsia="华文楷体" w:cs="华文楷体"/>
        </w:rPr>
        <w:t>4角度融合: 太阳俯仰角 太阳方位角 光伏板俯仰角 光伏板方位角</w:t>
      </w:r>
    </w:p>
    <w:p w14:paraId="20F31472">
      <w:pPr>
        <w:rPr>
          <w:rFonts w:hint="eastAsia" w:ascii="华文楷体" w:hAnsi="华文楷体" w:eastAsia="华文楷体" w:cs="华文楷体"/>
        </w:rPr>
      </w:pPr>
      <w:r>
        <w:rPr>
          <w:rFonts w:hint="eastAsia" w:ascii="华文楷体" w:hAnsi="华文楷体" w:eastAsia="华文楷体" w:cs="华文楷体"/>
        </w:rPr>
        <w:t>cos(入射角) = cos(太阳俯仰角 - 光伏板俯仰角) * cos(太阳方位角 - 光伏板方位角)</w:t>
      </w:r>
    </w:p>
    <w:p w14:paraId="28641954">
      <w:pPr>
        <w:rPr>
          <w:rFonts w:hint="eastAsia" w:ascii="华文楷体" w:hAnsi="华文楷体" w:eastAsia="华文楷体" w:cs="华文楷体"/>
        </w:rPr>
      </w:pPr>
    </w:p>
    <w:p w14:paraId="232C8309">
      <w:pPr>
        <w:rPr>
          <w:rFonts w:hint="eastAsia" w:ascii="华文楷体" w:hAnsi="华文楷体" w:eastAsia="华文楷体" w:cs="华文楷体"/>
        </w:rPr>
      </w:pPr>
      <w:r>
        <w:rPr>
          <w:rFonts w:hint="eastAsia" w:ascii="华文楷体" w:hAnsi="华文楷体" w:eastAsia="华文楷体" w:cs="华文楷体"/>
        </w:rPr>
        <w:t>考虑多面围合的组合方位角计算(</w:t>
      </w:r>
      <w:r>
        <w:rPr>
          <w:rFonts w:hint="eastAsia" w:ascii="华文楷体" w:hAnsi="华文楷体" w:eastAsia="华文楷体" w:cs="华文楷体"/>
          <w:lang w:val="en-US" w:eastAsia="zh-CN"/>
        </w:rPr>
        <w:t>假设</w:t>
      </w:r>
      <w:r>
        <w:rPr>
          <w:rFonts w:hint="eastAsia" w:ascii="华文楷体" w:hAnsi="华文楷体" w:eastAsia="华文楷体" w:cs="华文楷体"/>
        </w:rPr>
        <w:t>第一个面方位角是0):</w:t>
      </w:r>
    </w:p>
    <w:p w14:paraId="7DABA9BC">
      <w:pPr>
        <w:rPr>
          <w:rFonts w:hint="eastAsia" w:ascii="华文楷体" w:hAnsi="华文楷体" w:eastAsia="华文楷体" w:cs="华文楷体"/>
        </w:rPr>
      </w:pPr>
      <w:r>
        <w:rPr>
          <w:rFonts w:hint="eastAsia" w:ascii="华文楷体" w:hAnsi="华文楷体" w:eastAsia="华文楷体" w:cs="华文楷体"/>
        </w:rPr>
        <w:t xml:space="preserve">第i个面: </w:t>
      </w:r>
    </w:p>
    <w:p w14:paraId="3D9B9DB7">
      <w:pPr>
        <w:rPr>
          <w:rFonts w:hint="eastAsia" w:ascii="华文楷体" w:hAnsi="华文楷体" w:eastAsia="华文楷体" w:cs="华文楷体"/>
        </w:rPr>
      </w:pPr>
      <w:r>
        <w:rPr>
          <w:rFonts w:hint="eastAsia" w:ascii="华文楷体" w:hAnsi="华文楷体" w:eastAsia="华文楷体" w:cs="华文楷体"/>
        </w:rPr>
        <w:t>cos(入射角i) = cos(太阳俯仰角 - 光伏板俯仰角) * cos(太阳方位角 - (方位角+360/n * i))</w:t>
      </w:r>
    </w:p>
    <w:p w14:paraId="15FE383F">
      <w:pPr>
        <w:rPr>
          <w:rFonts w:hint="eastAsia" w:ascii="华文楷体" w:hAnsi="华文楷体" w:eastAsia="华文楷体" w:cs="华文楷体"/>
        </w:rPr>
      </w:pPr>
    </w:p>
    <w:p w14:paraId="54C0764B"/>
    <w:p w14:paraId="7686F7EE">
      <w:pPr>
        <w:keepNext w:val="0"/>
        <w:keepLines w:val="0"/>
        <w:widowControl/>
        <w:suppressLineNumbers w:val="0"/>
        <w:spacing w:line="360" w:lineRule="auto"/>
        <w:jc w:val="left"/>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(2).基础辐照功率的推算</w:t>
      </w:r>
    </w:p>
    <w:p w14:paraId="32E259C0">
      <w:pPr>
        <w:rPr>
          <w:rFonts w:hint="eastAsia" w:ascii="华文楷体" w:hAnsi="华文楷体" w:eastAsia="华文楷体" w:cs="华文楷体"/>
        </w:rPr>
      </w:pPr>
      <w:r>
        <w:rPr>
          <w:rFonts w:hint="eastAsia" w:ascii="华文楷体" w:hAnsi="华文楷体" w:eastAsia="华文楷体" w:cs="华文楷体"/>
        </w:rPr>
        <w:t>pvlib库计算直射辐照度和给出某地某时刻DNI的方法:</w:t>
      </w:r>
    </w:p>
    <w:p w14:paraId="3099F0FE">
      <w:pPr>
        <w:rPr>
          <w:rFonts w:hint="eastAsia" w:ascii="华文楷体" w:hAnsi="华文楷体" w:eastAsia="华文楷体" w:cs="华文楷体"/>
        </w:rPr>
      </w:pPr>
      <w:r>
        <w:rPr>
          <w:rFonts w:hint="eastAsia" w:ascii="华文楷体" w:hAnsi="华文楷体" w:eastAsia="华文楷体" w:cs="华文楷体"/>
        </w:rPr>
        <w:t>根据天文学理论推导得到某时刻某地的太阳俯仰角和太阳方位角</w:t>
      </w:r>
    </w:p>
    <w:p w14:paraId="1CBF1CBD">
      <w:pPr>
        <w:rPr>
          <w:rFonts w:hint="eastAsia" w:ascii="华文楷体" w:hAnsi="华文楷体" w:eastAsia="华文楷体" w:cs="华文楷体"/>
        </w:rPr>
      </w:pPr>
      <w:r>
        <w:rPr>
          <w:rFonts w:hint="eastAsia" w:ascii="华文楷体" w:hAnsi="华文楷体" w:eastAsia="华文楷体" w:cs="华文楷体"/>
        </w:rPr>
        <w:t>标准时间 --&gt; 儒略日和儒略世纪数 --&gt; 太阳黄经 太阳赤纬 --&gt; 太阳俯仰角</w:t>
      </w:r>
      <w:r>
        <w:rPr>
          <w:rFonts w:hint="eastAsia" w:ascii="华文楷体" w:hAnsi="华文楷体" w:eastAsia="华文楷体" w:cs="华文楷体"/>
          <w:lang w:val="en-US" w:eastAsia="zh-CN"/>
        </w:rPr>
        <w:t>&amp;</w:t>
      </w:r>
      <w:r>
        <w:rPr>
          <w:rFonts w:hint="eastAsia" w:ascii="华文楷体" w:hAnsi="华文楷体" w:eastAsia="华文楷体" w:cs="华文楷体"/>
        </w:rPr>
        <w:t>太阳方位角</w:t>
      </w:r>
    </w:p>
    <w:p w14:paraId="6ABE37AE">
      <w:pPr>
        <w:rPr>
          <w:rFonts w:hint="eastAsia" w:ascii="华文楷体" w:hAnsi="华文楷体" w:eastAsia="华文楷体" w:cs="华文楷体"/>
        </w:rPr>
      </w:pPr>
    </w:p>
    <w:p w14:paraId="1E6AF0D2">
      <w:pPr>
        <w:rPr>
          <w:rFonts w:hint="eastAsia" w:ascii="华文楷体" w:hAnsi="华文楷体" w:eastAsia="华文楷体" w:cs="华文楷体"/>
        </w:rPr>
      </w:pPr>
      <w:r>
        <w:rPr>
          <w:rFonts w:hint="eastAsia" w:ascii="华文楷体" w:hAnsi="华文楷体" w:eastAsia="华文楷体" w:cs="华文楷体"/>
        </w:rPr>
        <w:t>计算某地考虑部分大气与环境因素的DNI - Direct Normal Irradiance(法向直射辐照度):</w:t>
      </w:r>
    </w:p>
    <w:p w14:paraId="07A55D44">
      <w:pPr>
        <w:jc w:val="center"/>
        <w:rPr>
          <w:rFonts w:hint="eastAsia" w:ascii="华文楷体" w:hAnsi="华文楷体" w:eastAsia="华文楷体" w:cs="华文楷体"/>
        </w:rPr>
      </w:pPr>
      <w:r>
        <w:rPr>
          <w:rFonts w:hint="eastAsia" w:ascii="华文楷体" w:hAnsi="华文楷体" w:eastAsia="华文楷体" w:cs="华文楷体"/>
        </w:rPr>
        <w:object>
          <v:shape id="_x0000_i1025" o:spt="75" type="#_x0000_t75" style="height:19pt;width:68pt;" o:ole="t" filled="f" o:preferrelative="t" stroked="f" coordsize="21600,21600">
            <v:path/>
            <v:fill on="f" focussize="0,0"/>
            <v:stroke on="f" joinstyle="miter"/>
            <v:imagedata r:id="rId13" o:title=""/>
            <o:lock v:ext="edit" aspectratio="f"/>
            <w10:wrap type="none"/>
            <w10:anchorlock/>
          </v:shape>
          <o:OLEObject Type="Embed" ProgID="Equation.DSMT4" ShapeID="_x0000_i1025" DrawAspect="Content" ObjectID="_1468075725" r:id="rId12">
            <o:LockedField>false</o:LockedField>
          </o:OLEObject>
        </w:object>
      </w:r>
    </w:p>
    <w:p w14:paraId="6DF7BD49">
      <w:pPr>
        <w:rPr>
          <w:rFonts w:hint="eastAsia" w:ascii="华文楷体" w:hAnsi="华文楷体" w:eastAsia="华文楷体" w:cs="华文楷体"/>
        </w:rPr>
      </w:pPr>
      <w:r>
        <w:rPr>
          <w:rFonts w:hint="eastAsia" w:ascii="华文楷体" w:hAnsi="华文楷体" w:eastAsia="华文楷体" w:cs="华文楷体"/>
        </w:rPr>
        <w:t>I : 太阳常数(理论计算式如下, T为太阳表面温度, r为太阳半径, R为地日距离, 实际取值为近地轨道空间站实际测量的单位面积法相直射辐照度)</w:t>
      </w:r>
    </w:p>
    <w:p w14:paraId="54259394">
      <w:pPr>
        <w:jc w:val="center"/>
        <w:rPr>
          <w:rFonts w:hint="eastAsia" w:ascii="华文楷体" w:hAnsi="华文楷体" w:eastAsia="华文楷体" w:cs="华文楷体"/>
        </w:rPr>
      </w:pPr>
      <w:r>
        <w:rPr>
          <w:rFonts w:hint="eastAsia" w:ascii="华文楷体" w:hAnsi="华文楷体" w:eastAsia="华文楷体" w:cs="华文楷体"/>
        </w:rPr>
        <w:object>
          <v:shape id="_x0000_i1026" o:spt="75" type="#_x0000_t75" style="height:33pt;width:36pt;" o:ole="t" filled="f" o:preferrelative="t" stroked="f" coordsize="21600,21600">
            <v:path/>
            <v:fill on="f" focussize="0,0"/>
            <v:stroke on="f" joinstyle="miter"/>
            <v:imagedata r:id="rId15" o:title=""/>
            <o:lock v:ext="edit" aspectratio="f"/>
            <w10:wrap type="none"/>
            <w10:anchorlock/>
          </v:shape>
          <o:OLEObject Type="Embed" ProgID="Equation.DSMT4" ShapeID="_x0000_i1026" DrawAspect="Content" ObjectID="_1468075726" r:id="rId14">
            <o:LockedField>false</o:LockedField>
          </o:OLEObject>
        </w:object>
      </w:r>
    </w:p>
    <w:p w14:paraId="409B6A8F">
      <w:pPr>
        <w:rPr>
          <w:rFonts w:hint="eastAsia" w:ascii="华文楷体" w:hAnsi="华文楷体" w:eastAsia="华文楷体" w:cs="华文楷体"/>
        </w:rPr>
      </w:pPr>
    </w:p>
    <w:p w14:paraId="2553C8F7">
      <w:pPr>
        <w:rPr>
          <w:rFonts w:hint="eastAsia" w:ascii="华文楷体" w:hAnsi="华文楷体" w:eastAsia="华文楷体" w:cs="华文楷体"/>
        </w:rPr>
      </w:pPr>
      <w:r>
        <w:rPr>
          <w:rFonts w:hint="eastAsia" w:ascii="华文楷体" w:hAnsi="华文楷体" w:eastAsia="华文楷体" w:cs="华文楷体"/>
        </w:rPr>
        <w:t>m：大气质量</w:t>
      </w:r>
    </w:p>
    <w:p w14:paraId="1A517D7B">
      <w:pPr>
        <w:rPr>
          <w:rFonts w:hint="eastAsia" w:ascii="华文楷体" w:hAnsi="华文楷体" w:eastAsia="华文楷体" w:cs="华文楷体"/>
        </w:rPr>
      </w:pPr>
      <w:r>
        <w:rPr>
          <w:rFonts w:hint="eastAsia" w:ascii="华文楷体" w:hAnsi="华文楷体" w:eastAsia="华文楷体" w:cs="华文楷体"/>
        </w:rPr>
        <w:t>k：与大气浑浊度、吸收和散射有关的经验系数（由 Linke turbidity 给出）</w:t>
      </w:r>
    </w:p>
    <w:p w14:paraId="434791AE">
      <w:pPr>
        <w:rPr>
          <w:rFonts w:hint="eastAsia" w:ascii="华文楷体" w:hAnsi="华文楷体" w:eastAsia="华文楷体" w:cs="华文楷体"/>
        </w:rPr>
      </w:pPr>
    </w:p>
    <w:p w14:paraId="2BAC8A51">
      <w:pPr>
        <w:rPr>
          <w:rFonts w:hint="eastAsia" w:ascii="华文楷体" w:hAnsi="华文楷体" w:eastAsia="华文楷体" w:cs="华文楷体"/>
        </w:rPr>
      </w:pPr>
      <w:r>
        <w:rPr>
          <w:rFonts w:hint="eastAsia" w:ascii="华文楷体" w:hAnsi="华文楷体" w:eastAsia="华文楷体" w:cs="华文楷体"/>
        </w:rPr>
        <w:t>考虑散射辐照度(地面散射+天空散射)</w:t>
      </w:r>
    </w:p>
    <w:p w14:paraId="1543118E">
      <w:pPr>
        <w:rPr>
          <w:rFonts w:hint="eastAsia" w:ascii="华文楷体" w:hAnsi="华文楷体" w:eastAsia="华文楷体" w:cs="华文楷体"/>
        </w:rPr>
      </w:pPr>
      <w:r>
        <w:rPr>
          <w:rFonts w:hint="eastAsia" w:ascii="华文楷体" w:hAnsi="华文楷体" w:eastAsia="华文楷体" w:cs="华文楷体"/>
        </w:rPr>
        <w:t>计算DHI (Diffuse Horizontal Irradiance)</w:t>
      </w:r>
    </w:p>
    <w:p w14:paraId="49053D0B">
      <w:pPr>
        <w:jc w:val="center"/>
        <w:rPr>
          <w:rFonts w:hint="eastAsia" w:ascii="华文楷体" w:hAnsi="华文楷体" w:eastAsia="华文楷体" w:cs="华文楷体"/>
        </w:rPr>
      </w:pPr>
      <w:r>
        <w:rPr>
          <w:rFonts w:hint="eastAsia" w:ascii="华文楷体" w:hAnsi="华文楷体" w:eastAsia="华文楷体" w:cs="华文楷体"/>
        </w:rPr>
        <w:object>
          <v:shape id="_x0000_i1027" o:spt="75" type="#_x0000_t75" style="height:20pt;width:153pt;" o:ole="t" filled="f" o:preferrelative="t" stroked="f" coordsize="21600,21600">
            <v:path/>
            <v:fill on="f" focussize="0,0"/>
            <v:stroke on="f" joinstyle="miter"/>
            <v:imagedata r:id="rId17" o:title=""/>
            <o:lock v:ext="edit" aspectratio="f"/>
            <w10:wrap type="none"/>
            <w10:anchorlock/>
          </v:shape>
          <o:OLEObject Type="Embed" ProgID="Equation.DSMT4" ShapeID="_x0000_i1027" DrawAspect="Content" ObjectID="_1468075727" r:id="rId16">
            <o:LockedField>false</o:LockedField>
          </o:OLEObject>
        </w:object>
      </w:r>
    </w:p>
    <w:p w14:paraId="4A68A2D2">
      <w:pPr>
        <w:rPr>
          <w:rFonts w:hint="eastAsia" w:ascii="华文楷体" w:hAnsi="华文楷体" w:eastAsia="华文楷体" w:cs="华文楷体"/>
        </w:rPr>
      </w:pPr>
      <w:r>
        <w:rPr>
          <w:rFonts w:hint="eastAsia" w:ascii="华文楷体" w:hAnsi="华文楷体" w:eastAsia="华文楷体" w:cs="华文楷体"/>
        </w:rPr>
        <w:t>其中GHI(Global Horizontal Irradiance) 为实测得地表总辐照度(包括直射+散射), pvlib库会根据输入得经纬度调出当地或就近地区测得的GHI数据.</w:t>
      </w:r>
      <w:r>
        <w:rPr>
          <w:rFonts w:hint="eastAsia" w:ascii="华文楷体" w:hAnsi="华文楷体" w:eastAsia="华文楷体" w:cs="华文楷体"/>
          <w:lang w:val="en-US" w:eastAsia="zh-CN"/>
        </w:rPr>
        <w:t xml:space="preserve"> </w:t>
      </w:r>
      <w:r>
        <w:rPr>
          <w:rFonts w:hint="eastAsia" w:ascii="华文楷体" w:hAnsi="华文楷体" w:eastAsia="华文楷体" w:cs="华文楷体"/>
        </w:rPr>
        <w:object>
          <v:shape id="_x0000_i1028" o:spt="75" type="#_x0000_t75" style="height:18pt;width:14pt;" o:ole="t" filled="f" o:preferrelative="t" stroked="f" coordsize="21600,21600">
            <v:path/>
            <v:fill on="f" focussize="0,0"/>
            <v:stroke on="f" joinstyle="miter"/>
            <v:imagedata r:id="rId19" o:title=""/>
            <o:lock v:ext="edit" aspectratio="f"/>
            <w10:wrap type="none"/>
            <w10:anchorlock/>
          </v:shape>
          <o:OLEObject Type="Embed" ProgID="Equation.DSMT4" ShapeID="_x0000_i1028" DrawAspect="Content" ObjectID="_1468075728" r:id="rId18">
            <o:LockedField>false</o:LockedField>
          </o:OLEObject>
        </w:object>
      </w:r>
      <w:r>
        <w:rPr>
          <w:rFonts w:hint="eastAsia" w:ascii="华文楷体" w:hAnsi="华文楷体" w:eastAsia="华文楷体" w:cs="华文楷体"/>
        </w:rPr>
        <w:t>为太阳高度角</w:t>
      </w:r>
    </w:p>
    <w:p w14:paraId="1A940315">
      <w:pPr>
        <w:rPr>
          <w:rFonts w:hint="eastAsia" w:ascii="华文楷体" w:hAnsi="华文楷体" w:eastAsia="华文楷体" w:cs="华文楷体"/>
        </w:rPr>
      </w:pPr>
    </w:p>
    <w:p w14:paraId="3B46F99F">
      <w:pPr>
        <w:rPr>
          <w:rFonts w:hint="eastAsia" w:ascii="华文楷体" w:hAnsi="华文楷体" w:eastAsia="华文楷体" w:cs="华文楷体"/>
        </w:rPr>
      </w:pPr>
      <w:r>
        <w:rPr>
          <w:rFonts w:hint="eastAsia" w:ascii="华文楷体" w:hAnsi="华文楷体" w:eastAsia="华文楷体" w:cs="华文楷体"/>
        </w:rPr>
        <w:t xml:space="preserve">地面散射(Gound Diffusion): </w:t>
      </w:r>
    </w:p>
    <w:p w14:paraId="2CE31D0F">
      <w:pPr>
        <w:rPr>
          <w:rFonts w:hint="default" w:ascii="华文楷体" w:hAnsi="华文楷体" w:eastAsia="华文楷体" w:cs="华文楷体"/>
          <w:lang w:val="en-US" w:eastAsia="zh-CN"/>
        </w:rPr>
      </w:pPr>
      <w:r>
        <w:rPr>
          <w:rFonts w:hint="eastAsia" w:ascii="华文楷体" w:hAnsi="华文楷体" w:eastAsia="华文楷体" w:cs="华文楷体"/>
        </w:rPr>
        <w:t>地面散射本质是由GHI反射得到, 所以大致为GHI 乘一个系数, 这里</w:t>
      </w:r>
      <w:r>
        <w:rPr>
          <w:rFonts w:hint="eastAsia" w:ascii="华文楷体" w:hAnsi="华文楷体" w:eastAsia="华文楷体" w:cs="华文楷体"/>
          <w:lang w:val="en-US" w:eastAsia="zh-CN"/>
        </w:rPr>
        <w:t>即为:</w:t>
      </w:r>
    </w:p>
    <w:p w14:paraId="1FDE8931">
      <w:pPr>
        <w:rPr>
          <w:rFonts w:hint="eastAsia" w:ascii="华文楷体" w:hAnsi="华文楷体" w:eastAsia="华文楷体" w:cs="华文楷体"/>
        </w:rPr>
      </w:pPr>
      <w:r>
        <w:rPr>
          <w:rFonts w:hint="eastAsia" w:ascii="华文楷体" w:hAnsi="华文楷体" w:eastAsia="华文楷体" w:cs="华文楷体"/>
          <w:lang w:val="en-US" w:eastAsia="zh-CN"/>
        </w:rPr>
        <w:t xml:space="preserve">                               </w:t>
      </w:r>
      <w:r>
        <w:rPr>
          <w:rFonts w:hint="eastAsia" w:ascii="华文楷体" w:hAnsi="华文楷体" w:eastAsia="华文楷体" w:cs="华文楷体"/>
        </w:rPr>
        <w:object>
          <v:shape id="_x0000_i1029" o:spt="75" type="#_x0000_t75" style="height:31pt;width:88pt;" o:ole="t" filled="f" o:preferrelative="t" stroked="f" coordsize="21600,21600">
            <v:path/>
            <v:fill on="f" focussize="0,0"/>
            <v:stroke on="f" joinstyle="miter"/>
            <v:imagedata r:id="rId21" o:title=""/>
            <o:lock v:ext="edit" aspectratio="f"/>
            <w10:wrap type="none"/>
            <w10:anchorlock/>
          </v:shape>
          <o:OLEObject Type="Embed" ProgID="Equation.DSMT4" ShapeID="_x0000_i1029" DrawAspect="Content" ObjectID="_1468075729" r:id="rId20">
            <o:LockedField>false</o:LockedField>
          </o:OLEObject>
        </w:object>
      </w:r>
    </w:p>
    <w:p w14:paraId="2B0D24D8">
      <w:pPr>
        <w:rPr>
          <w:rFonts w:hint="eastAsia" w:ascii="华文楷体" w:hAnsi="华文楷体" w:eastAsia="华文楷体" w:cs="华文楷体"/>
        </w:rPr>
      </w:pPr>
    </w:p>
    <w:p w14:paraId="6C7EA95B">
      <w:pPr>
        <w:rPr>
          <w:rFonts w:hint="eastAsia" w:ascii="华文楷体" w:hAnsi="华文楷体" w:eastAsia="华文楷体" w:cs="华文楷体"/>
        </w:rPr>
      </w:pPr>
    </w:p>
    <w:p w14:paraId="745A35C4">
      <w:pPr>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 xml:space="preserve">得到基础辐照功率的计算公式: </w:t>
      </w:r>
    </w:p>
    <w:p w14:paraId="4E233504">
      <w:pPr>
        <w:jc w:val="center"/>
        <w:rPr>
          <w:rFonts w:hint="eastAsia" w:ascii="宋体" w:hAnsi="宋体" w:eastAsia="宋体" w:cs="宋体"/>
          <w:spacing w:val="-3"/>
          <w:position w:val="-14"/>
          <w:sz w:val="24"/>
          <w:szCs w:val="24"/>
          <w:lang w:val="en-US" w:eastAsia="zh-CN"/>
        </w:rPr>
      </w:pPr>
      <w:r>
        <w:rPr>
          <w:rFonts w:hint="eastAsia" w:ascii="宋体" w:hAnsi="宋体" w:eastAsia="宋体" w:cs="宋体"/>
          <w:spacing w:val="-3"/>
          <w:position w:val="-14"/>
          <w:sz w:val="24"/>
          <w:szCs w:val="24"/>
          <w:lang w:val="en-US" w:eastAsia="zh-CN"/>
        </w:rPr>
        <w:object>
          <v:shape id="_x0000_i1030" o:spt="75" type="#_x0000_t75" style="height:20pt;width:404pt;" o:ole="t" filled="f" o:preferrelative="t" stroked="f" coordsize="21600,21600">
            <v:path/>
            <v:fill on="f" focussize="0,0"/>
            <v:stroke on="f"/>
            <v:imagedata r:id="rId23" o:title=""/>
            <o:lock v:ext="edit" aspectratio="f"/>
            <w10:wrap type="none"/>
            <w10:anchorlock/>
          </v:shape>
          <o:OLEObject Type="Embed" ProgID="Equation.DSMT4" ShapeID="_x0000_i1030" DrawAspect="Content" ObjectID="_1468075730" r:id="rId22">
            <o:LockedField>false</o:LockedField>
          </o:OLEObject>
        </w:object>
      </w:r>
    </w:p>
    <w:p w14:paraId="1092CA59">
      <w:pPr>
        <w:rPr>
          <w:rFonts w:hint="eastAsia" w:ascii="宋体" w:hAnsi="宋体" w:eastAsia="宋体" w:cs="宋体"/>
          <w:spacing w:val="-3"/>
          <w:position w:val="-14"/>
          <w:sz w:val="24"/>
          <w:szCs w:val="24"/>
          <w:lang w:val="en-US" w:eastAsia="zh-CN"/>
        </w:rPr>
      </w:pPr>
    </w:p>
    <w:p w14:paraId="102EFB7B">
      <w:pPr>
        <w:rPr>
          <w:rFonts w:hint="eastAsia" w:ascii="华文楷体" w:hAnsi="华文楷体" w:eastAsia="华文楷体" w:cs="华文楷体"/>
          <w:lang w:val="en-US" w:eastAsia="zh-CN"/>
        </w:rPr>
      </w:pPr>
      <w:r>
        <w:rPr>
          <w:rFonts w:hint="eastAsia" w:ascii="宋体" w:hAnsi="宋体" w:eastAsia="宋体" w:cs="宋体"/>
          <w:spacing w:val="-3"/>
          <w:sz w:val="24"/>
          <w:szCs w:val="24"/>
          <w:lang w:val="en-US" w:eastAsia="zh-CN"/>
        </w:rPr>
        <w:t>(3)优化辐照功率的推算</w:t>
      </w:r>
    </w:p>
    <w:p w14:paraId="7F40FC46">
      <w:pPr>
        <w:rPr>
          <w:rFonts w:hint="default" w:ascii="华文楷体" w:hAnsi="华文楷体" w:eastAsia="华文楷体" w:cs="华文楷体"/>
          <w:lang w:val="en-US" w:eastAsia="zh-CN"/>
        </w:rPr>
      </w:pPr>
    </w:p>
    <w:p w14:paraId="7969AD22">
      <w:pP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以PV-lib库整合的Perez模型为基础</w:t>
      </w:r>
    </w:p>
    <w:p w14:paraId="4A69659B">
      <w:pPr>
        <w:keepNext w:val="0"/>
        <w:keepLines w:val="0"/>
        <w:widowControl/>
        <w:suppressLineNumbers w:val="0"/>
        <w:shd w:val="clear" w:fill="FFFFFF"/>
        <w:kinsoku/>
        <w:autoSpaceDE/>
        <w:autoSpaceDN/>
        <w:adjustRightInd/>
        <w:snapToGrid/>
        <w:spacing w:line="270" w:lineRule="atLeast"/>
        <w:jc w:val="left"/>
        <w:textAlignment w:val="auto"/>
        <w:rPr>
          <w:rFonts w:hint="default" w:ascii="Consolas" w:hAnsi="Consolas" w:eastAsia="Consolas" w:cs="Consolas"/>
          <w:b w:val="0"/>
          <w:bCs w:val="0"/>
          <w:snapToGrid/>
          <w:color w:val="001080"/>
          <w:kern w:val="0"/>
          <w:sz w:val="20"/>
          <w:szCs w:val="20"/>
          <w:shd w:val="clear" w:fill="FFFFFF"/>
          <w:lang w:val="en-US" w:eastAsia="zh-CN" w:bidi="ar"/>
        </w:rPr>
      </w:pPr>
      <w:r>
        <w:rPr>
          <w:rFonts w:hint="default" w:ascii="Consolas" w:hAnsi="Consolas" w:eastAsia="Consolas" w:cs="Consolas"/>
          <w:b w:val="0"/>
          <w:bCs w:val="0"/>
          <w:snapToGrid/>
          <w:color w:val="001080"/>
          <w:kern w:val="0"/>
          <w:sz w:val="20"/>
          <w:szCs w:val="20"/>
          <w:shd w:val="clear" w:fill="FFFFFF"/>
          <w:lang w:val="en-US" w:eastAsia="zh-CN" w:bidi="ar"/>
        </w:rPr>
        <w:t>Gsky​=DHI</w:t>
      </w:r>
      <w:r>
        <w:rPr>
          <w:rFonts w:hint="eastAsia" w:ascii="Consolas" w:hAnsi="Consolas" w:eastAsia="Consolas" w:cs="Consolas"/>
          <w:b w:val="0"/>
          <w:bCs w:val="0"/>
          <w:snapToGrid/>
          <w:color w:val="001080"/>
          <w:kern w:val="0"/>
          <w:sz w:val="20"/>
          <w:szCs w:val="20"/>
          <w:shd w:val="clear" w:fill="FFFFFF"/>
          <w:lang w:val="en-US" w:eastAsia="zh-CN" w:bidi="ar"/>
        </w:rPr>
        <w:t>*</w:t>
      </w:r>
      <w:r>
        <w:rPr>
          <w:rFonts w:hint="default" w:ascii="Consolas" w:hAnsi="Consolas" w:eastAsia="Consolas" w:cs="Consolas"/>
          <w:b w:val="0"/>
          <w:bCs w:val="0"/>
          <w:snapToGrid/>
          <w:color w:val="001080"/>
          <w:kern w:val="0"/>
          <w:sz w:val="20"/>
          <w:szCs w:val="20"/>
          <w:shd w:val="clear" w:fill="FFFFFF"/>
          <w:lang w:val="en-US" w:eastAsia="zh-CN" w:bidi="ar"/>
        </w:rPr>
        <w:t>(Fiso​+Fcircumsolar​+Fhorizon​)</w:t>
      </w:r>
    </w:p>
    <w:p w14:paraId="74A09F17">
      <w:pPr>
        <w:keepNext w:val="0"/>
        <w:keepLines w:val="0"/>
        <w:widowControl/>
        <w:suppressLineNumbers w:val="0"/>
        <w:shd w:val="clear" w:fill="FFFFFF"/>
        <w:kinsoku/>
        <w:autoSpaceDE/>
        <w:autoSpaceDN/>
        <w:adjustRightInd/>
        <w:snapToGrid/>
        <w:spacing w:line="270" w:lineRule="atLeast"/>
        <w:jc w:val="left"/>
        <w:textAlignment w:val="auto"/>
        <w:rPr>
          <w:rFonts w:hint="default" w:ascii="Consolas" w:hAnsi="Consolas" w:eastAsia="Consolas" w:cs="Consolas"/>
          <w:b w:val="0"/>
          <w:bCs w:val="0"/>
          <w:snapToGrid/>
          <w:color w:val="001080"/>
          <w:kern w:val="0"/>
          <w:sz w:val="20"/>
          <w:szCs w:val="20"/>
          <w:shd w:val="clear" w:fill="FFFFFF"/>
          <w:lang w:val="en-US" w:eastAsia="zh-CN" w:bidi="ar"/>
        </w:rPr>
      </w:pPr>
      <w:r>
        <w:rPr>
          <w:rFonts w:hint="eastAsia" w:ascii="Consolas" w:hAnsi="Consolas" w:eastAsia="Consolas" w:cs="Consolas"/>
          <w:b w:val="0"/>
          <w:bCs w:val="0"/>
          <w:snapToGrid/>
          <w:color w:val="001080"/>
          <w:kern w:val="0"/>
          <w:sz w:val="20"/>
          <w:szCs w:val="20"/>
          <w:shd w:val="clear" w:fill="FFFFFF"/>
          <w:lang w:val="en-US" w:eastAsia="zh-CN" w:bidi="ar"/>
        </w:rPr>
        <w:t>poa</w:t>
      </w:r>
      <w:r>
        <w:rPr>
          <w:rFonts w:hint="default" w:ascii="Consolas" w:hAnsi="Consolas" w:eastAsia="Consolas" w:cs="Consolas"/>
          <w:b w:val="0"/>
          <w:bCs w:val="0"/>
          <w:snapToGrid/>
          <w:color w:val="001080"/>
          <w:kern w:val="0"/>
          <w:sz w:val="20"/>
          <w:szCs w:val="20"/>
          <w:shd w:val="clear" w:fill="FFFFFF"/>
          <w:lang w:val="en-US" w:eastAsia="zh-CN" w:bidi="ar"/>
        </w:rPr>
        <w:t>= pvlib.irradiance.get_total_irradiance( surface_tilt=beta, surface_azimuth=gamma, dni=dni, ghi=ghi, dhi=dhi, solar_zenith=theta_z, solar_azimuth=azimuth, albedo=, model='perez' )</w:t>
      </w:r>
    </w:p>
    <w:p w14:paraId="7F24D5A9">
      <w:pPr>
        <w:keepNext w:val="0"/>
        <w:keepLines w:val="0"/>
        <w:widowControl/>
        <w:suppressLineNumbers w:val="0"/>
        <w:shd w:val="clear" w:fill="FFFFFF"/>
        <w:kinsoku/>
        <w:autoSpaceDE/>
        <w:autoSpaceDN/>
        <w:adjustRightInd/>
        <w:snapToGrid/>
        <w:spacing w:line="270" w:lineRule="atLeast"/>
        <w:jc w:val="left"/>
        <w:textAlignment w:val="auto"/>
        <w:rPr>
          <w:rFonts w:hint="default" w:ascii="Consolas" w:hAnsi="Consolas" w:eastAsia="Consolas" w:cs="Consolas"/>
          <w:b w:val="0"/>
          <w:bCs w:val="0"/>
          <w:snapToGrid/>
          <w:color w:val="001080"/>
          <w:kern w:val="0"/>
          <w:sz w:val="20"/>
          <w:szCs w:val="20"/>
          <w:shd w:val="clear" w:fill="FFFFFF"/>
          <w:lang w:val="en-US" w:eastAsia="zh-CN" w:bidi="ar"/>
        </w:rPr>
      </w:pPr>
      <w:r>
        <w:rPr>
          <w:rFonts w:hint="default" w:ascii="Consolas" w:hAnsi="Consolas" w:eastAsia="Consolas" w:cs="Consolas"/>
          <w:b w:val="0"/>
          <w:bCs w:val="0"/>
          <w:snapToGrid/>
          <w:color w:val="001080"/>
          <w:kern w:val="0"/>
          <w:sz w:val="20"/>
          <w:szCs w:val="20"/>
          <w:shd w:val="clear" w:fill="FFFFFF"/>
          <w:lang w:val="en-US" w:eastAsia="zh-CN" w:bidi="ar"/>
        </w:rPr>
        <w:t>G_beam = poa['poa_direct']</w:t>
      </w:r>
      <w:r>
        <w:rPr>
          <w:rFonts w:hint="default" w:ascii="Consolas" w:hAnsi="Consolas" w:eastAsia="Consolas" w:cs="Consolas"/>
          <w:b w:val="0"/>
          <w:bCs w:val="0"/>
          <w:snapToGrid/>
          <w:color w:val="001080"/>
          <w:kern w:val="0"/>
          <w:sz w:val="20"/>
          <w:szCs w:val="20"/>
          <w:shd w:val="clear" w:fill="FFFFFF"/>
          <w:lang w:val="en-US" w:eastAsia="zh-CN" w:bidi="ar"/>
        </w:rPr>
        <w:br w:type="textWrapping"/>
      </w:r>
      <w:r>
        <w:rPr>
          <w:rFonts w:hint="default" w:ascii="Consolas" w:hAnsi="Consolas" w:eastAsia="Consolas" w:cs="Consolas"/>
          <w:b w:val="0"/>
          <w:bCs w:val="0"/>
          <w:snapToGrid/>
          <w:color w:val="001080"/>
          <w:kern w:val="0"/>
          <w:sz w:val="20"/>
          <w:szCs w:val="20"/>
          <w:shd w:val="clear" w:fill="FFFFFF"/>
          <w:lang w:val="en-US" w:eastAsia="zh-CN" w:bidi="ar"/>
        </w:rPr>
        <w:t>G_sky = poa['poa_sky_diffuse']</w:t>
      </w:r>
      <w:r>
        <w:rPr>
          <w:rFonts w:hint="default" w:ascii="Consolas" w:hAnsi="Consolas" w:eastAsia="Consolas" w:cs="Consolas"/>
          <w:b w:val="0"/>
          <w:bCs w:val="0"/>
          <w:snapToGrid/>
          <w:color w:val="001080"/>
          <w:kern w:val="0"/>
          <w:sz w:val="20"/>
          <w:szCs w:val="20"/>
          <w:shd w:val="clear" w:fill="FFFFFF"/>
          <w:lang w:val="en-US" w:eastAsia="zh-CN" w:bidi="ar"/>
        </w:rPr>
        <w:br w:type="textWrapping"/>
      </w:r>
      <w:r>
        <w:rPr>
          <w:rFonts w:hint="default" w:ascii="Consolas" w:hAnsi="Consolas" w:eastAsia="Consolas" w:cs="Consolas"/>
          <w:b w:val="0"/>
          <w:bCs w:val="0"/>
          <w:snapToGrid/>
          <w:color w:val="001080"/>
          <w:kern w:val="0"/>
          <w:sz w:val="20"/>
          <w:szCs w:val="20"/>
          <w:shd w:val="clear" w:fill="FFFFFF"/>
          <w:lang w:val="en-US" w:eastAsia="zh-CN" w:bidi="ar"/>
        </w:rPr>
        <w:t>G_ground = poa['poa_ground_diffuse']</w:t>
      </w:r>
    </w:p>
    <w:p w14:paraId="70AC700A">
      <w:pPr>
        <w:rPr>
          <w:rFonts w:hint="default"/>
          <w:position w:val="-14"/>
          <w:lang w:val="en-US" w:eastAsia="zh-CN"/>
        </w:rPr>
      </w:pPr>
    </w:p>
    <w:p w14:paraId="0D355F7E">
      <w:pP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在研究过程中, 我们选取了现代光伏和极地地区必须要考虑的几大因素, 用于优化辐照功率的建模, 具体分析如下:</w:t>
      </w:r>
    </w:p>
    <w:p w14:paraId="06EDA601">
      <w:pPr>
        <w:rPr>
          <w:rFonts w:hint="default" w:ascii="华文楷体" w:hAnsi="华文楷体" w:eastAsia="华文楷体" w:cs="华文楷体"/>
          <w:lang w:val="en-US" w:eastAsia="zh-CN"/>
        </w:rPr>
      </w:pPr>
    </w:p>
    <w:p w14:paraId="05A42609">
      <w:pPr>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(3.1) FlAM大入射角损失</w:t>
      </w:r>
    </w:p>
    <w:p w14:paraId="69F7EA58">
      <w:pPr>
        <w:ind w:firstLine="420" w:firstLineChars="0"/>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为了修正南极低太阳高度角下，光伏板玻璃表面的角度反射损失，</w:t>
      </w:r>
      <w:r>
        <w:rPr>
          <w:rFonts w:hint="eastAsia" w:ascii="华文楷体" w:hAnsi="华文楷体" w:eastAsia="华文楷体" w:cs="华文楷体"/>
          <w:lang w:val="en-US" w:eastAsia="zh-CN"/>
        </w:rPr>
        <w:t>本模型</w:t>
      </w:r>
      <w:r>
        <w:rPr>
          <w:rFonts w:hint="default" w:ascii="华文楷体" w:hAnsi="华文楷体" w:eastAsia="华文楷体" w:cs="华文楷体"/>
          <w:lang w:val="en-US" w:eastAsia="zh-CN"/>
        </w:rPr>
        <w:t>引入了入射角修正因子 (</w:t>
      </w:r>
      <w:r>
        <w:rPr>
          <w:rFonts w:hint="eastAsia" w:ascii="华文楷体" w:hAnsi="华文楷体" w:eastAsia="华文楷体" w:cs="华文楷体"/>
          <w:lang w:val="en-US" w:eastAsia="zh-CN"/>
        </w:rPr>
        <w:t>F</w:t>
      </w:r>
      <w:r>
        <w:rPr>
          <w:rFonts w:hint="default" w:ascii="华文楷体" w:hAnsi="华文楷体" w:eastAsia="华文楷体" w:cs="华文楷体"/>
          <w:lang w:val="en-US" w:eastAsia="zh-CN"/>
        </w:rPr>
        <w:t>IAM)。其中，直射项修正参考 Sandia IAM 模型，而天空散射项的修正因子 (fIAM,diff​) 则参考 Martin and Ruiz 分析模型，以确保在大入射角条件下有效利用辐照度计算的准确性。</w:t>
      </w:r>
    </w:p>
    <w:p w14:paraId="4FCD873F">
      <w:pPr>
        <w:jc w:val="center"/>
        <w:rPr>
          <w:rFonts w:hint="eastAsia" w:ascii="华文楷体" w:hAnsi="华文楷体" w:eastAsia="华文楷体" w:cs="华文楷体"/>
          <w:lang w:val="en-US" w:eastAsia="zh-CN"/>
        </w:rPr>
      </w:pPr>
      <w:r>
        <w:rPr>
          <w:rFonts w:hint="eastAsia" w:ascii="华文楷体" w:hAnsi="华文楷体" w:eastAsia="华文楷体" w:cs="华文楷体"/>
          <w:position w:val="-14"/>
          <w:lang w:val="en-US" w:eastAsia="zh-CN"/>
        </w:rPr>
        <w:object>
          <v:shape id="_x0000_i1031" o:spt="75" type="#_x0000_t75" style="height:20pt;width:135pt;" o:ole="t" filled="f" o:preferrelative="t" stroked="f" coordsize="21600,21600">
            <v:path/>
            <v:fill on="f" focussize="0,0"/>
            <v:stroke on="f"/>
            <v:imagedata r:id="rId25" o:title=""/>
            <o:lock v:ext="edit" aspectratio="f"/>
            <w10:wrap type="none"/>
            <w10:anchorlock/>
          </v:shape>
          <o:OLEObject Type="Embed" ProgID="Equation.DSMT4" ShapeID="_x0000_i1031" DrawAspect="Content" ObjectID="_1468075731" r:id="rId24">
            <o:LockedField>false</o:LockedField>
          </o:OLEObject>
        </w:object>
      </w:r>
    </w:p>
    <w:p w14:paraId="326246EE">
      <w:pPr>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“Sourcing albedo data for bifacial PV systems in complex landscapes”</w:t>
      </w:r>
      <w:r>
        <w:rPr>
          <w:rFonts w:hint="eastAsia" w:ascii="华文楷体" w:hAnsi="华文楷体" w:eastAsia="华文楷体" w:cs="华文楷体"/>
          <w:lang w:val="en-US" w:eastAsia="zh-CN"/>
        </w:rPr>
        <w:t>一文中对此解释如下:</w:t>
      </w:r>
    </w:p>
    <w:p w14:paraId="20E64C08">
      <w:pPr>
        <w:ind w:firstLine="420" w:firstLineChars="0"/>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One problem of the reference cell is that reflections from its planar glass cover significantly reduce the measured effective irradiance at high angles of incidence. This effect can be modelled using incident angle modifier (IAM) models. We show the result of fitting the 1-parameter Martin and Ruiz IAM model with a parameter ar = 0.163. This enables an angular correction to be applied. We modify the reference cell albedometer measurement with an angular-response correction, where fIAM(θ) is the incident angle modifier function for direct light, and fIAM,diff is the IAM for diffuse light. We used the Martin and Ruiz IAM model with fit parameter ar = 0.163 and fIAM,diff = 0.986 derived by assuming isotropic diffuseradiance.</w:t>
      </w:r>
    </w:p>
    <w:p w14:paraId="761FAA54">
      <w:pPr>
        <w:ind w:firstLine="420" w:firstLineChars="0"/>
        <w:rPr>
          <w:rFonts w:hint="default" w:ascii="华文楷体" w:hAnsi="华文楷体" w:eastAsia="华文楷体" w:cs="华文楷体"/>
          <w:lang w:val="en-US" w:eastAsia="zh-CN"/>
        </w:rPr>
      </w:pPr>
    </w:p>
    <w:p w14:paraId="75FF36D3">
      <w:pPr>
        <w:ind w:firstLine="420" w:firstLineChars="0"/>
        <w:rPr>
          <w:rFonts w:hint="eastAsia" w:ascii="华文楷体" w:hAnsi="华文楷体" w:eastAsia="华文楷体" w:cs="华文楷体"/>
          <w:lang w:val="en-US" w:eastAsia="zh-CN"/>
        </w:rPr>
      </w:pPr>
      <w:r>
        <w:drawing>
          <wp:inline distT="0" distB="0" distL="114300" distR="114300">
            <wp:extent cx="5274310" cy="1701165"/>
            <wp:effectExtent l="0" t="0" r="889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274310" cy="1701165"/>
                    </a:xfrm>
                    <a:prstGeom prst="rect">
                      <a:avLst/>
                    </a:prstGeom>
                    <a:noFill/>
                    <a:ln>
                      <a:noFill/>
                    </a:ln>
                  </pic:spPr>
                </pic:pic>
              </a:graphicData>
            </a:graphic>
          </wp:inline>
        </w:drawing>
      </w:r>
    </w:p>
    <w:p w14:paraId="5908574C">
      <w:pPr>
        <w:rPr>
          <w:rFonts w:hint="default" w:ascii="华文楷体" w:hAnsi="华文楷体" w:eastAsia="华文楷体" w:cs="华文楷体"/>
          <w:lang w:val="en-US" w:eastAsia="zh-CN"/>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Resource: </w:t>
      </w:r>
      <w:r>
        <w:rPr>
          <w:rFonts w:hint="default" w:ascii="华文楷体" w:hAnsi="华文楷体" w:eastAsia="华文楷体" w:cs="华文楷体"/>
          <w:snapToGrid w:val="0"/>
          <w:color w:val="000000"/>
          <w:kern w:val="0"/>
          <w:sz w:val="21"/>
          <w:szCs w:val="21"/>
          <w:lang w:val="en-US" w:eastAsia="zh-CN" w:bidi="ar"/>
        </w:rPr>
        <w:t>Sourcing albedo data for bifacial PV systems in complex landscapes</w:t>
      </w:r>
      <w:r>
        <w:rPr>
          <w:rFonts w:hint="eastAsia" w:ascii="华文楷体" w:hAnsi="华文楷体" w:eastAsia="华文楷体" w:cs="华文楷体"/>
          <w:snapToGrid w:val="0"/>
          <w:color w:val="000000"/>
          <w:kern w:val="0"/>
          <w:sz w:val="21"/>
          <w:szCs w:val="21"/>
          <w:lang w:val="en-US" w:eastAsia="zh-CN" w:bidi="ar"/>
        </w:rPr>
        <w:t>)</w:t>
      </w:r>
    </w:p>
    <w:p w14:paraId="7FEEE3C0">
      <w:pPr>
        <w:rPr>
          <w:rFonts w:hint="default" w:ascii="华文楷体" w:hAnsi="华文楷体" w:eastAsia="华文楷体" w:cs="华文楷体"/>
          <w:lang w:val="en-US" w:eastAsia="zh-CN"/>
        </w:rPr>
      </w:pPr>
    </w:p>
    <w:p w14:paraId="1F86B2A0">
      <w:pPr>
        <w:numPr>
          <w:ilvl w:val="0"/>
          <w:numId w:val="0"/>
        </w:numP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(3.2) 0.98的雪地光谱与硅光伏板错配系数</w:t>
      </w:r>
    </w:p>
    <w:p w14:paraId="2E69E095">
      <w:pPr>
        <w:numPr>
          <w:ilvl w:val="0"/>
          <w:numId w:val="0"/>
        </w:numPr>
        <w:rPr>
          <w:rFonts w:hint="eastAsia" w:ascii="华文楷体" w:hAnsi="华文楷体" w:eastAsia="华文楷体" w:cs="华文楷体"/>
          <w:lang w:val="en-US" w:eastAsia="zh-CN"/>
        </w:rPr>
      </w:pPr>
    </w:p>
    <w:p w14:paraId="0082876D">
      <w:pPr>
        <w:numPr>
          <w:ilvl w:val="0"/>
          <w:numId w:val="0"/>
        </w:numPr>
        <w:rPr>
          <w:rFonts w:hint="default" w:ascii="华文楷体" w:hAnsi="华文楷体" w:eastAsia="华文楷体" w:cs="华文楷体"/>
          <w:lang w:val="en-US" w:eastAsia="zh-CN"/>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The effect of spectral albedo in bifacial photovoltaic performance</w:t>
      </w: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一文中对此做了以下解释:</w:t>
      </w:r>
    </w:p>
    <w:p w14:paraId="64529A03">
      <w:pPr>
        <w:ind w:firstLine="420" w:firstLineChars="0"/>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The spectral nature of albedo is shown to have significant influence on bifacial photo-voltaic performance wherein backside spectral impact as high as 1.20 is observed for fixed-tilt systems above green vegetation and as low as 0.98 for systems above snow.</w:t>
      </w:r>
    </w:p>
    <w:p w14:paraId="3F76E839">
      <w:pPr>
        <w:ind w:firstLine="420" w:firstLineChars="0"/>
        <w:rPr>
          <w:rFonts w:hint="default" w:ascii="华文楷体" w:hAnsi="华文楷体" w:eastAsia="华文楷体" w:cs="华文楷体"/>
          <w:lang w:val="en-US" w:eastAsia="zh-CN"/>
        </w:rPr>
      </w:pPr>
    </w:p>
    <w:p w14:paraId="2B7675E9">
      <w:pPr>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drawing>
          <wp:inline distT="0" distB="0" distL="114300" distR="114300">
            <wp:extent cx="5268595" cy="1761490"/>
            <wp:effectExtent l="0" t="0" r="1905" b="3810"/>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26"/>
                    <a:stretch>
                      <a:fillRect/>
                    </a:stretch>
                  </pic:blipFill>
                  <pic:spPr>
                    <a:xfrm>
                      <a:off x="0" y="0"/>
                      <a:ext cx="5268595" cy="1761490"/>
                    </a:xfrm>
                    <a:prstGeom prst="rect">
                      <a:avLst/>
                    </a:prstGeom>
                    <a:noFill/>
                    <a:ln>
                      <a:noFill/>
                    </a:ln>
                  </pic:spPr>
                </pic:pic>
              </a:graphicData>
            </a:graphic>
          </wp:inline>
        </w:drawing>
      </w:r>
      <w:r>
        <w:rPr>
          <w:rFonts w:hint="default" w:ascii="华文楷体" w:hAnsi="华文楷体" w:eastAsia="华文楷体" w:cs="华文楷体"/>
          <w:lang w:val="en-US" w:eastAsia="zh-CN"/>
        </w:rPr>
        <w:t> </w:t>
      </w:r>
    </w:p>
    <w:p w14:paraId="7E5EDAB7">
      <w:pPr>
        <w:rPr>
          <w:rFonts w:hint="default" w:ascii="华文楷体" w:hAnsi="华文楷体" w:eastAsia="华文楷体" w:cs="华文楷体"/>
          <w:lang w:val="en-US" w:eastAsia="zh-CN"/>
        </w:rPr>
      </w:pPr>
    </w:p>
    <w:p w14:paraId="76FD6CB9">
      <w:pP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 xml:space="preserve">(3.3) </w:t>
      </w:r>
      <w:r>
        <w:rPr>
          <w:rFonts w:hint="default" w:ascii="华文楷体" w:hAnsi="华文楷体" w:eastAsia="华文楷体" w:cs="华文楷体"/>
          <w:lang w:val="en-US" w:eastAsia="zh-CN"/>
        </w:rPr>
        <w:t>αeff’(t)</w:t>
      </w:r>
      <w:r>
        <w:rPr>
          <w:rFonts w:hint="eastAsia" w:ascii="华文楷体" w:hAnsi="华文楷体" w:eastAsia="华文楷体" w:cs="华文楷体"/>
          <w:lang w:val="en-US" w:eastAsia="zh-CN"/>
        </w:rPr>
        <w:t xml:space="preserve"> 反射系数优化</w:t>
      </w:r>
    </w:p>
    <w:p w14:paraId="114C5D1B">
      <w:pPr>
        <w:rPr>
          <w:rFonts w:hint="default" w:ascii="华文楷体" w:hAnsi="华文楷体" w:eastAsia="华文楷体" w:cs="华文楷体"/>
          <w:lang w:val="en-US" w:eastAsia="zh-CN"/>
        </w:rPr>
      </w:pPr>
    </w:p>
    <w:p w14:paraId="2255A7EF">
      <w:pPr>
        <w:jc w:val="center"/>
        <w:rPr>
          <w:rFonts w:hint="eastAsia" w:ascii="华文楷体" w:hAnsi="华文楷体" w:eastAsia="华文楷体" w:cs="华文楷体"/>
          <w:position w:val="-14"/>
          <w:lang w:val="en-US" w:eastAsia="zh-CN"/>
        </w:rPr>
      </w:pPr>
      <w:r>
        <w:rPr>
          <w:rFonts w:hint="eastAsia" w:ascii="华文楷体" w:hAnsi="华文楷体" w:eastAsia="华文楷体" w:cs="华文楷体"/>
          <w:position w:val="-14"/>
          <w:lang w:val="en-US" w:eastAsia="zh-CN"/>
        </w:rPr>
        <w:object>
          <v:shape id="_x0000_i1032" o:spt="75" type="#_x0000_t75" style="height:20pt;width:228pt;" o:ole="t" filled="f" o:preferrelative="t" stroked="f" coordsize="21600,21600">
            <v:path/>
            <v:fill on="f" focussize="0,0"/>
            <v:stroke on="f"/>
            <v:imagedata r:id="rId28" o:title=""/>
            <o:lock v:ext="edit" aspectratio="f"/>
            <w10:wrap type="none"/>
            <w10:anchorlock/>
          </v:shape>
          <o:OLEObject Type="Embed" ProgID="Equation.DSMT4" ShapeID="_x0000_i1032" DrawAspect="Content" ObjectID="_1468075732" r:id="rId27">
            <o:LockedField>false</o:LockedField>
          </o:OLEObject>
        </w:object>
      </w:r>
    </w:p>
    <w:p w14:paraId="518FC3A6">
      <w:pPr>
        <w:ind w:firstLine="420" w:firstLineChars="0"/>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此优化的核心在于将到达地面的太阳辐射拆分为“直射”与“散射”两个物理分量，并分别考虑地表对这两种不同光性质的反射特性. αws为white sky albedo, while αbs为black sky albedo, 这两个参数由BRDF卫星数据获得.</w:t>
      </w:r>
    </w:p>
    <w:p w14:paraId="323D854A">
      <w:pPr>
        <w:ind w:firstLine="420" w:firstLineChars="0"/>
        <w:rPr>
          <w:rFonts w:hint="eastAsia" w:ascii="华文楷体" w:hAnsi="华文楷体" w:eastAsia="华文楷体" w:cs="华文楷体"/>
          <w:lang w:val="en-US" w:eastAsia="zh-CN"/>
        </w:rPr>
      </w:pPr>
    </w:p>
    <w:p w14:paraId="43D12B2A">
      <w:pPr>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“Sourcing albedo data for bifacial PV systems in complex landscapes”</w:t>
      </w:r>
      <w:r>
        <w:rPr>
          <w:rFonts w:hint="eastAsia" w:ascii="华文楷体" w:hAnsi="华文楷体" w:eastAsia="华文楷体" w:cs="华文楷体"/>
          <w:lang w:val="en-US" w:eastAsia="zh-CN"/>
        </w:rPr>
        <w:t>中提到:</w:t>
      </w:r>
    </w:p>
    <w:p w14:paraId="2C038C39">
      <w:pPr>
        <w:ind w:firstLine="420" w:firstLineChars="0"/>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It is convenient to separate into two components: white-sky albedo αws and black-sky albedo αbs, representing diffuse and direct illumination components respectively. αws is calculated from a bihemispherical integral of the surface BRDF assuming an isotropic light source. αbs is calculated from a single hemispherical integral of the BRDF assuming that all incoming light is from a single direction. αbs is a function of solar zenith angle θSun, whereas αws is independent of the Sun's position. The total albedo α is estimated from a weighted sum of these sources: α = kdiff αws + (1 − kdiff) αbs, where kdiff is the quotient of diffuse horizontal irradiance divided by global horizontal irradiance.</w:t>
      </w:r>
    </w:p>
    <w:p w14:paraId="36514D2F">
      <w:pPr>
        <w:ind w:firstLine="420" w:firstLineChars="0"/>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其中α = kdiff αws + (1 − kdiff) αbs为反射系数优化的核心</w:t>
      </w:r>
    </w:p>
    <w:p w14:paraId="57D1BC72">
      <w:pPr>
        <w:ind w:firstLine="420" w:firstLineChars="0"/>
        <w:rPr>
          <w:rFonts w:hint="default" w:ascii="华文楷体" w:hAnsi="华文楷体" w:eastAsia="华文楷体" w:cs="华文楷体"/>
          <w:lang w:val="en-US" w:eastAsia="zh-CN"/>
        </w:rPr>
      </w:pPr>
    </w:p>
    <w:p w14:paraId="63B7EC08">
      <w:pP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(3.4) flow_sun(</w:t>
      </w:r>
      <w:r>
        <w:rPr>
          <w:rFonts w:hint="default" w:ascii="华文楷体" w:hAnsi="华文楷体" w:eastAsia="华文楷体" w:cs="华文楷体"/>
          <w:lang w:val="en-US" w:eastAsia="zh-CN"/>
        </w:rPr>
        <w:t>γ</w:t>
      </w:r>
      <w:r>
        <w:rPr>
          <w:rFonts w:hint="eastAsia" w:ascii="华文楷体" w:hAnsi="华文楷体" w:eastAsia="华文楷体" w:cs="华文楷体"/>
          <w:lang w:val="en-US" w:eastAsia="zh-CN"/>
        </w:rPr>
        <w:t>)低太阳高度角模型失真</w:t>
      </w:r>
    </w:p>
    <w:p w14:paraId="1BE3B51D">
      <w:pPr>
        <w:rPr>
          <w:rFonts w:hint="eastAsia" w:ascii="华文楷体" w:hAnsi="华文楷体" w:eastAsia="华文楷体" w:cs="华文楷体"/>
          <w:lang w:val="en-US" w:eastAsia="zh-CN"/>
        </w:rPr>
      </w:pPr>
    </w:p>
    <w:p w14:paraId="495C6981">
      <w:pPr>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“Sourcing albedo data for bifacial PV systems in complex landscapes”</w:t>
      </w:r>
      <w:r>
        <w:rPr>
          <w:rFonts w:hint="eastAsia" w:ascii="华文楷体" w:hAnsi="华文楷体" w:eastAsia="华文楷体" w:cs="华文楷体"/>
          <w:lang w:val="en-US" w:eastAsia="zh-CN"/>
        </w:rPr>
        <w:t>中提到:</w:t>
      </w:r>
    </w:p>
    <w:p w14:paraId="30258EF9">
      <w:pPr>
        <w:ind w:firstLine="420" w:firstLineChars="0"/>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On clear days, the daily horizontal diffuse to global fraction (Kd) was less than 0.40, while on cloudy days Kd was greater than 0.95. Albedo increases with decreases in sun height on clear days, but only down to solar elevation angles of about 10°, at which point the albedo decreases. This phenomenon occurs because the fraction of horizontal diffuse to horizontal beam irradiance rapidly increases as the solar elevation angle decreases from 10° toward the horizon. Therefore, we only show measurements when the sun is higher than 10° above the horizon.</w:t>
      </w:r>
    </w:p>
    <w:p w14:paraId="1E2D980D">
      <w:pPr>
        <w:ind w:firstLine="420" w:firstLineChars="0"/>
        <w:rPr>
          <w:rFonts w:hint="default" w:ascii="华文楷体" w:hAnsi="华文楷体" w:eastAsia="华文楷体" w:cs="华文楷体"/>
          <w:lang w:val="en-US" w:eastAsia="zh-CN"/>
        </w:rPr>
      </w:pPr>
    </w:p>
    <w:p w14:paraId="7D72391F">
      <w:pPr>
        <w:ind w:firstLine="420" w:firstLineChars="0"/>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即</w:t>
      </w:r>
      <w:r>
        <w:rPr>
          <w:rFonts w:hint="default" w:ascii="华文楷体" w:hAnsi="华文楷体" w:eastAsia="华文楷体" w:cs="华文楷体"/>
          <w:lang w:val="en-US" w:eastAsia="zh-CN"/>
        </w:rPr>
        <w:t>当太阳从 10° 降向地平线时，太阳光在大气中穿行的路径极长。这导致水平面散射辐照度与水平面直射辐照度的比例（DHI/GHI）迅速增加。</w:t>
      </w:r>
    </w:p>
    <w:p w14:paraId="6DF532CF">
      <w:pPr>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BRDF 模型是基于经验核函数的数学拟合。当太阳处于极低角度时，这些核函数会进入数学上的不稳定区，导致计算出的 αbs数值可能出现物理上不可能的极值（如大于 1.0 或剧烈震荡</w:t>
      </w:r>
    </w:p>
    <w:p w14:paraId="025510C9">
      <w:pPr>
        <w:rPr>
          <w:rFonts w:hint="default" w:ascii="华文楷体" w:hAnsi="华文楷体" w:eastAsia="华文楷体" w:cs="华文楷体"/>
          <w:lang w:val="en-US" w:eastAsia="zh-CN"/>
        </w:rPr>
      </w:pPr>
    </w:p>
    <w:p w14:paraId="0FE79562">
      <w:pPr>
        <w:rPr>
          <w:rFonts w:hint="default" w:ascii="华文楷体" w:hAnsi="华文楷体" w:eastAsia="华文楷体" w:cs="华文楷体"/>
          <w:lang w:val="en-US" w:eastAsia="zh-CN"/>
        </w:rPr>
      </w:pPr>
    </w:p>
    <w:p w14:paraId="3DC814CD">
      <w:pPr>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将上述4个方面考虑之后, 得到优化过后的计算某一时刻南极某地单面光伏接收的总辐照功率的系统公式:</w:t>
      </w:r>
    </w:p>
    <w:p w14:paraId="78F632CA">
      <w:pPr>
        <w:jc w:val="both"/>
        <w:rPr>
          <w:rFonts w:hint="default" w:ascii="华文楷体" w:hAnsi="华文楷体" w:eastAsia="华文楷体" w:cs="华文楷体"/>
          <w:position w:val="-14"/>
          <w:lang w:val="en-US" w:eastAsia="zh-CN"/>
        </w:rPr>
      </w:pPr>
      <w:r>
        <w:rPr>
          <w:rFonts w:hint="eastAsia" w:ascii="华文楷体" w:hAnsi="华文楷体" w:eastAsia="华文楷体" w:cs="华文楷体"/>
          <w:position w:val="-14"/>
          <w:lang w:val="en-US" w:eastAsia="zh-CN"/>
        </w:rPr>
        <w:t xml:space="preserve">                                  </w:t>
      </w:r>
      <w:r>
        <w:rPr>
          <w:rFonts w:hint="default" w:ascii="华文楷体" w:hAnsi="华文楷体" w:eastAsia="华文楷体" w:cs="华文楷体"/>
          <w:position w:val="-14"/>
          <w:lang w:val="en-US" w:eastAsia="zh-CN"/>
        </w:rPr>
        <w:object>
          <v:shape id="_x0000_i1033" o:spt="75" type="#_x0000_t75" style="height:20pt;width:39pt;" o:ole="t" filled="f" o:preferrelative="t" stroked="f" coordsize="21600,21600">
            <v:path/>
            <v:fill on="f" focussize="0,0"/>
            <v:stroke on="f"/>
            <v:imagedata r:id="rId30" o:title=""/>
            <o:lock v:ext="edit" aspectratio="f"/>
            <w10:wrap type="none"/>
            <w10:anchorlock/>
          </v:shape>
          <o:OLEObject Type="Embed" ProgID="Equation.DSMT4" ShapeID="_x0000_i1033" DrawAspect="Content" ObjectID="_1468075733" r:id="rId29">
            <o:LockedField>false</o:LockedField>
          </o:OLEObject>
        </w:object>
      </w:r>
    </w:p>
    <w:p w14:paraId="33C7721A">
      <w:pPr>
        <w:jc w:val="center"/>
        <w:rPr>
          <w:rFonts w:hint="default" w:ascii="华文楷体" w:hAnsi="华文楷体" w:eastAsia="华文楷体" w:cs="华文楷体"/>
          <w:position w:val="-14"/>
          <w:lang w:val="en-US" w:eastAsia="zh-CN"/>
        </w:rPr>
      </w:pPr>
      <w:r>
        <w:rPr>
          <w:rFonts w:hint="default" w:ascii="华文楷体" w:hAnsi="华文楷体" w:eastAsia="华文楷体" w:cs="华文楷体"/>
          <w:position w:val="-14"/>
          <w:lang w:val="en-US" w:eastAsia="zh-CN"/>
        </w:rPr>
        <w:object>
          <v:shape id="_x0000_i1034" o:spt="75" type="#_x0000_t75" style="height:20pt;width:177pt;" o:ole="t" filled="f" o:preferrelative="t" stroked="f" coordsize="21600,21600">
            <v:path/>
            <v:fill on="f" focussize="0,0"/>
            <v:stroke on="f"/>
            <v:imagedata r:id="rId32" o:title=""/>
            <o:lock v:ext="edit" aspectratio="f"/>
            <w10:wrap type="none"/>
            <w10:anchorlock/>
          </v:shape>
          <o:OLEObject Type="Embed" ProgID="Equation.DSMT4" ShapeID="_x0000_i1034" DrawAspect="Content" ObjectID="_1468075734" r:id="rId31">
            <o:LockedField>false</o:LockedField>
          </o:OLEObject>
        </w:object>
      </w:r>
    </w:p>
    <w:p w14:paraId="7AC650B3">
      <w:pPr>
        <w:jc w:val="center"/>
        <w:rPr>
          <w:rFonts w:hint="default" w:ascii="华文楷体" w:hAnsi="华文楷体" w:eastAsia="华文楷体" w:cs="华文楷体"/>
          <w:position w:val="-14"/>
          <w:lang w:val="en-US" w:eastAsia="zh-CN"/>
        </w:rPr>
      </w:pPr>
      <w:r>
        <w:rPr>
          <w:rFonts w:hint="default" w:ascii="华文楷体" w:hAnsi="华文楷体" w:eastAsia="华文楷体" w:cs="华文楷体"/>
          <w:position w:val="-14"/>
          <w:lang w:val="en-US" w:eastAsia="zh-CN"/>
        </w:rPr>
        <w:object>
          <v:shape id="_x0000_i1035" o:spt="75" type="#_x0000_t75" style="height:20pt;width:189pt;" o:ole="t" filled="f" o:preferrelative="t" stroked="f" coordsize="21600,21600">
            <v:path/>
            <v:fill on="f" focussize="0,0"/>
            <v:stroke on="f"/>
            <v:imagedata r:id="rId34" o:title=""/>
            <o:lock v:ext="edit" aspectratio="f"/>
            <w10:wrap type="none"/>
            <w10:anchorlock/>
          </v:shape>
          <o:OLEObject Type="Embed" ProgID="Equation.DSMT4" ShapeID="_x0000_i1035" DrawAspect="Content" ObjectID="_1468075735" r:id="rId33">
            <o:LockedField>false</o:LockedField>
          </o:OLEObject>
        </w:object>
      </w:r>
    </w:p>
    <w:p w14:paraId="044413B7">
      <w:pPr>
        <w:jc w:val="center"/>
        <w:rPr>
          <w:rFonts w:hint="eastAsia" w:ascii="华文楷体" w:hAnsi="华文楷体" w:eastAsia="华文楷体" w:cs="华文楷体"/>
          <w:position w:val="-14"/>
          <w:lang w:val="en-US" w:eastAsia="zh-CN"/>
        </w:rPr>
      </w:pPr>
      <w:r>
        <w:rPr>
          <w:rFonts w:hint="eastAsia" w:ascii="华文楷体" w:hAnsi="华文楷体" w:eastAsia="华文楷体" w:cs="华文楷体"/>
          <w:position w:val="-14"/>
          <w:lang w:val="en-US" w:eastAsia="zh-CN"/>
        </w:rPr>
        <w:object>
          <v:shape id="_x0000_i1036" o:spt="75" type="#_x0000_t75" style="height:20pt;width:224pt;" o:ole="t" filled="f" o:preferrelative="t" stroked="f" coordsize="21600,21600">
            <v:path/>
            <v:fill on="f" focussize="0,0"/>
            <v:stroke on="f"/>
            <v:imagedata r:id="rId36" o:title=""/>
            <o:lock v:ext="edit" aspectratio="f"/>
            <w10:wrap type="none"/>
            <w10:anchorlock/>
          </v:shape>
          <o:OLEObject Type="Embed" ProgID="Equation.DSMT4" ShapeID="_x0000_i1036" DrawAspect="Content" ObjectID="_1468075736" r:id="rId35">
            <o:LockedField>false</o:LockedField>
          </o:OLEObject>
        </w:object>
      </w:r>
    </w:p>
    <w:p w14:paraId="283BE3F5">
      <w:pPr>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 xml:space="preserve">其中: </w:t>
      </w:r>
      <w:r>
        <w:rPr>
          <w:rFonts w:hint="default" w:ascii="华文楷体" w:hAnsi="华文楷体" w:eastAsia="华文楷体" w:cs="华文楷体"/>
          <w:position w:val="-14"/>
          <w:lang w:val="en-US" w:eastAsia="zh-CN"/>
        </w:rPr>
        <w:object>
          <v:shape id="_x0000_i1037" o:spt="75" type="#_x0000_t75" style="height:20pt;width:384.95pt;" o:ole="t" filled="f" o:preferrelative="t" stroked="f" coordsize="21600,21600">
            <v:path/>
            <v:fill on="f" focussize="0,0"/>
            <v:stroke on="f"/>
            <v:imagedata r:id="rId38" o:title=""/>
            <o:lock v:ext="edit" aspectratio="f"/>
            <w10:wrap type="none"/>
            <w10:anchorlock/>
          </v:shape>
          <o:OLEObject Type="Embed" ProgID="Equation.DSMT4" ShapeID="_x0000_i1037" DrawAspect="Content" ObjectID="_1468075737" r:id="rId37">
            <o:LockedField>false</o:LockedField>
          </o:OLEObject>
        </w:object>
      </w:r>
    </w:p>
    <w:p w14:paraId="1852FC86">
      <w:pPr>
        <w:spacing w:before="91" w:line="220" w:lineRule="auto"/>
        <w:jc w:val="both"/>
        <w:rPr>
          <w:rFonts w:hint="default" w:ascii="宋体" w:hAnsi="宋体" w:eastAsia="宋体" w:cs="宋体"/>
          <w:b/>
          <w:bCs/>
          <w:spacing w:val="-6"/>
          <w:sz w:val="28"/>
          <w:szCs w:val="28"/>
          <w:lang w:val="en-US" w:eastAsia="zh-CN"/>
        </w:rPr>
      </w:pPr>
    </w:p>
    <w:p w14:paraId="69D9452B">
      <w:pPr>
        <w:spacing w:before="91" w:line="220" w:lineRule="auto"/>
        <w:jc w:val="both"/>
        <w:rPr>
          <w:rFonts w:hint="default" w:ascii="宋体" w:hAnsi="宋体" w:eastAsia="宋体" w:cs="宋体"/>
          <w:b/>
          <w:bCs/>
          <w:spacing w:val="-6"/>
          <w:sz w:val="28"/>
          <w:szCs w:val="28"/>
          <w:lang w:val="en-US" w:eastAsia="zh-CN"/>
        </w:rPr>
      </w:pPr>
    </w:p>
    <w:p w14:paraId="5B7C6795">
      <w:pPr>
        <w:spacing w:before="91" w:line="220" w:lineRule="auto"/>
        <w:jc w:val="both"/>
        <w:rPr>
          <w:rFonts w:hint="default" w:ascii="宋体" w:hAnsi="宋体" w:eastAsia="宋体" w:cs="宋体"/>
          <w:b/>
          <w:bCs/>
          <w:spacing w:val="-6"/>
          <w:sz w:val="28"/>
          <w:szCs w:val="28"/>
          <w:lang w:val="en-US" w:eastAsia="zh-CN"/>
        </w:rPr>
      </w:pPr>
    </w:p>
    <w:p w14:paraId="6103B9F8">
      <w:pPr>
        <w:spacing w:before="91" w:line="220" w:lineRule="auto"/>
        <w:jc w:val="both"/>
        <w:rPr>
          <w:rFonts w:hint="default" w:ascii="宋体" w:hAnsi="宋体" w:eastAsia="宋体" w:cs="宋体"/>
          <w:b/>
          <w:bCs/>
          <w:spacing w:val="-6"/>
          <w:sz w:val="28"/>
          <w:szCs w:val="28"/>
          <w:lang w:val="en-US" w:eastAsia="zh-CN"/>
        </w:rPr>
      </w:pPr>
    </w:p>
    <w:p w14:paraId="3E59C8D5">
      <w:pPr>
        <w:spacing w:before="91" w:line="220" w:lineRule="auto"/>
        <w:jc w:val="both"/>
        <w:rPr>
          <w:rFonts w:hint="default" w:ascii="宋体" w:hAnsi="宋体" w:eastAsia="宋体" w:cs="宋体"/>
          <w:b/>
          <w:bCs/>
          <w:spacing w:val="-6"/>
          <w:sz w:val="28"/>
          <w:szCs w:val="28"/>
          <w:lang w:val="en-US" w:eastAsia="zh-CN"/>
        </w:rPr>
      </w:pPr>
    </w:p>
    <w:p w14:paraId="5479D885">
      <w:pPr>
        <w:spacing w:before="91" w:line="220" w:lineRule="auto"/>
        <w:jc w:val="both"/>
        <w:rPr>
          <w:rFonts w:hint="default" w:ascii="宋体" w:hAnsi="宋体" w:eastAsia="宋体" w:cs="宋体"/>
          <w:b/>
          <w:bCs/>
          <w:spacing w:val="-6"/>
          <w:sz w:val="28"/>
          <w:szCs w:val="28"/>
          <w:lang w:val="en-US" w:eastAsia="zh-CN"/>
        </w:rPr>
      </w:pPr>
    </w:p>
    <w:p w14:paraId="3AFB9097">
      <w:pPr>
        <w:spacing w:before="91" w:line="220" w:lineRule="auto"/>
        <w:jc w:val="both"/>
        <w:rPr>
          <w:rFonts w:hint="default" w:ascii="宋体" w:hAnsi="宋体" w:eastAsia="宋体" w:cs="宋体"/>
          <w:b/>
          <w:bCs/>
          <w:spacing w:val="-6"/>
          <w:sz w:val="28"/>
          <w:szCs w:val="28"/>
          <w:lang w:val="en-US" w:eastAsia="zh-CN"/>
        </w:rPr>
      </w:pPr>
    </w:p>
    <w:p w14:paraId="15A89262">
      <w:pPr>
        <w:spacing w:before="91" w:line="220" w:lineRule="auto"/>
        <w:jc w:val="both"/>
        <w:rPr>
          <w:rFonts w:hint="default" w:ascii="宋体" w:hAnsi="宋体" w:eastAsia="宋体" w:cs="宋体"/>
          <w:b/>
          <w:bCs/>
          <w:spacing w:val="-6"/>
          <w:sz w:val="28"/>
          <w:szCs w:val="28"/>
          <w:lang w:val="en-US" w:eastAsia="zh-CN"/>
        </w:rPr>
      </w:pPr>
    </w:p>
    <w:p w14:paraId="4BB78D4F">
      <w:pPr>
        <w:spacing w:before="91" w:line="220" w:lineRule="auto"/>
        <w:jc w:val="both"/>
        <w:rPr>
          <w:rFonts w:hint="default" w:ascii="宋体" w:hAnsi="宋体" w:eastAsia="宋体" w:cs="宋体"/>
          <w:b/>
          <w:bCs/>
          <w:spacing w:val="-6"/>
          <w:sz w:val="28"/>
          <w:szCs w:val="28"/>
          <w:lang w:val="en-US" w:eastAsia="zh-CN"/>
        </w:rPr>
      </w:pPr>
    </w:p>
    <w:p w14:paraId="2EA86DC6">
      <w:pPr>
        <w:spacing w:before="91" w:line="220" w:lineRule="auto"/>
        <w:jc w:val="both"/>
        <w:rPr>
          <w:rFonts w:hint="default" w:ascii="宋体" w:hAnsi="宋体" w:eastAsia="宋体" w:cs="宋体"/>
          <w:b/>
          <w:bCs/>
          <w:spacing w:val="-6"/>
          <w:sz w:val="28"/>
          <w:szCs w:val="28"/>
          <w:lang w:val="en-US" w:eastAsia="zh-CN"/>
        </w:rPr>
      </w:pPr>
    </w:p>
    <w:p w14:paraId="61530942">
      <w:pPr>
        <w:spacing w:before="91" w:line="220" w:lineRule="auto"/>
        <w:jc w:val="both"/>
        <w:rPr>
          <w:rFonts w:hint="default" w:ascii="宋体" w:hAnsi="宋体" w:eastAsia="宋体" w:cs="宋体"/>
          <w:b/>
          <w:bCs/>
          <w:spacing w:val="-6"/>
          <w:sz w:val="28"/>
          <w:szCs w:val="28"/>
          <w:lang w:val="en-US" w:eastAsia="zh-CN"/>
        </w:rPr>
      </w:pPr>
    </w:p>
    <w:p w14:paraId="356FC572">
      <w:pPr>
        <w:spacing w:before="91" w:line="220" w:lineRule="auto"/>
        <w:jc w:val="both"/>
        <w:rPr>
          <w:rFonts w:hint="default" w:ascii="宋体" w:hAnsi="宋体" w:eastAsia="宋体" w:cs="宋体"/>
          <w:b/>
          <w:bCs/>
          <w:spacing w:val="-6"/>
          <w:sz w:val="28"/>
          <w:szCs w:val="28"/>
          <w:lang w:val="en-US" w:eastAsia="zh-CN"/>
        </w:rPr>
      </w:pPr>
    </w:p>
    <w:p w14:paraId="56F1847B">
      <w:pPr>
        <w:spacing w:before="91" w:line="220" w:lineRule="auto"/>
        <w:jc w:val="both"/>
        <w:rPr>
          <w:rFonts w:hint="default" w:ascii="宋体" w:hAnsi="宋体" w:eastAsia="宋体" w:cs="宋体"/>
          <w:b/>
          <w:bCs/>
          <w:spacing w:val="-6"/>
          <w:sz w:val="28"/>
          <w:szCs w:val="28"/>
          <w:lang w:val="en-US" w:eastAsia="zh-CN"/>
        </w:rPr>
      </w:pPr>
    </w:p>
    <w:p w14:paraId="3EC839FC">
      <w:pPr>
        <w:spacing w:before="91" w:line="220" w:lineRule="auto"/>
        <w:jc w:val="both"/>
        <w:rPr>
          <w:rFonts w:hint="default" w:ascii="宋体" w:hAnsi="宋体" w:eastAsia="宋体" w:cs="宋体"/>
          <w:b/>
          <w:bCs/>
          <w:spacing w:val="-6"/>
          <w:sz w:val="28"/>
          <w:szCs w:val="28"/>
          <w:lang w:val="en-US" w:eastAsia="zh-CN"/>
        </w:rPr>
      </w:pPr>
    </w:p>
    <w:p w14:paraId="4A28285B">
      <w:pPr>
        <w:keepNext w:val="0"/>
        <w:keepLines w:val="0"/>
        <w:widowControl/>
        <w:numPr>
          <w:ilvl w:val="0"/>
          <w:numId w:val="0"/>
        </w:numPr>
        <w:suppressLineNumbers w:val="0"/>
        <w:spacing w:line="360" w:lineRule="auto"/>
        <w:jc w:val="left"/>
        <w:rPr>
          <w:rFonts w:hint="default"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2.</w:t>
      </w:r>
      <w:r>
        <w:rPr>
          <w:rFonts w:hint="eastAsia" w:ascii="宋体" w:hAnsi="宋体" w:eastAsia="宋体" w:cs="宋体"/>
          <w:b/>
          <w:bCs/>
          <w:snapToGrid w:val="0"/>
          <w:color w:val="000000"/>
          <w:kern w:val="0"/>
          <w:sz w:val="24"/>
          <w:szCs w:val="24"/>
          <w:lang w:val="en-US" w:eastAsia="zh-CN" w:bidi="ar"/>
        </w:rPr>
        <w:t>Matlab与Python仿真(待优化, 部分可以移到成果部分)</w:t>
      </w:r>
    </w:p>
    <w:p w14:paraId="3B464E6A">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应用matlab进行建模，目前的代码实现了一个集成雪影响的光伏阴影仿真系统。它通过调用Python计算建筑物等障碍物的几何阴影比例，同时基于两篇论文的公式，动态计算雪深、密度、液态水含量、倾角等参数对光伏性能的影响，包括雪的透光率、粘附系数和有效覆盖率。代码将几何阴影与雪影耦合，修正各子模块的等效辐照度，进而求解单二极管模型得到I-V/P-V曲线，最终输出短路电流、开路电压、最大功率、填充因子、局部最大功率点等性能参数，并可视化显示结果</w:t>
      </w:r>
      <w:r>
        <w:rPr>
          <w:rFonts w:hint="default" w:ascii="华文楷体" w:hAnsi="华文楷体" w:eastAsia="华文楷体" w:cs="华文楷体"/>
          <w:lang w:val="en-US" w:eastAsia="zh-CN"/>
        </w:rPr>
        <w:drawing>
          <wp:inline distT="0" distB="0" distL="114300" distR="114300">
            <wp:extent cx="5269865" cy="2110740"/>
            <wp:effectExtent l="0" t="0" r="635" b="10160"/>
            <wp:docPr id="11" name="图片 11" descr="59dd9de5502ba4362e6ce4c3a0276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9dd9de5502ba4362e6ce4c3a0276bd3"/>
                    <pic:cNvPicPr>
                      <a:picLocks noChangeAspect="1"/>
                    </pic:cNvPicPr>
                  </pic:nvPicPr>
                  <pic:blipFill>
                    <a:blip r:embed="rId39"/>
                    <a:stretch>
                      <a:fillRect/>
                    </a:stretch>
                  </pic:blipFill>
                  <pic:spPr>
                    <a:xfrm>
                      <a:off x="0" y="0"/>
                      <a:ext cx="5269865" cy="2110740"/>
                    </a:xfrm>
                    <a:prstGeom prst="rect">
                      <a:avLst/>
                    </a:prstGeom>
                  </pic:spPr>
                </pic:pic>
              </a:graphicData>
            </a:graphic>
          </wp:inline>
        </w:drawing>
      </w:r>
      <w:r>
        <w:rPr>
          <w:rFonts w:hint="default" w:ascii="华文楷体" w:hAnsi="华文楷体" w:eastAsia="华文楷体" w:cs="华文楷体"/>
          <w:lang w:val="en-US" w:eastAsia="zh-CN"/>
        </w:rPr>
        <w:t>接下来进一步的工作是绘制类似这种的结构图</w:t>
      </w:r>
      <w:r>
        <w:rPr>
          <w:rFonts w:hint="default" w:ascii="华文楷体" w:hAnsi="华文楷体" w:eastAsia="华文楷体" w:cs="华文楷体"/>
          <w:lang w:val="en-US" w:eastAsia="zh-CN"/>
        </w:rPr>
        <w:drawing>
          <wp:inline distT="0" distB="0" distL="114300" distR="114300">
            <wp:extent cx="5048250" cy="4724400"/>
            <wp:effectExtent l="0" t="0" r="6350" b="0"/>
            <wp:docPr id="12" name="图片 12" descr="fb195f932c5bfb29499f8c6651468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b195f932c5bfb29499f8c6651468ff7"/>
                    <pic:cNvPicPr>
                      <a:picLocks noChangeAspect="1"/>
                    </pic:cNvPicPr>
                  </pic:nvPicPr>
                  <pic:blipFill>
                    <a:blip r:embed="rId40"/>
                    <a:stretch>
                      <a:fillRect/>
                    </a:stretch>
                  </pic:blipFill>
                  <pic:spPr>
                    <a:xfrm>
                      <a:off x="0" y="0"/>
                      <a:ext cx="5048250" cy="4724400"/>
                    </a:xfrm>
                    <a:prstGeom prst="rect">
                      <a:avLst/>
                    </a:prstGeom>
                  </pic:spPr>
                </pic:pic>
              </a:graphicData>
            </a:graphic>
          </wp:inline>
        </w:drawing>
      </w:r>
    </w:p>
    <w:p w14:paraId="7E174A7E">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目前整理的算法流程：</w:t>
      </w:r>
    </w:p>
    <w:p w14:paraId="6CE8780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输入参数                                                                  </w:t>
      </w:r>
    </w:p>
    <w:p w14:paraId="56BA896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光伏参数   雪参数  气候参数  安装参数  Python几何阴影</w:t>
      </w:r>
    </w:p>
    <w:p w14:paraId="5D3FE8C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47E7E74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雪物理特性计算</w:t>
      </w:r>
    </w:p>
    <w:p w14:paraId="1A45106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（Snow impact on PV performance: Assessing the zero-output challenge in cold areas）                                </w:t>
      </w:r>
    </w:p>
    <w:p w14:paraId="3447BA0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透光率τ = f(雪深d, 密度ρ)    粘附系数μ = f(LWC)    滑落概率P_slide = f(β,T)</w:t>
      </w:r>
    </w:p>
    <w:p w14:paraId="3067B46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377E67B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雪覆盖与清除计算</w:t>
      </w:r>
    </w:p>
    <w:p w14:paraId="25182952">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（Remote sensing compatible snow loss modelling for PV power simulations）                              </w:t>
      </w:r>
    </w:p>
    <w:p w14:paraId="43478CD4">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基础覆盖率C_base = f(d)    清除率Cr = f(β)    有效覆盖率C_eff = C_base×(1-Cr)×μ</w:t>
      </w:r>
    </w:p>
    <w:p w14:paraId="56DADC7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4E0205C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阴影耦合计算                                          </w:t>
      </w:r>
    </w:p>
    <w:p w14:paraId="40FC2BE2">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total_shading = 1 - (1 - S_geo) × (1 - C_eff)    分配至子模块 S1,S2,S3</w:t>
      </w:r>
    </w:p>
    <w:p w14:paraId="4325765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71FA795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等效辐照度计算                                        </w:t>
      </w:r>
    </w:p>
    <w:p w14:paraId="0F864A5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G_eq = (1-S) + S×τ  (部分覆盖)    G_eq = 0.1 + 0.1×τ  (完全覆盖)</w:t>
      </w:r>
    </w:p>
    <w:p w14:paraId="5D5B37E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2954519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子模块电气参数计算                                   </w:t>
      </w:r>
    </w:p>
    <w:p w14:paraId="0F63CCA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Iph = Iph_ref × G_eq / N_sub    I0 = I0_ref / N_sub    Rs_sub = Rs_total / N_sub</w:t>
      </w:r>
    </w:p>
    <w:p w14:paraId="42ED2FA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7DB23E7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子模块I-V曲线求解（单二极管模型）                      </w:t>
      </w:r>
    </w:p>
    <w:p w14:paraId="65DA5F8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方程: I - Iph + I0[exp((V_cell+I×Rs)/Vt)-1] + (V_cell+I×Rs)/Rp = 0           </w:t>
      </w:r>
    </w:p>
    <w:p w14:paraId="289F973E">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方法: fzero数值求解，300个电压点</w:t>
      </w:r>
    </w:p>
    <w:p w14:paraId="68BE1DA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00EFC7A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模块I-V曲线求解（旁路二极管）                         </w:t>
      </w:r>
    </w:p>
    <w:p w14:paraId="22400D5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方法: 二分法搜索电流，根据电流判断各子模块是正常工作还是被旁路</w:t>
      </w:r>
    </w:p>
    <w:p w14:paraId="2AC8F1B4">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14A7B47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性能参数计算与可视化                                    </w:t>
      </w:r>
    </w:p>
    <w:p w14:paraId="1C3F76B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Isc, Voc, Pmax, FF, LMPPs    I-V曲线图  P-V曲线图  参数信息面板</w:t>
      </w:r>
    </w:p>
    <w:p w14:paraId="43154238">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【步骤1】输入参数设置</w:t>
      </w:r>
    </w:p>
    <w:p w14:paraId="2A57957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参数名</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符号</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默认值</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单位</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物理意义</w:t>
      </w:r>
    </w:p>
    <w:p w14:paraId="6F7375A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总电池数</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Ns</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60</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串联电池数量</w:t>
      </w:r>
    </w:p>
    <w:p w14:paraId="79C53D3A">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子模块数</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N_sub</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3</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每组旁路二极管保护的电池数</w:t>
      </w:r>
    </w:p>
    <w:p w14:paraId="22DB7E3C">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每子模块电池数</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cells_per_sub</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20</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Ns/N_sub</w:t>
      </w:r>
    </w:p>
    <w:p w14:paraId="444B154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串联电阻</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Rs_total</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0.28</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Ω</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模块总串联电阻</w:t>
      </w:r>
    </w:p>
    <w:p w14:paraId="5F9322D4">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并联电阻</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Rp_total</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1000       Ω</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模块总并联电阻</w:t>
      </w:r>
    </w:p>
    <w:p w14:paraId="74C1D9E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参考光生电流</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Iph_ref</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9.29</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A</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STC下光生电流</w:t>
      </w:r>
    </w:p>
    <w:p w14:paraId="40B3454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参考饱和电流</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I0_ref</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2.0e-9</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A</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STC下反向饱和电流</w:t>
      </w:r>
    </w:p>
    <w:p w14:paraId="7FE387F8">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雪深</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d</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0.02</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m</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积雪厚度</w:t>
      </w:r>
    </w:p>
    <w:p w14:paraId="51254A38">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雪密度</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ρ</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200</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kg/m³</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单位体积雪的质量</w:t>
      </w:r>
    </w:p>
    <w:p w14:paraId="1CBD8C8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液态水含量</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LWC</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0.15</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雪中液态水比例(0-0.3)</w:t>
      </w:r>
    </w:p>
    <w:p w14:paraId="6C50269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反照率</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albedo</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0.8</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雪面反射率</w:t>
      </w:r>
    </w:p>
    <w:p w14:paraId="3CE31B5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环境温度</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T_amb</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-5</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°C</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空气温度</w:t>
      </w:r>
    </w:p>
    <w:p w14:paraId="74C6ED8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风速</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v_wind</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2.0</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m/s</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风速</w:t>
      </w:r>
    </w:p>
    <w:p w14:paraId="310A9C2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辐照度</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G</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800</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W/m²</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平面总辐照度</w:t>
      </w:r>
    </w:p>
    <w:p w14:paraId="15D2253E">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倾角</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β</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30</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组件与水平面夹角</w:t>
      </w:r>
    </w:p>
    <w:p w14:paraId="1A147764">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【步骤2】Python几何阴影计算</w:t>
      </w:r>
    </w:p>
    <w:p w14:paraId="38908BE8">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输入数据：</w:t>
      </w:r>
    </w:p>
    <w:p w14:paraId="5CE4FC7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障碍物坐标：建筑物(5m×5m×3m)</w:t>
      </w:r>
    </w:p>
    <w:p w14:paraId="1DC6618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光照方向：light_dir = [-0.7, -0.5, -0.5] (指向太阳)</w:t>
      </w:r>
    </w:p>
    <w:p w14:paraId="6494431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光伏阵列：10m×10m平面</w:t>
      </w:r>
    </w:p>
    <w:p w14:paraId="23BC691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【步骤3】雪物理特性计算</w:t>
      </w:r>
    </w:p>
    <w:p w14:paraId="3E1E7C7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3.1 雪层透光率计算</w:t>
      </w:r>
    </w:p>
    <w:p w14:paraId="7742553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理论依据：论文1：Snow impact on PV performance: Assessing the zero-output challenge in cold areas图7，Andenæs等人测量的雪深与透光率关系</w:t>
      </w:r>
    </w:p>
    <w:p w14:paraId="24642E28">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if d &lt; 0.01 m (1 cm):</w:t>
      </w:r>
    </w:p>
    <w:p w14:paraId="21A4B07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τ = 0.9 - 30 × d          # 浅雪区线性衰减</w:t>
      </w:r>
    </w:p>
    <w:p w14:paraId="741EFCD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else:</w:t>
      </w:r>
    </w:p>
    <w:p w14:paraId="691DEFB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α = 250 × (1 + 0.5 × ρ/200)  # 消光系数，与密度相关</w:t>
      </w:r>
    </w:p>
    <w:p w14:paraId="7889E5AE">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τ = exp(-α × d)           # 深雪区指数衰减（布格-朗伯定律）</w:t>
      </w:r>
    </w:p>
    <w:p w14:paraId="3A92B50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73ECA30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τ = max(0.01, min(0.95, τ))  # 限制范围</w:t>
      </w:r>
    </w:p>
    <w:p w14:paraId="43ECB1DC">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3.2 雪的粘附特性计算</w:t>
      </w:r>
    </w:p>
    <w:p w14:paraId="45D9408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理论依据：论文1第4.4.1节，LWC对雪粘附的影响</w:t>
      </w:r>
    </w:p>
    <w:p w14:paraId="6A9D74E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if LWC &lt; 0.1:           # 干雪</w:t>
      </w:r>
    </w:p>
    <w:p w14:paraId="736FEB2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μ = 0.2 + 2 × LWC</w:t>
      </w:r>
    </w:p>
    <w:p w14:paraId="7FAAD24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雪类型 = "干雪"</w:t>
      </w:r>
    </w:p>
    <w:p w14:paraId="00C1CBA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elseif LWC &lt; 0.2:       # 湿雪</w:t>
      </w:r>
    </w:p>
    <w:p w14:paraId="55DE8E9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μ = 0.5 + 3 × (LWC - 0.1)</w:t>
      </w:r>
    </w:p>
    <w:p w14:paraId="1E4AD5DA">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雪类型 = "湿雪"</w:t>
      </w:r>
    </w:p>
    <w:p w14:paraId="507A579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else:                   # 融雪</w:t>
      </w:r>
    </w:p>
    <w:p w14:paraId="3C70ACA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μ = 0.8 - 2 × (LWC - 0.2)</w:t>
      </w:r>
    </w:p>
    <w:p w14:paraId="2C78887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雪类型 = "融雪"</w:t>
      </w:r>
    </w:p>
    <w:p w14:paraId="1BADE24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3.3 雪的滑落概率计算</w:t>
      </w:r>
    </w:p>
    <w:p w14:paraId="067751F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理论依据：论文1第4.2.2、4.2.3节，温度和风速对融雪的影响</w:t>
      </w:r>
    </w:p>
    <w:p w14:paraId="51E0231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slide_base = 0.1 × sin(β)                    # 倾角基础效应</w:t>
      </w:r>
    </w:p>
    <w:p w14:paraId="5A62D1F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temp_factor = max(0, T_ambient / 5)          # 温度因子（正温促进）</w:t>
      </w:r>
    </w:p>
    <w:p w14:paraId="506E47E2">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wind_factor = min(0.3, wind_speed × 0.05)    # 风速因子</w:t>
      </w:r>
    </w:p>
    <w:p w14:paraId="38036C9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P_slide = min(0.95, slide_base + temp_factor + wind_factor)</w:t>
      </w:r>
    </w:p>
    <w:p w14:paraId="1D5C6C7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【步骤4】雪覆盖与清除计算（基于论文2）</w:t>
      </w:r>
    </w:p>
    <w:p w14:paraId="61B1BD6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4.1 基础覆盖率</w:t>
      </w:r>
    </w:p>
    <w:p w14:paraId="1DAEE67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C_base = min(1, 20 × d)    # d为雪深，单位米</w:t>
      </w:r>
    </w:p>
    <w:p w14:paraId="305B0264">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4.2 清除率计算</w:t>
      </w:r>
    </w:p>
    <w:p w14:paraId="73DF226E">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理论依据：论文2公式(3) D = sc - sin(β)</w:t>
      </w:r>
    </w:p>
    <w:p w14:paraId="277B2B9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sc = 0.197                    # 屋顶安装系统清除系数（论文2优化值）</w:t>
      </w:r>
    </w:p>
    <w:p w14:paraId="155535F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Cr = sc × sin(β)              # 基于倾角的自然清除率</w:t>
      </w:r>
    </w:p>
    <w:p w14:paraId="2D32526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4.3 有效覆盖率</w:t>
      </w:r>
    </w:p>
    <w:p w14:paraId="5FCC3FFE">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C_eff = C_base × (1 - Cr) × μ</w:t>
      </w:r>
    </w:p>
    <w:p w14:paraId="28A2C98C">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C_eff = min(1, max(0, C_eff))</w:t>
      </w:r>
    </w:p>
    <w:p w14:paraId="54DCA1F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【步骤5】阴影耦合计算</w:t>
      </w:r>
    </w:p>
    <w:p w14:paraId="6F91C6DA">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理论依据：几何阴影和雪影是两种独立的遮挡机制</w:t>
      </w:r>
    </w:p>
    <w:p w14:paraId="6D5D91B2">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S_total = 1 - (1 - S_geo) × (1 - C_eff)</w:t>
      </w:r>
    </w:p>
    <w:p w14:paraId="627A39D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5.1 阴影分配至子模块</w:t>
      </w:r>
    </w:p>
    <w:p w14:paraId="078F71A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理论依据：论文1第4.1.1节，雪分布不均匀（边缘效应、重力堆积）</w:t>
      </w:r>
    </w:p>
    <w:p w14:paraId="23A86B3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if total_shading &lt; 0.2:</w:t>
      </w:r>
    </w:p>
    <w:p w14:paraId="794144A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S1 = total_shading × 0.8</w:t>
      </w:r>
    </w:p>
    <w:p w14:paraId="0AE9215C">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S2 = total_shading × 0.3</w:t>
      </w:r>
    </w:p>
    <w:p w14:paraId="3E468972">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S3 = total_shading × 0.1</w:t>
      </w:r>
    </w:p>
    <w:p w14:paraId="2E294C7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elseif total_shading &lt; 0.5:</w:t>
      </w:r>
    </w:p>
    <w:p w14:paraId="0204122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S1 = total_shading × 0.6</w:t>
      </w:r>
    </w:p>
    <w:p w14:paraId="4847A40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S2 = total_shading × 0.9</w:t>
      </w:r>
    </w:p>
    <w:p w14:paraId="64E596D8">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S3 = total_shading × 0.4</w:t>
      </w:r>
    </w:p>
    <w:p w14:paraId="7F0432D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else:</w:t>
      </w:r>
    </w:p>
    <w:p w14:paraId="04DF776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S1 = total_shading × 0.8</w:t>
      </w:r>
    </w:p>
    <w:p w14:paraId="5F6C740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S2 = total_shading × 1.0</w:t>
      </w:r>
    </w:p>
    <w:p w14:paraId="4A5B6A5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S3 = total_shading × 0.7</w:t>
      </w:r>
    </w:p>
    <w:p w14:paraId="374792C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【步骤6】等效辐照度计算</w:t>
      </w:r>
    </w:p>
    <w:p w14:paraId="69E077B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if S_i &gt; 0.8:           # 完全覆盖</w:t>
      </w:r>
    </w:p>
    <w:p w14:paraId="56D175E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G_eq = 0.1 + 0.1 × τ</w:t>
      </w:r>
    </w:p>
    <w:p w14:paraId="48BD373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else:                   # 部分覆盖</w:t>
      </w:r>
    </w:p>
    <w:p w14:paraId="2620BB1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G_eq = (1 - S_i) + S_i × τ</w:t>
      </w:r>
    </w:p>
    <w:p w14:paraId="3EF9B15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【步骤7】子模块电气参数计算</w:t>
      </w:r>
    </w:p>
    <w:p w14:paraId="064E172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Iph_i = Iph_ref × G_eq / N_sub</w:t>
      </w:r>
    </w:p>
    <w:p w14:paraId="38DCFD5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I0_i = I0_ref / N_sub</w:t>
      </w:r>
    </w:p>
    <w:p w14:paraId="378A1328">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Rs_i = Rs_total / N_sub</w:t>
      </w:r>
    </w:p>
    <w:p w14:paraId="2BC516A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Rp_i = Rp_total × N_sub</w:t>
      </w:r>
    </w:p>
    <w:p w14:paraId="3A2C65B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Vt_cell = n × k × T / q</w:t>
      </w:r>
    </w:p>
    <w:p w14:paraId="5EB2BDA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【步骤8】子模块I-V曲线求解</w:t>
      </w:r>
    </w:p>
    <w:p w14:paraId="24C0F83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单二极管模型方程：I = Iph - I0 × [exp((V_cell + I×Rs) / Vt) - 1] - (V_cell + I×Rs) / Rp</w:t>
      </w:r>
    </w:p>
    <w:p w14:paraId="4785841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其中 V_cell = V_total / 20（每子模块20个电池）</w:t>
      </w:r>
    </w:p>
    <w:p w14:paraId="3B755DE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数值求解方法（对每个电压点）：</w:t>
      </w:r>
    </w:p>
    <w:p w14:paraId="2D4BBA4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定义 f(I) = I - Iph + I0×(exp((V_cell+I×Rs)/Vt)-1) + (V_cell+I×Rs)/Rp = 0</w:t>
      </w:r>
    </w:p>
    <w:p w14:paraId="4BEA83DC">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初始猜测 I_guess = Iph × 0.95</w:t>
      </w:r>
    </w:p>
    <w:p w14:paraId="4A77C8B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使用 fzero 求解 I</w:t>
      </w:r>
    </w:p>
    <w:p w14:paraId="0F900C34">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【步骤9】模块I-V曲线求解（考虑旁路二极管）</w:t>
      </w:r>
    </w:p>
    <w:p w14:paraId="44AB89E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算法原理：三个子模块串联，每个子模块并联一个旁路二极管</w:t>
      </w:r>
    </w:p>
    <w:p w14:paraId="3192B4D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求解方法：二分法搜索电流</w:t>
      </w:r>
    </w:p>
    <w:p w14:paraId="37796BB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对于每个模块电压 V_total：</w:t>
      </w:r>
    </w:p>
    <w:p w14:paraId="363CCF7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搜索电流 I 使得 sum(V_sub_i(I)) = V_total</w:t>
      </w:r>
    </w:p>
    <w:p w14:paraId="2AC2455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对于每个子模块 i：</w:t>
      </w:r>
    </w:p>
    <w:p w14:paraId="501D2F3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if I &gt; Isc_sub_i × 0.999:</w:t>
      </w:r>
    </w:p>
    <w:p w14:paraId="5813E80A">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V_sub_i = -Vd        # 旁路二极管导通</w:t>
      </w:r>
    </w:p>
    <w:p w14:paraId="1BFF7E3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else:</w:t>
      </w:r>
    </w:p>
    <w:p w14:paraId="6A7C6C7E">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V_sub_i = 从子模块I-V曲线插值得到的电压（旁路二极管压降：Vd = 0.7V）</w:t>
      </w:r>
    </w:p>
    <w:p w14:paraId="0BCEF8B2">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【步骤10】性能参数计算</w:t>
      </w:r>
    </w:p>
    <w:p w14:paraId="7A7EC03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p>
    <w:p w14:paraId="21F528C1">
      <w:pPr>
        <w:keepNext w:val="0"/>
        <w:keepLines w:val="0"/>
        <w:widowControl/>
        <w:suppressLineNumbers w:val="0"/>
        <w:shd w:val="clear" w:fill="FFFFFF"/>
        <w:spacing w:line="270" w:lineRule="atLeast"/>
        <w:jc w:val="left"/>
        <w:rPr>
          <w:rFonts w:ascii="Consolas" w:hAnsi="Consolas" w:eastAsia="Consolas" w:cs="Consolas"/>
          <w:b w:val="0"/>
          <w:bCs w:val="0"/>
          <w:color w:val="3B3B3B"/>
          <w:sz w:val="20"/>
          <w:szCs w:val="20"/>
        </w:rPr>
      </w:pPr>
      <w:r>
        <w:rPr>
          <w:rFonts w:hint="eastAsia"/>
          <w:lang w:val="en-US" w:eastAsia="zh-CN"/>
        </w:rPr>
        <w:t>1.主要是使用python函数对原有单板模型进行优化，考虑了积雪覆盖以及积雪反照，过程即在原有代码上添加了全年平均的积雪覆盖率和积雪反照率，用积雪覆盖率更新有效辐照度</w:t>
      </w:r>
      <w:r>
        <w:rPr>
          <w:rFonts w:hint="default" w:ascii="Consolas" w:hAnsi="Consolas" w:eastAsia="Consolas" w:cs="Consolas"/>
          <w:b w:val="0"/>
          <w:bCs w:val="0"/>
          <w:color w:val="001080"/>
          <w:kern w:val="0"/>
          <w:sz w:val="20"/>
          <w:szCs w:val="20"/>
          <w:shd w:val="clear" w:fill="FFFFFF"/>
          <w:lang w:val="en-US" w:eastAsia="zh-CN" w:bidi="ar"/>
        </w:rPr>
        <w:t>effective_poa</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poa_global</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98658"/>
          <w:kern w:val="0"/>
          <w:sz w:val="20"/>
          <w:szCs w:val="20"/>
          <w:shd w:val="clear" w:fill="FFFFFF"/>
          <w:lang w:val="en-US" w:eastAsia="zh-CN" w:bidi="ar"/>
        </w:rPr>
        <w:t>1</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snow_cov</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snow_att</w:t>
      </w:r>
      <w:r>
        <w:rPr>
          <w:rFonts w:hint="default" w:ascii="Consolas" w:hAnsi="Consolas" w:eastAsia="Consolas" w:cs="Consolas"/>
          <w:b w:val="0"/>
          <w:bCs w:val="0"/>
          <w:color w:val="3B3B3B"/>
          <w:kern w:val="0"/>
          <w:sz w:val="20"/>
          <w:szCs w:val="20"/>
          <w:shd w:val="clear" w:fill="FFFFFF"/>
          <w:lang w:val="en-US" w:eastAsia="zh-CN" w:bidi="ar"/>
        </w:rPr>
        <w:t>)</w:t>
      </w:r>
    </w:p>
    <w:p w14:paraId="4C78AC54">
      <w:pPr>
        <w:rPr>
          <w:rFonts w:hint="default"/>
          <w:lang w:val="en-US" w:eastAsia="zh-CN"/>
        </w:rPr>
      </w:pPr>
      <w:r>
        <w:rPr>
          <w:rFonts w:hint="eastAsia"/>
          <w:lang w:val="en-US" w:eastAsia="zh-CN"/>
        </w:rPr>
        <w:t>，用积雪反照率替代原始反射率计算。</w:t>
      </w:r>
    </w:p>
    <w:p w14:paraId="00B46BEC">
      <w:pPr>
        <w:rPr>
          <w:rFonts w:hint="default"/>
          <w:lang w:val="en-US" w:eastAsia="zh-CN"/>
        </w:rPr>
      </w:pPr>
      <w:r>
        <w:rPr>
          <w:rFonts w:hint="default"/>
          <w:lang w:val="en-US" w:eastAsia="zh-CN"/>
        </w:rPr>
        <w:drawing>
          <wp:inline distT="0" distB="0" distL="114300" distR="114300">
            <wp:extent cx="5877560" cy="2338705"/>
            <wp:effectExtent l="0" t="0" r="2540" b="10795"/>
            <wp:docPr id="13" name="图片 13" descr="best_angles_with_snow_长城站_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est_angles_with_snow_长城站_2023"/>
                    <pic:cNvPicPr>
                      <a:picLocks noChangeAspect="1"/>
                    </pic:cNvPicPr>
                  </pic:nvPicPr>
                  <pic:blipFill>
                    <a:blip r:embed="rId41"/>
                    <a:stretch>
                      <a:fillRect/>
                    </a:stretch>
                  </pic:blipFill>
                  <pic:spPr>
                    <a:xfrm>
                      <a:off x="0" y="0"/>
                      <a:ext cx="5877560" cy="2338705"/>
                    </a:xfrm>
                    <a:prstGeom prst="rect">
                      <a:avLst/>
                    </a:prstGeom>
                  </pic:spPr>
                </pic:pic>
              </a:graphicData>
            </a:graphic>
          </wp:inline>
        </w:drawing>
      </w:r>
    </w:p>
    <w:p w14:paraId="74829828">
      <w:pPr>
        <w:keepNext w:val="0"/>
        <w:keepLines w:val="0"/>
        <w:widowControl/>
        <w:suppressLineNumbers w:val="0"/>
        <w:shd w:val="clear" w:fill="FFFFFF"/>
        <w:spacing w:line="270" w:lineRule="atLeast"/>
        <w:jc w:val="left"/>
        <w:rPr>
          <w:rFonts w:hint="eastAsia"/>
          <w:lang w:val="en-US" w:eastAsia="zh-CN"/>
        </w:rPr>
      </w:pPr>
    </w:p>
    <w:p w14:paraId="47572088">
      <w:pPr>
        <w:keepNext w:val="0"/>
        <w:keepLines w:val="0"/>
        <w:widowControl/>
        <w:numPr>
          <w:ilvl w:val="0"/>
          <w:numId w:val="1"/>
        </w:numPr>
        <w:suppressLineNumbers w:val="0"/>
        <w:shd w:val="clear" w:fill="FFFFFF"/>
        <w:spacing w:line="270" w:lineRule="atLeast"/>
        <w:jc w:val="left"/>
        <w:rPr>
          <w:rFonts w:hint="eastAsia"/>
          <w:lang w:val="en-US" w:eastAsia="zh-CN"/>
        </w:rPr>
      </w:pPr>
      <w:r>
        <w:rPr>
          <w:rFonts w:hint="eastAsia"/>
          <w:lang w:val="en-US" w:eastAsia="zh-CN"/>
        </w:rPr>
        <w:t>用python代码复现论文结果，主要考虑高纬度地区降雪问题，运用改进后的Marion模型，加入了雪覆盖的判定：当积雪深度超过板高度阈值，辐照度降为0；</w:t>
      </w:r>
    </w:p>
    <w:p w14:paraId="2EF71052">
      <w:pPr>
        <w:keepNext w:val="0"/>
        <w:keepLines w:val="0"/>
        <w:widowControl/>
        <w:numPr>
          <w:ilvl w:val="0"/>
          <w:numId w:val="0"/>
        </w:numPr>
        <w:suppressLineNumbers w:val="0"/>
        <w:shd w:val="clear" w:fill="FFFFFF"/>
        <w:spacing w:line="270" w:lineRule="atLeast"/>
        <w:jc w:val="left"/>
        <w:rPr>
          <w:rFonts w:hint="eastAsia"/>
          <w:lang w:val="en-US" w:eastAsia="zh-CN"/>
        </w:rPr>
      </w:pPr>
      <w:r>
        <w:rPr>
          <w:rFonts w:hint="eastAsia"/>
          <w:lang w:val="en-US" w:eastAsia="zh-CN"/>
        </w:rPr>
        <w:t>同时考虑积雪厚度对光照的影响，薄积雪加入透光度，在2cm以下线性损失，不完全遮挡光照；</w:t>
      </w:r>
    </w:p>
    <w:p w14:paraId="7B35983C">
      <w:pPr>
        <w:keepNext w:val="0"/>
        <w:keepLines w:val="0"/>
        <w:widowControl/>
        <w:suppressLineNumbers w:val="0"/>
        <w:shd w:val="clear" w:fill="FFFFFF"/>
        <w:spacing w:line="270" w:lineRule="atLeast"/>
        <w:jc w:val="left"/>
        <w:rPr>
          <w:rFonts w:hint="eastAsia"/>
          <w:lang w:val="en-US" w:eastAsia="zh-CN"/>
        </w:rPr>
      </w:pPr>
      <w:r>
        <w:rPr>
          <w:rFonts w:hint="eastAsia"/>
          <w:lang w:val="en-US" w:eastAsia="zh-CN"/>
        </w:rPr>
        <w:t>（</w:t>
      </w:r>
      <w:r>
        <w:rPr>
          <w:rFonts w:hint="default" w:ascii="Consolas" w:hAnsi="Consolas" w:eastAsia="Consolas" w:cs="Consolas"/>
          <w:b w:val="0"/>
          <w:bCs w:val="0"/>
          <w:color w:val="001080"/>
          <w:kern w:val="0"/>
          <w:sz w:val="20"/>
          <w:szCs w:val="20"/>
          <w:shd w:val="clear" w:fill="FFFFFF"/>
          <w:lang w:val="en-US" w:eastAsia="zh-CN" w:bidi="ar"/>
        </w:rPr>
        <w:t>transmittance</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98658"/>
          <w:kern w:val="0"/>
          <w:sz w:val="20"/>
          <w:szCs w:val="20"/>
          <w:shd w:val="clear" w:fill="FFFFFF"/>
          <w:lang w:val="en-US" w:eastAsia="zh-CN" w:bidi="ar"/>
        </w:rPr>
        <w:t>1.0</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snow_depth</w:t>
      </w:r>
      <w:r>
        <w:rPr>
          <w:rFonts w:hint="default" w:ascii="Consolas" w:hAnsi="Consolas" w:eastAsia="Consolas" w:cs="Consolas"/>
          <w:b w:val="0"/>
          <w:bCs w:val="0"/>
          <w:color w:val="3B3B3B"/>
          <w:kern w:val="0"/>
          <w:sz w:val="20"/>
          <w:szCs w:val="20"/>
          <w:shd w:val="clear" w:fill="FFFFFF"/>
          <w:lang w:val="en-US" w:eastAsia="zh-CN" w:bidi="ar"/>
        </w:rPr>
        <w:t>[</w:t>
      </w:r>
      <w:r>
        <w:rPr>
          <w:rFonts w:hint="default" w:ascii="Consolas" w:hAnsi="Consolas" w:eastAsia="Consolas" w:cs="Consolas"/>
          <w:b w:val="0"/>
          <w:bCs w:val="0"/>
          <w:color w:val="001080"/>
          <w:kern w:val="0"/>
          <w:sz w:val="20"/>
          <w:szCs w:val="20"/>
          <w:shd w:val="clear" w:fill="FFFFFF"/>
          <w:lang w:val="en-US" w:eastAsia="zh-CN" w:bidi="ar"/>
        </w:rPr>
        <w:t>i</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98658"/>
          <w:kern w:val="0"/>
          <w:sz w:val="20"/>
          <w:szCs w:val="20"/>
          <w:shd w:val="clear" w:fill="FFFFFF"/>
          <w:lang w:val="en-US" w:eastAsia="zh-CN" w:bidi="ar"/>
        </w:rPr>
        <w:t>2</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98658"/>
          <w:kern w:val="0"/>
          <w:sz w:val="20"/>
          <w:szCs w:val="20"/>
          <w:shd w:val="clear" w:fill="FFFFFF"/>
          <w:lang w:val="en-US" w:eastAsia="zh-CN" w:bidi="ar"/>
        </w:rPr>
        <w:t>1.0</w:t>
      </w:r>
      <w:r>
        <w:rPr>
          <w:rFonts w:hint="eastAsia"/>
          <w:lang w:val="en-US" w:eastAsia="zh-CN"/>
        </w:rPr>
        <w:t>）</w:t>
      </w:r>
    </w:p>
    <w:p w14:paraId="1E83A468">
      <w:pPr>
        <w:keepNext w:val="0"/>
        <w:keepLines w:val="0"/>
        <w:widowControl/>
        <w:numPr>
          <w:ilvl w:val="0"/>
          <w:numId w:val="0"/>
        </w:numPr>
        <w:suppressLineNumbers w:val="0"/>
        <w:shd w:val="clear" w:fill="FFFFFF"/>
        <w:spacing w:line="270" w:lineRule="atLeast"/>
        <w:jc w:val="left"/>
        <w:rPr>
          <w:rFonts w:hint="eastAsia"/>
          <w:lang w:val="en-US" w:eastAsia="zh-CN"/>
        </w:rPr>
      </w:pPr>
      <w:r>
        <w:rPr>
          <w:rFonts w:hint="eastAsia"/>
          <w:lang w:val="en-US" w:eastAsia="zh-CN"/>
        </w:rPr>
        <w:t>也考虑积雪融化，在温度高于0℃且白天时雪融化，</w:t>
      </w:r>
    </w:p>
    <w:p w14:paraId="0BE16379">
      <w:pPr>
        <w:keepNext w:val="0"/>
        <w:keepLines w:val="0"/>
        <w:widowControl/>
        <w:numPr>
          <w:ilvl w:val="0"/>
          <w:numId w:val="0"/>
        </w:numPr>
        <w:suppressLineNumbers w:val="0"/>
        <w:shd w:val="clear" w:fill="FFFFFF"/>
        <w:spacing w:line="270" w:lineRule="atLeast"/>
        <w:jc w:val="left"/>
        <w:rPr>
          <w:rFonts w:ascii="Consolas" w:hAnsi="Consolas" w:eastAsia="Consolas" w:cs="Consolas"/>
          <w:b w:val="0"/>
          <w:bCs w:val="0"/>
          <w:color w:val="3B3B3B"/>
          <w:sz w:val="20"/>
          <w:szCs w:val="20"/>
        </w:rPr>
      </w:pPr>
      <w:r>
        <w:rPr>
          <w:rFonts w:hint="eastAsia"/>
          <w:lang w:val="en-US" w:eastAsia="zh-CN"/>
        </w:rPr>
        <w:t>（</w:t>
      </w:r>
      <w:r>
        <w:rPr>
          <w:rFonts w:hint="default" w:ascii="Consolas" w:hAnsi="Consolas" w:eastAsia="Consolas" w:cs="Consolas"/>
          <w:b w:val="0"/>
          <w:bCs w:val="0"/>
          <w:color w:val="001080"/>
          <w:kern w:val="0"/>
          <w:sz w:val="20"/>
          <w:szCs w:val="20"/>
          <w:shd w:val="clear" w:fill="FFFFFF"/>
          <w:lang w:val="en-US" w:eastAsia="zh-CN" w:bidi="ar"/>
        </w:rPr>
        <w:t>melt_rate</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98658"/>
          <w:kern w:val="0"/>
          <w:sz w:val="20"/>
          <w:szCs w:val="20"/>
          <w:shd w:val="clear" w:fill="FFFFFF"/>
          <w:lang w:val="en-US" w:eastAsia="zh-CN" w:bidi="ar"/>
        </w:rPr>
        <w:t>0.15</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temp_amb</w:t>
      </w:r>
      <w:r>
        <w:rPr>
          <w:rFonts w:hint="default" w:ascii="Consolas" w:hAnsi="Consolas" w:eastAsia="Consolas" w:cs="Consolas"/>
          <w:b w:val="0"/>
          <w:bCs w:val="0"/>
          <w:color w:val="3B3B3B"/>
          <w:kern w:val="0"/>
          <w:sz w:val="20"/>
          <w:szCs w:val="20"/>
          <w:shd w:val="clear" w:fill="FFFFFF"/>
          <w:lang w:val="en-US" w:eastAsia="zh-CN" w:bidi="ar"/>
        </w:rPr>
        <w:t>[</w:t>
      </w:r>
      <w:r>
        <w:rPr>
          <w:rFonts w:hint="default" w:ascii="Consolas" w:hAnsi="Consolas" w:eastAsia="Consolas" w:cs="Consolas"/>
          <w:b w:val="0"/>
          <w:bCs w:val="0"/>
          <w:color w:val="001080"/>
          <w:kern w:val="0"/>
          <w:sz w:val="20"/>
          <w:szCs w:val="20"/>
          <w:shd w:val="clear" w:fill="FFFFFF"/>
          <w:lang w:val="en-US" w:eastAsia="zh-CN" w:bidi="ar"/>
        </w:rPr>
        <w:t>i</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98658"/>
          <w:kern w:val="0"/>
          <w:sz w:val="20"/>
          <w:szCs w:val="20"/>
          <w:shd w:val="clear" w:fill="FFFFFF"/>
          <w:lang w:val="en-US" w:eastAsia="zh-CN" w:bidi="ar"/>
        </w:rPr>
        <w:t>0.0004</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poa</w:t>
      </w:r>
      <w:r>
        <w:rPr>
          <w:rFonts w:hint="default" w:ascii="Consolas" w:hAnsi="Consolas" w:eastAsia="Consolas" w:cs="Consolas"/>
          <w:b w:val="0"/>
          <w:bCs w:val="0"/>
          <w:color w:val="3B3B3B"/>
          <w:kern w:val="0"/>
          <w:sz w:val="20"/>
          <w:szCs w:val="20"/>
          <w:shd w:val="clear" w:fill="FFFFFF"/>
          <w:lang w:val="en-US" w:eastAsia="zh-CN" w:bidi="ar"/>
        </w:rPr>
        <w:t>[</w:t>
      </w:r>
      <w:r>
        <w:rPr>
          <w:rFonts w:hint="default" w:ascii="Consolas" w:hAnsi="Consolas" w:eastAsia="Consolas" w:cs="Consolas"/>
          <w:b w:val="0"/>
          <w:bCs w:val="0"/>
          <w:color w:val="001080"/>
          <w:kern w:val="0"/>
          <w:sz w:val="20"/>
          <w:szCs w:val="20"/>
          <w:shd w:val="clear" w:fill="FFFFFF"/>
          <w:lang w:val="en-US" w:eastAsia="zh-CN" w:bidi="ar"/>
        </w:rPr>
        <w:t>i</w:t>
      </w:r>
      <w:r>
        <w:rPr>
          <w:rFonts w:hint="default" w:ascii="Consolas" w:hAnsi="Consolas" w:eastAsia="Consolas" w:cs="Consolas"/>
          <w:b w:val="0"/>
          <w:bCs w:val="0"/>
          <w:color w:val="3B3B3B"/>
          <w:kern w:val="0"/>
          <w:sz w:val="20"/>
          <w:szCs w:val="20"/>
          <w:shd w:val="clear" w:fill="FFFFFF"/>
          <w:lang w:val="en-US" w:eastAsia="zh-CN" w:bidi="ar"/>
        </w:rPr>
        <w:t>]</w:t>
      </w:r>
    </w:p>
    <w:p w14:paraId="7562D1E5">
      <w:pPr>
        <w:keepNext w:val="0"/>
        <w:keepLines w:val="0"/>
        <w:widowControl/>
        <w:suppressLineNumbers w:val="0"/>
        <w:shd w:val="clear" w:fill="FFFFFF"/>
        <w:spacing w:line="270" w:lineRule="atLeast"/>
        <w:jc w:val="left"/>
        <w:rPr>
          <w:rFonts w:hint="eastAsia"/>
          <w:lang w:val="en-US" w:eastAsia="zh-CN"/>
        </w:rPr>
      </w:pP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snow_depth</w:t>
      </w:r>
      <w:r>
        <w:rPr>
          <w:rFonts w:hint="default" w:ascii="Consolas" w:hAnsi="Consolas" w:eastAsia="Consolas" w:cs="Consolas"/>
          <w:b w:val="0"/>
          <w:bCs w:val="0"/>
          <w:color w:val="3B3B3B"/>
          <w:kern w:val="0"/>
          <w:sz w:val="20"/>
          <w:szCs w:val="20"/>
          <w:shd w:val="clear" w:fill="FFFFFF"/>
          <w:lang w:val="en-US" w:eastAsia="zh-CN" w:bidi="ar"/>
        </w:rPr>
        <w:t>[</w:t>
      </w:r>
      <w:r>
        <w:rPr>
          <w:rFonts w:hint="default" w:ascii="Consolas" w:hAnsi="Consolas" w:eastAsia="Consolas" w:cs="Consolas"/>
          <w:b w:val="0"/>
          <w:bCs w:val="0"/>
          <w:color w:val="001080"/>
          <w:kern w:val="0"/>
          <w:sz w:val="20"/>
          <w:szCs w:val="20"/>
          <w:shd w:val="clear" w:fill="FFFFFF"/>
          <w:lang w:val="en-US" w:eastAsia="zh-CN" w:bidi="ar"/>
        </w:rPr>
        <w:t>i</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795E26"/>
          <w:kern w:val="0"/>
          <w:sz w:val="20"/>
          <w:szCs w:val="20"/>
          <w:shd w:val="clear" w:fill="FFFFFF"/>
          <w:lang w:val="en-US" w:eastAsia="zh-CN" w:bidi="ar"/>
        </w:rPr>
        <w:t>max</w:t>
      </w:r>
      <w:r>
        <w:rPr>
          <w:rFonts w:hint="default" w:ascii="Consolas" w:hAnsi="Consolas" w:eastAsia="Consolas" w:cs="Consolas"/>
          <w:b w:val="0"/>
          <w:bCs w:val="0"/>
          <w:color w:val="3B3B3B"/>
          <w:kern w:val="0"/>
          <w:sz w:val="20"/>
          <w:szCs w:val="20"/>
          <w:shd w:val="clear" w:fill="FFFFFF"/>
          <w:lang w:val="en-US" w:eastAsia="zh-CN" w:bidi="ar"/>
        </w:rPr>
        <w:t>(</w:t>
      </w:r>
      <w:r>
        <w:rPr>
          <w:rFonts w:hint="default" w:ascii="Consolas" w:hAnsi="Consolas" w:eastAsia="Consolas" w:cs="Consolas"/>
          <w:b w:val="0"/>
          <w:bCs w:val="0"/>
          <w:color w:val="098658"/>
          <w:kern w:val="0"/>
          <w:sz w:val="20"/>
          <w:szCs w:val="20"/>
          <w:shd w:val="clear" w:fill="FFFFFF"/>
          <w:lang w:val="en-US" w:eastAsia="zh-CN" w:bidi="ar"/>
        </w:rPr>
        <w:t>0.0</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snow_depth</w:t>
      </w:r>
      <w:r>
        <w:rPr>
          <w:rFonts w:hint="default" w:ascii="Consolas" w:hAnsi="Consolas" w:eastAsia="Consolas" w:cs="Consolas"/>
          <w:b w:val="0"/>
          <w:bCs w:val="0"/>
          <w:color w:val="3B3B3B"/>
          <w:kern w:val="0"/>
          <w:sz w:val="20"/>
          <w:szCs w:val="20"/>
          <w:shd w:val="clear" w:fill="FFFFFF"/>
          <w:lang w:val="en-US" w:eastAsia="zh-CN" w:bidi="ar"/>
        </w:rPr>
        <w:t>[</w:t>
      </w:r>
      <w:r>
        <w:rPr>
          <w:rFonts w:hint="default" w:ascii="Consolas" w:hAnsi="Consolas" w:eastAsia="Consolas" w:cs="Consolas"/>
          <w:b w:val="0"/>
          <w:bCs w:val="0"/>
          <w:color w:val="001080"/>
          <w:kern w:val="0"/>
          <w:sz w:val="20"/>
          <w:szCs w:val="20"/>
          <w:shd w:val="clear" w:fill="FFFFFF"/>
          <w:lang w:val="en-US" w:eastAsia="zh-CN" w:bidi="ar"/>
        </w:rPr>
        <w:t>i</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melt_rate</w:t>
      </w:r>
      <w:r>
        <w:rPr>
          <w:rFonts w:hint="default" w:ascii="Consolas" w:hAnsi="Consolas" w:eastAsia="Consolas" w:cs="Consolas"/>
          <w:b w:val="0"/>
          <w:bCs w:val="0"/>
          <w:color w:val="3B3B3B"/>
          <w:kern w:val="0"/>
          <w:sz w:val="20"/>
          <w:szCs w:val="20"/>
          <w:shd w:val="clear" w:fill="FFFFFF"/>
          <w:lang w:val="en-US" w:eastAsia="zh-CN" w:bidi="ar"/>
        </w:rPr>
        <w:t>)</w:t>
      </w:r>
      <w:r>
        <w:rPr>
          <w:rFonts w:hint="eastAsia"/>
          <w:lang w:val="en-US" w:eastAsia="zh-CN"/>
        </w:rPr>
        <w:t>）</w:t>
      </w:r>
    </w:p>
    <w:p w14:paraId="08F9CD68">
      <w:pPr>
        <w:keepNext w:val="0"/>
        <w:keepLines w:val="0"/>
        <w:widowControl/>
        <w:suppressLineNumbers w:val="0"/>
        <w:shd w:val="clear" w:fill="FFFFFF"/>
        <w:spacing w:line="270" w:lineRule="atLeast"/>
        <w:jc w:val="left"/>
        <w:rPr>
          <w:rFonts w:hint="eastAsia"/>
          <w:lang w:val="en-US" w:eastAsia="zh-CN"/>
        </w:rPr>
      </w:pPr>
      <w:r>
        <w:rPr>
          <w:rFonts w:hint="eastAsia"/>
          <w:lang w:val="en-US" w:eastAsia="zh-CN"/>
        </w:rPr>
        <w:t>且会部分滑落不遮挡光照；</w:t>
      </w:r>
    </w:p>
    <w:p w14:paraId="6F469AB3">
      <w:pPr>
        <w:keepNext w:val="0"/>
        <w:keepLines w:val="0"/>
        <w:widowControl/>
        <w:suppressLineNumbers w:val="0"/>
        <w:shd w:val="clear" w:fill="FFFFFF"/>
        <w:spacing w:line="270" w:lineRule="atLeast"/>
        <w:jc w:val="left"/>
        <w:rPr>
          <w:rFonts w:hint="default" w:ascii="Consolas" w:hAnsi="Consolas" w:eastAsia="Consolas" w:cs="Consolas"/>
          <w:b w:val="0"/>
          <w:bCs w:val="0"/>
          <w:color w:val="3B3B3B"/>
          <w:sz w:val="20"/>
          <w:szCs w:val="20"/>
          <w:lang w:val="en-US"/>
        </w:rPr>
      </w:pPr>
      <w:r>
        <w:rPr>
          <w:rFonts w:hint="eastAsia"/>
          <w:lang w:val="en-US" w:eastAsia="zh-CN"/>
        </w:rPr>
        <w:t>以及发电时</w:t>
      </w:r>
      <w:r>
        <w:rPr>
          <w:rFonts w:hint="default"/>
          <w:lang w:val="en-US" w:eastAsia="zh-CN"/>
        </w:rPr>
        <w:t>横装组件旁路二极管</w:t>
      </w:r>
      <w:r>
        <w:rPr>
          <w:rFonts w:hint="eastAsia"/>
          <w:lang w:val="en-US" w:eastAsia="zh-CN"/>
        </w:rPr>
        <w:t>出现阶梯式损失（</w:t>
      </w:r>
      <w:r>
        <w:rPr>
          <w:rFonts w:hint="default" w:ascii="Consolas" w:hAnsi="Consolas" w:eastAsia="Consolas" w:cs="Consolas"/>
          <w:b w:val="0"/>
          <w:bCs w:val="0"/>
          <w:color w:val="001080"/>
          <w:kern w:val="0"/>
          <w:sz w:val="20"/>
          <w:szCs w:val="20"/>
          <w:shd w:val="clear" w:fill="FFFFFF"/>
          <w:lang w:val="en-US" w:eastAsia="zh-CN" w:bidi="ar"/>
        </w:rPr>
        <w:t>loss_ratio</w:t>
      </w:r>
      <w:r>
        <w:rPr>
          <w:rFonts w:hint="eastAsia"/>
          <w:lang w:val="en-US" w:eastAsia="zh-CN"/>
        </w:rPr>
        <w:t>）导致发电功率降低的情况。</w:t>
      </w:r>
    </w:p>
    <w:p w14:paraId="3C4C4CAB">
      <w:pPr>
        <w:numPr>
          <w:ilvl w:val="0"/>
          <w:numId w:val="0"/>
        </w:numPr>
        <w:rPr>
          <w:rFonts w:hint="eastAsia"/>
          <w:lang w:val="en-US" w:eastAsia="zh-CN"/>
        </w:rPr>
      </w:pPr>
    </w:p>
    <w:p w14:paraId="46A6B83F">
      <w:pPr>
        <w:numPr>
          <w:ilvl w:val="0"/>
          <w:numId w:val="0"/>
        </w:numPr>
        <w:rPr>
          <w:rFonts w:hint="default"/>
          <w:lang w:val="en-US" w:eastAsia="zh-CN"/>
        </w:rPr>
      </w:pPr>
      <w:r>
        <w:rPr>
          <w:rFonts w:hint="default"/>
          <w:lang w:val="en-US" w:eastAsia="zh-CN"/>
        </w:rPr>
        <w:drawing>
          <wp:inline distT="0" distB="0" distL="114300" distR="114300">
            <wp:extent cx="5273040" cy="1621790"/>
            <wp:effectExtent l="0" t="0" r="10160" b="3810"/>
            <wp:docPr id="14" name="图片 14" descr="论文匹配版_雪损率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论文匹配版_雪损率分布"/>
                    <pic:cNvPicPr>
                      <a:picLocks noChangeAspect="1"/>
                    </pic:cNvPicPr>
                  </pic:nvPicPr>
                  <pic:blipFill>
                    <a:blip r:embed="rId42"/>
                    <a:stretch>
                      <a:fillRect/>
                    </a:stretch>
                  </pic:blipFill>
                  <pic:spPr>
                    <a:xfrm>
                      <a:off x="0" y="0"/>
                      <a:ext cx="5273040" cy="1621790"/>
                    </a:xfrm>
                    <a:prstGeom prst="rect">
                      <a:avLst/>
                    </a:prstGeom>
                  </pic:spPr>
                </pic:pic>
              </a:graphicData>
            </a:graphic>
          </wp:inline>
        </w:drawing>
      </w:r>
      <w:r>
        <w:rPr>
          <w:rFonts w:hint="default"/>
          <w:lang w:val="en-US" w:eastAsia="zh-CN"/>
        </w:rPr>
        <w:drawing>
          <wp:inline distT="0" distB="0" distL="114300" distR="114300">
            <wp:extent cx="5273040" cy="2952750"/>
            <wp:effectExtent l="0" t="0" r="10160" b="6350"/>
            <wp:docPr id="15" name="图片 15" descr="论文匹配版_积雪深度与覆盖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论文匹配版_积雪深度与覆盖比例"/>
                    <pic:cNvPicPr>
                      <a:picLocks noChangeAspect="1"/>
                    </pic:cNvPicPr>
                  </pic:nvPicPr>
                  <pic:blipFill>
                    <a:blip r:embed="rId43"/>
                    <a:stretch>
                      <a:fillRect/>
                    </a:stretch>
                  </pic:blipFill>
                  <pic:spPr>
                    <a:xfrm>
                      <a:off x="0" y="0"/>
                      <a:ext cx="5273040" cy="2952750"/>
                    </a:xfrm>
                    <a:prstGeom prst="rect">
                      <a:avLst/>
                    </a:prstGeom>
                  </pic:spPr>
                </pic:pic>
              </a:graphicData>
            </a:graphic>
          </wp:inline>
        </w:drawing>
      </w:r>
      <w:r>
        <w:rPr>
          <w:rFonts w:hint="default"/>
          <w:lang w:val="en-US" w:eastAsia="zh-CN"/>
        </w:rPr>
        <w:drawing>
          <wp:inline distT="0" distB="0" distL="114300" distR="114300">
            <wp:extent cx="5260975" cy="1951990"/>
            <wp:effectExtent l="0" t="0" r="9525" b="3810"/>
            <wp:docPr id="16" name="图片 16" descr="论文匹配版_功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论文匹配版_功率对比"/>
                    <pic:cNvPicPr>
                      <a:picLocks noChangeAspect="1"/>
                    </pic:cNvPicPr>
                  </pic:nvPicPr>
                  <pic:blipFill>
                    <a:blip r:embed="rId44"/>
                    <a:stretch>
                      <a:fillRect/>
                    </a:stretch>
                  </pic:blipFill>
                  <pic:spPr>
                    <a:xfrm>
                      <a:off x="0" y="0"/>
                      <a:ext cx="5260975" cy="1951990"/>
                    </a:xfrm>
                    <a:prstGeom prst="rect">
                      <a:avLst/>
                    </a:prstGeom>
                  </pic:spPr>
                </pic:pic>
              </a:graphicData>
            </a:graphic>
          </wp:inline>
        </w:drawing>
      </w:r>
    </w:p>
    <w:p w14:paraId="2961BE48">
      <w:pPr>
        <w:numPr>
          <w:ilvl w:val="0"/>
          <w:numId w:val="0"/>
        </w:numPr>
        <w:rPr>
          <w:rFonts w:hint="default"/>
          <w:lang w:val="en-US" w:eastAsia="zh-CN"/>
        </w:rPr>
      </w:pPr>
      <w:r>
        <w:rPr>
          <w:rFonts w:hint="eastAsia"/>
          <w:lang w:val="en-US" w:eastAsia="zh-CN"/>
        </w:rPr>
        <w:t>接下来的任务即参考此模型，将其套入南极地区的光伏计算，修正原来完全不考虑降雪及雪损的模型。</w:t>
      </w:r>
    </w:p>
    <w:p w14:paraId="13C52EB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p>
    <w:p w14:paraId="418F7292">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p>
    <w:p w14:paraId="77113D7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p>
    <w:p w14:paraId="59ABDF8C">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p>
    <w:p w14:paraId="56B3F85B">
      <w:pPr>
        <w:spacing w:before="91" w:line="220" w:lineRule="auto"/>
        <w:jc w:val="both"/>
        <w:rPr>
          <w:rFonts w:hint="default" w:ascii="宋体" w:hAnsi="宋体" w:eastAsia="宋体" w:cs="宋体"/>
          <w:b/>
          <w:bCs/>
          <w:spacing w:val="-6"/>
          <w:sz w:val="28"/>
          <w:szCs w:val="28"/>
          <w:lang w:val="en-US" w:eastAsia="zh-CN"/>
        </w:rPr>
      </w:pPr>
    </w:p>
    <w:p w14:paraId="6272F8FD">
      <w:pPr>
        <w:spacing w:before="91" w:line="220" w:lineRule="auto"/>
        <w:jc w:val="both"/>
        <w:rPr>
          <w:rFonts w:hint="default" w:ascii="宋体" w:hAnsi="宋体" w:eastAsia="宋体" w:cs="宋体"/>
          <w:b/>
          <w:bCs/>
          <w:spacing w:val="-6"/>
          <w:sz w:val="28"/>
          <w:szCs w:val="28"/>
          <w:lang w:val="en-US" w:eastAsia="zh-CN"/>
        </w:rPr>
      </w:pPr>
    </w:p>
    <w:p w14:paraId="7065B074">
      <w:pPr>
        <w:spacing w:before="91" w:line="220" w:lineRule="auto"/>
        <w:jc w:val="both"/>
        <w:rPr>
          <w:rFonts w:hint="default" w:ascii="宋体" w:hAnsi="宋体" w:eastAsia="宋体" w:cs="宋体"/>
          <w:b/>
          <w:bCs/>
          <w:spacing w:val="-6"/>
          <w:sz w:val="28"/>
          <w:szCs w:val="28"/>
          <w:lang w:val="en-US" w:eastAsia="zh-CN"/>
        </w:rPr>
      </w:pPr>
    </w:p>
    <w:p w14:paraId="1566371C">
      <w:pPr>
        <w:numPr>
          <w:ilvl w:val="0"/>
          <w:numId w:val="2"/>
        </w:numPr>
        <w:spacing w:before="91" w:line="221" w:lineRule="auto"/>
        <w:jc w:val="center"/>
        <w:outlineLvl w:val="0"/>
        <w:rPr>
          <w:rFonts w:hint="eastAsia" w:ascii="宋体" w:hAnsi="宋体" w:eastAsia="宋体" w:cs="宋体"/>
          <w:b/>
          <w:bCs/>
          <w:snapToGrid w:val="0"/>
          <w:color w:val="000000"/>
          <w:spacing w:val="-7"/>
          <w:kern w:val="0"/>
          <w:sz w:val="28"/>
          <w:szCs w:val="28"/>
          <w:lang w:val="en-US" w:eastAsia="zh-CN" w:bidi="ar-SA"/>
        </w:rPr>
      </w:pPr>
      <w:r>
        <w:rPr>
          <w:rFonts w:hint="eastAsia" w:ascii="宋体" w:hAnsi="宋体" w:eastAsia="宋体" w:cs="宋体"/>
          <w:b/>
          <w:bCs/>
          <w:snapToGrid w:val="0"/>
          <w:color w:val="000000"/>
          <w:spacing w:val="-7"/>
          <w:kern w:val="0"/>
          <w:sz w:val="28"/>
          <w:szCs w:val="28"/>
          <w:lang w:val="en-US" w:eastAsia="zh-CN" w:bidi="ar-SA"/>
        </w:rPr>
        <w:t>阶段性结果(待添加文字与优化)</w:t>
      </w:r>
    </w:p>
    <w:p w14:paraId="71B9CC72">
      <w:pPr>
        <w:keepNext w:val="0"/>
        <w:keepLines w:val="0"/>
        <w:widowControl/>
        <w:numPr>
          <w:ilvl w:val="0"/>
          <w:numId w:val="0"/>
        </w:numPr>
        <w:suppressLineNumbers w:val="0"/>
        <w:spacing w:line="360" w:lineRule="auto"/>
        <w:jc w:val="left"/>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1.代码运行结果</w:t>
      </w:r>
    </w:p>
    <w:p w14:paraId="4FFEEDDB">
      <w:pPr>
        <w:keepNext w:val="0"/>
        <w:keepLines w:val="0"/>
        <w:widowControl/>
        <w:numPr>
          <w:ilvl w:val="0"/>
          <w:numId w:val="0"/>
        </w:numPr>
        <w:suppressLineNumbers w:val="0"/>
        <w:spacing w:line="360" w:lineRule="auto"/>
        <w:jc w:val="left"/>
      </w:pPr>
      <w:r>
        <w:drawing>
          <wp:inline distT="0" distB="0" distL="114300" distR="114300">
            <wp:extent cx="4196715" cy="3588385"/>
            <wp:effectExtent l="0" t="0" r="6985" b="571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5"/>
                    <a:stretch>
                      <a:fillRect/>
                    </a:stretch>
                  </pic:blipFill>
                  <pic:spPr>
                    <a:xfrm>
                      <a:off x="0" y="0"/>
                      <a:ext cx="4196715" cy="3588385"/>
                    </a:xfrm>
                    <a:prstGeom prst="rect">
                      <a:avLst/>
                    </a:prstGeom>
                  </pic:spPr>
                </pic:pic>
              </a:graphicData>
            </a:graphic>
          </wp:inline>
        </w:drawing>
      </w:r>
    </w:p>
    <w:p w14:paraId="26240DEF">
      <w:pPr>
        <w:keepNext w:val="0"/>
        <w:keepLines w:val="0"/>
        <w:widowControl/>
        <w:numPr>
          <w:ilvl w:val="0"/>
          <w:numId w:val="0"/>
        </w:numPr>
        <w:suppressLineNumbers w:val="0"/>
        <w:spacing w:line="360" w:lineRule="auto"/>
        <w:jc w:val="left"/>
      </w:pPr>
      <w:r>
        <w:drawing>
          <wp:inline distT="0" distB="0" distL="114300" distR="114300">
            <wp:extent cx="6155690" cy="4093210"/>
            <wp:effectExtent l="0" t="0" r="3810" b="8890"/>
            <wp:docPr id="18" name="图片 18" descr="da81419fe82eee954e22f711c8dc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a81419fe82eee954e22f711c8dc0317"/>
                    <pic:cNvPicPr>
                      <a:picLocks noChangeAspect="1"/>
                    </pic:cNvPicPr>
                  </pic:nvPicPr>
                  <pic:blipFill>
                    <a:blip r:embed="rId46"/>
                    <a:stretch>
                      <a:fillRect/>
                    </a:stretch>
                  </pic:blipFill>
                  <pic:spPr>
                    <a:xfrm>
                      <a:off x="0" y="0"/>
                      <a:ext cx="6155690" cy="4093210"/>
                    </a:xfrm>
                    <a:prstGeom prst="rect">
                      <a:avLst/>
                    </a:prstGeom>
                  </pic:spPr>
                </pic:pic>
              </a:graphicData>
            </a:graphic>
          </wp:inline>
        </w:drawing>
      </w:r>
    </w:p>
    <w:p w14:paraId="5868E705">
      <w:pPr>
        <w:keepNext w:val="0"/>
        <w:keepLines w:val="0"/>
        <w:widowControl/>
        <w:numPr>
          <w:ilvl w:val="0"/>
          <w:numId w:val="0"/>
        </w:numPr>
        <w:suppressLineNumbers w:val="0"/>
        <w:spacing w:line="360" w:lineRule="auto"/>
        <w:jc w:val="left"/>
      </w:pPr>
    </w:p>
    <w:p w14:paraId="30B9500A">
      <w:pPr>
        <w:keepNext w:val="0"/>
        <w:keepLines w:val="0"/>
        <w:widowControl/>
        <w:numPr>
          <w:ilvl w:val="0"/>
          <w:numId w:val="0"/>
        </w:numPr>
        <w:suppressLineNumbers w:val="0"/>
        <w:spacing w:line="360" w:lineRule="auto"/>
        <w:jc w:val="left"/>
      </w:pPr>
    </w:p>
    <w:p w14:paraId="6E691C42">
      <w:pPr>
        <w:keepNext w:val="0"/>
        <w:keepLines w:val="0"/>
        <w:widowControl/>
        <w:numPr>
          <w:ilvl w:val="0"/>
          <w:numId w:val="0"/>
        </w:numPr>
        <w:suppressLineNumbers w:val="0"/>
        <w:spacing w:line="360" w:lineRule="auto"/>
        <w:jc w:val="left"/>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2.仿真结果</w:t>
      </w:r>
    </w:p>
    <w:p w14:paraId="1951A9F4">
      <w:pPr>
        <w:keepNext w:val="0"/>
        <w:keepLines w:val="0"/>
        <w:widowControl/>
        <w:numPr>
          <w:ilvl w:val="0"/>
          <w:numId w:val="0"/>
        </w:numPr>
        <w:suppressLineNumbers w:val="0"/>
        <w:spacing w:line="360" w:lineRule="auto"/>
        <w:jc w:val="left"/>
        <w:rPr>
          <w:rFonts w:hint="default"/>
          <w:lang w:val="en-US" w:eastAsia="zh-CN"/>
        </w:rPr>
      </w:pPr>
    </w:p>
    <w:p w14:paraId="0E580258">
      <w:pPr>
        <w:spacing w:before="91" w:line="220" w:lineRule="auto"/>
        <w:jc w:val="both"/>
      </w:pPr>
      <w:r>
        <w:drawing>
          <wp:inline distT="0" distB="0" distL="114300" distR="114300">
            <wp:extent cx="5058410" cy="3357245"/>
            <wp:effectExtent l="0" t="0" r="8890" b="825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47"/>
                    <a:stretch>
                      <a:fillRect/>
                    </a:stretch>
                  </pic:blipFill>
                  <pic:spPr>
                    <a:xfrm>
                      <a:off x="0" y="0"/>
                      <a:ext cx="5058410" cy="3357245"/>
                    </a:xfrm>
                    <a:prstGeom prst="rect">
                      <a:avLst/>
                    </a:prstGeom>
                  </pic:spPr>
                </pic:pic>
              </a:graphicData>
            </a:graphic>
          </wp:inline>
        </w:drawing>
      </w:r>
    </w:p>
    <w:p w14:paraId="7263F4A7">
      <w:pPr>
        <w:spacing w:before="91" w:line="220" w:lineRule="auto"/>
        <w:jc w:val="both"/>
      </w:pPr>
    </w:p>
    <w:p w14:paraId="31F43AD6">
      <w:pPr>
        <w:spacing w:before="91" w:line="220" w:lineRule="auto"/>
        <w:jc w:val="both"/>
        <w:rPr>
          <w:rFonts w:hint="default"/>
          <w:lang w:val="en-US" w:eastAsia="zh-CN"/>
        </w:rPr>
      </w:pPr>
      <w:r>
        <w:drawing>
          <wp:inline distT="0" distB="0" distL="114300" distR="114300">
            <wp:extent cx="5687695" cy="3560445"/>
            <wp:effectExtent l="0" t="0" r="1905" b="825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48"/>
                    <a:stretch>
                      <a:fillRect/>
                    </a:stretch>
                  </pic:blipFill>
                  <pic:spPr>
                    <a:xfrm>
                      <a:off x="0" y="0"/>
                      <a:ext cx="5687695" cy="3560445"/>
                    </a:xfrm>
                    <a:prstGeom prst="rect">
                      <a:avLst/>
                    </a:prstGeom>
                  </pic:spPr>
                </pic:pic>
              </a:graphicData>
            </a:graphic>
          </wp:inline>
        </w:drawing>
      </w:r>
    </w:p>
    <w:p w14:paraId="1B42B8F8">
      <w:pPr>
        <w:spacing w:before="91" w:line="220" w:lineRule="auto"/>
        <w:jc w:val="both"/>
        <w:rPr>
          <w:rFonts w:hint="default" w:ascii="宋体" w:hAnsi="宋体" w:eastAsia="宋体" w:cs="宋体"/>
          <w:b/>
          <w:bCs/>
          <w:spacing w:val="-6"/>
          <w:sz w:val="28"/>
          <w:szCs w:val="28"/>
          <w:lang w:val="en-US" w:eastAsia="zh-CN"/>
        </w:rPr>
      </w:pPr>
    </w:p>
    <w:p w14:paraId="3022A607">
      <w:pPr>
        <w:spacing w:before="91" w:line="220" w:lineRule="auto"/>
        <w:jc w:val="both"/>
        <w:rPr>
          <w:rFonts w:hint="default" w:ascii="宋体" w:hAnsi="宋体" w:eastAsia="宋体" w:cs="宋体"/>
          <w:b/>
          <w:bCs/>
          <w:spacing w:val="-6"/>
          <w:sz w:val="28"/>
          <w:szCs w:val="28"/>
          <w:lang w:val="en-US" w:eastAsia="zh-CN"/>
        </w:rPr>
      </w:pPr>
    </w:p>
    <w:p w14:paraId="495580A9">
      <w:pPr>
        <w:spacing w:before="91" w:line="220" w:lineRule="auto"/>
        <w:jc w:val="both"/>
        <w:rPr>
          <w:rFonts w:hint="default" w:ascii="宋体" w:hAnsi="宋体" w:eastAsia="宋体" w:cs="宋体"/>
          <w:b/>
          <w:bCs/>
          <w:spacing w:val="-6"/>
          <w:sz w:val="28"/>
          <w:szCs w:val="28"/>
          <w:lang w:val="en-US" w:eastAsia="zh-CN"/>
        </w:rPr>
      </w:pPr>
    </w:p>
    <w:p w14:paraId="7C7CF1FF">
      <w:pPr>
        <w:spacing w:before="91" w:line="220" w:lineRule="auto"/>
        <w:jc w:val="both"/>
        <w:rPr>
          <w:rFonts w:hint="default" w:ascii="宋体" w:hAnsi="宋体" w:eastAsia="宋体" w:cs="宋体"/>
          <w:b/>
          <w:bCs/>
          <w:spacing w:val="-6"/>
          <w:sz w:val="28"/>
          <w:szCs w:val="28"/>
          <w:lang w:val="en-US" w:eastAsia="zh-CN"/>
        </w:rPr>
      </w:pPr>
    </w:p>
    <w:p w14:paraId="7329462F">
      <w:pPr>
        <w:numPr>
          <w:ilvl w:val="0"/>
          <w:numId w:val="2"/>
        </w:numPr>
        <w:spacing w:before="91" w:line="221" w:lineRule="auto"/>
        <w:jc w:val="center"/>
        <w:outlineLvl w:val="0"/>
        <w:rPr>
          <w:rFonts w:hint="eastAsia" w:ascii="宋体" w:hAnsi="宋体" w:eastAsia="宋体" w:cs="宋体"/>
          <w:b/>
          <w:bCs/>
          <w:snapToGrid w:val="0"/>
          <w:color w:val="000000"/>
          <w:spacing w:val="-7"/>
          <w:kern w:val="0"/>
          <w:sz w:val="28"/>
          <w:szCs w:val="28"/>
          <w:lang w:val="en-US" w:eastAsia="zh-CN" w:bidi="ar-SA"/>
        </w:rPr>
      </w:pPr>
      <w:r>
        <w:rPr>
          <w:rFonts w:hint="eastAsia" w:ascii="宋体" w:hAnsi="宋体" w:eastAsia="宋体" w:cs="宋体"/>
          <w:b/>
          <w:bCs/>
          <w:snapToGrid w:val="0"/>
          <w:color w:val="000000"/>
          <w:spacing w:val="-7"/>
          <w:kern w:val="0"/>
          <w:sz w:val="28"/>
          <w:szCs w:val="28"/>
          <w:lang w:val="en-US" w:eastAsia="zh-CN" w:bidi="ar-SA"/>
        </w:rPr>
        <w:t>总结与展望(待整合)</w:t>
      </w:r>
    </w:p>
    <w:p w14:paraId="7A4AEE8A">
      <w:pPr>
        <w:spacing w:before="91" w:line="220" w:lineRule="auto"/>
        <w:jc w:val="both"/>
        <w:rPr>
          <w:rFonts w:hint="default" w:ascii="宋体" w:hAnsi="宋体" w:eastAsia="宋体" w:cs="宋体"/>
          <w:b/>
          <w:bCs/>
          <w:spacing w:val="-6"/>
          <w:sz w:val="28"/>
          <w:szCs w:val="28"/>
          <w:lang w:val="en-US" w:eastAsia="zh-CN"/>
        </w:rPr>
      </w:pPr>
    </w:p>
    <w:p w14:paraId="74692F08">
      <w:pPr>
        <w:spacing w:before="91" w:line="220" w:lineRule="auto"/>
        <w:jc w:val="both"/>
        <w:rPr>
          <w:rFonts w:hint="default" w:ascii="宋体" w:hAnsi="宋体" w:eastAsia="宋体" w:cs="宋体"/>
          <w:b/>
          <w:bCs/>
          <w:spacing w:val="-6"/>
          <w:sz w:val="28"/>
          <w:szCs w:val="28"/>
          <w:lang w:val="en-US" w:eastAsia="zh-CN"/>
        </w:rPr>
      </w:pPr>
    </w:p>
    <w:p w14:paraId="21C137FE">
      <w:pPr>
        <w:spacing w:before="91" w:line="220" w:lineRule="auto"/>
        <w:jc w:val="both"/>
        <w:rPr>
          <w:rFonts w:hint="default" w:ascii="宋体" w:hAnsi="宋体" w:eastAsia="宋体" w:cs="宋体"/>
          <w:b/>
          <w:bCs/>
          <w:spacing w:val="-6"/>
          <w:sz w:val="28"/>
          <w:szCs w:val="28"/>
          <w:lang w:val="en-US" w:eastAsia="zh-CN"/>
        </w:rPr>
      </w:pPr>
    </w:p>
    <w:p w14:paraId="36061740">
      <w:pPr>
        <w:spacing w:before="91" w:line="220" w:lineRule="auto"/>
        <w:jc w:val="both"/>
        <w:rPr>
          <w:rFonts w:hint="default" w:ascii="宋体" w:hAnsi="宋体" w:eastAsia="宋体" w:cs="宋体"/>
          <w:b/>
          <w:bCs/>
          <w:spacing w:val="-6"/>
          <w:sz w:val="28"/>
          <w:szCs w:val="28"/>
          <w:lang w:val="en-US" w:eastAsia="zh-CN"/>
        </w:rPr>
      </w:pPr>
    </w:p>
    <w:p w14:paraId="02CCCD8F">
      <w:pPr>
        <w:spacing w:before="91" w:line="220" w:lineRule="auto"/>
        <w:jc w:val="both"/>
        <w:rPr>
          <w:rFonts w:hint="default" w:ascii="宋体" w:hAnsi="宋体" w:eastAsia="宋体" w:cs="宋体"/>
          <w:b/>
          <w:bCs/>
          <w:spacing w:val="-6"/>
          <w:sz w:val="28"/>
          <w:szCs w:val="28"/>
          <w:lang w:val="en-US" w:eastAsia="zh-CN"/>
        </w:rPr>
      </w:pPr>
    </w:p>
    <w:p w14:paraId="4D69B9E3">
      <w:pPr>
        <w:spacing w:before="91" w:line="220" w:lineRule="auto"/>
        <w:jc w:val="both"/>
        <w:rPr>
          <w:rFonts w:hint="default" w:ascii="宋体" w:hAnsi="宋体" w:eastAsia="宋体" w:cs="宋体"/>
          <w:b/>
          <w:bCs/>
          <w:spacing w:val="-6"/>
          <w:sz w:val="28"/>
          <w:szCs w:val="28"/>
          <w:lang w:val="en-US" w:eastAsia="zh-CN"/>
        </w:rPr>
      </w:pPr>
    </w:p>
    <w:p w14:paraId="7429E1EC">
      <w:pPr>
        <w:spacing w:before="91" w:line="220" w:lineRule="auto"/>
        <w:jc w:val="both"/>
        <w:rPr>
          <w:rFonts w:hint="default" w:ascii="宋体" w:hAnsi="宋体" w:eastAsia="宋体" w:cs="宋体"/>
          <w:b/>
          <w:bCs/>
          <w:spacing w:val="-6"/>
          <w:sz w:val="28"/>
          <w:szCs w:val="28"/>
          <w:lang w:val="en-US" w:eastAsia="zh-CN"/>
        </w:rPr>
      </w:pPr>
    </w:p>
    <w:p w14:paraId="0F59CFC2">
      <w:pPr>
        <w:spacing w:before="91" w:line="220" w:lineRule="auto"/>
        <w:jc w:val="both"/>
        <w:rPr>
          <w:rFonts w:hint="default" w:ascii="宋体" w:hAnsi="宋体" w:eastAsia="宋体" w:cs="宋体"/>
          <w:b/>
          <w:bCs/>
          <w:spacing w:val="-6"/>
          <w:sz w:val="28"/>
          <w:szCs w:val="28"/>
          <w:lang w:val="en-US" w:eastAsia="zh-CN"/>
        </w:rPr>
      </w:pPr>
    </w:p>
    <w:p w14:paraId="469428BB">
      <w:pPr>
        <w:spacing w:before="91" w:line="220" w:lineRule="auto"/>
        <w:jc w:val="both"/>
        <w:rPr>
          <w:rFonts w:hint="default" w:ascii="宋体" w:hAnsi="宋体" w:eastAsia="宋体" w:cs="宋体"/>
          <w:b/>
          <w:bCs/>
          <w:spacing w:val="-6"/>
          <w:sz w:val="28"/>
          <w:szCs w:val="28"/>
          <w:lang w:val="en-US" w:eastAsia="zh-CN"/>
        </w:rPr>
      </w:pPr>
    </w:p>
    <w:p w14:paraId="08585A52">
      <w:pPr>
        <w:spacing w:before="91" w:line="220" w:lineRule="auto"/>
        <w:jc w:val="both"/>
        <w:rPr>
          <w:rFonts w:hint="default" w:ascii="宋体" w:hAnsi="宋体" w:eastAsia="宋体" w:cs="宋体"/>
          <w:b/>
          <w:bCs/>
          <w:spacing w:val="-6"/>
          <w:sz w:val="28"/>
          <w:szCs w:val="28"/>
          <w:lang w:val="en-US" w:eastAsia="zh-CN"/>
        </w:rPr>
      </w:pPr>
    </w:p>
    <w:p w14:paraId="31DF53F6">
      <w:pPr>
        <w:spacing w:before="91" w:line="220" w:lineRule="auto"/>
        <w:jc w:val="both"/>
        <w:rPr>
          <w:rFonts w:hint="default" w:ascii="宋体" w:hAnsi="宋体" w:eastAsia="宋体" w:cs="宋体"/>
          <w:b/>
          <w:bCs/>
          <w:spacing w:val="-6"/>
          <w:sz w:val="28"/>
          <w:szCs w:val="28"/>
          <w:lang w:val="en-US" w:eastAsia="zh-CN"/>
        </w:rPr>
      </w:pPr>
    </w:p>
    <w:p w14:paraId="3AD4537A">
      <w:pPr>
        <w:spacing w:before="91" w:line="220" w:lineRule="auto"/>
        <w:jc w:val="both"/>
        <w:rPr>
          <w:rFonts w:hint="default" w:ascii="宋体" w:hAnsi="宋体" w:eastAsia="宋体" w:cs="宋体"/>
          <w:b/>
          <w:bCs/>
          <w:spacing w:val="-6"/>
          <w:sz w:val="28"/>
          <w:szCs w:val="28"/>
          <w:lang w:val="en-US" w:eastAsia="zh-CN"/>
        </w:rPr>
      </w:pPr>
    </w:p>
    <w:p w14:paraId="15D48059">
      <w:pPr>
        <w:spacing w:before="91" w:line="220" w:lineRule="auto"/>
        <w:jc w:val="both"/>
        <w:rPr>
          <w:rFonts w:hint="default" w:ascii="宋体" w:hAnsi="宋体" w:eastAsia="宋体" w:cs="宋体"/>
          <w:b/>
          <w:bCs/>
          <w:spacing w:val="-6"/>
          <w:sz w:val="28"/>
          <w:szCs w:val="28"/>
          <w:lang w:val="en-US" w:eastAsia="zh-CN"/>
        </w:rPr>
      </w:pPr>
    </w:p>
    <w:p w14:paraId="03578843">
      <w:pPr>
        <w:spacing w:before="91" w:line="220" w:lineRule="auto"/>
        <w:jc w:val="both"/>
        <w:rPr>
          <w:rFonts w:hint="default" w:ascii="宋体" w:hAnsi="宋体" w:eastAsia="宋体" w:cs="宋体"/>
          <w:b/>
          <w:bCs/>
          <w:spacing w:val="-6"/>
          <w:sz w:val="28"/>
          <w:szCs w:val="28"/>
          <w:lang w:val="en-US" w:eastAsia="zh-CN"/>
        </w:rPr>
      </w:pPr>
    </w:p>
    <w:p w14:paraId="512177C1">
      <w:pPr>
        <w:spacing w:before="91" w:line="220" w:lineRule="auto"/>
        <w:jc w:val="both"/>
        <w:rPr>
          <w:rFonts w:hint="default" w:ascii="宋体" w:hAnsi="宋体" w:eastAsia="宋体" w:cs="宋体"/>
          <w:b/>
          <w:bCs/>
          <w:spacing w:val="-6"/>
          <w:sz w:val="28"/>
          <w:szCs w:val="28"/>
          <w:lang w:val="en-US" w:eastAsia="zh-CN"/>
        </w:rPr>
      </w:pPr>
    </w:p>
    <w:p w14:paraId="0DAD542C">
      <w:pPr>
        <w:spacing w:before="91" w:line="220" w:lineRule="auto"/>
        <w:jc w:val="both"/>
        <w:rPr>
          <w:rFonts w:hint="default" w:ascii="宋体" w:hAnsi="宋体" w:eastAsia="宋体" w:cs="宋体"/>
          <w:b/>
          <w:bCs/>
          <w:spacing w:val="-6"/>
          <w:sz w:val="28"/>
          <w:szCs w:val="28"/>
          <w:lang w:val="en-US" w:eastAsia="zh-CN"/>
        </w:rPr>
      </w:pPr>
    </w:p>
    <w:p w14:paraId="2457F920">
      <w:pPr>
        <w:spacing w:before="91" w:line="220" w:lineRule="auto"/>
        <w:jc w:val="both"/>
        <w:rPr>
          <w:rFonts w:hint="default" w:ascii="宋体" w:hAnsi="宋体" w:eastAsia="宋体" w:cs="宋体"/>
          <w:b/>
          <w:bCs/>
          <w:spacing w:val="-6"/>
          <w:sz w:val="28"/>
          <w:szCs w:val="28"/>
          <w:lang w:val="en-US" w:eastAsia="zh-CN"/>
        </w:rPr>
      </w:pPr>
    </w:p>
    <w:p w14:paraId="703AD769">
      <w:pPr>
        <w:spacing w:before="91" w:line="220" w:lineRule="auto"/>
        <w:jc w:val="both"/>
        <w:rPr>
          <w:rFonts w:hint="default" w:ascii="宋体" w:hAnsi="宋体" w:eastAsia="宋体" w:cs="宋体"/>
          <w:b/>
          <w:bCs/>
          <w:spacing w:val="-6"/>
          <w:sz w:val="28"/>
          <w:szCs w:val="28"/>
          <w:lang w:val="en-US" w:eastAsia="zh-CN"/>
        </w:rPr>
      </w:pPr>
    </w:p>
    <w:p w14:paraId="52E3AB0C">
      <w:pPr>
        <w:spacing w:before="91" w:line="220" w:lineRule="auto"/>
        <w:jc w:val="both"/>
        <w:rPr>
          <w:rFonts w:hint="default" w:ascii="宋体" w:hAnsi="宋体" w:eastAsia="宋体" w:cs="宋体"/>
          <w:b/>
          <w:bCs/>
          <w:spacing w:val="-6"/>
          <w:sz w:val="28"/>
          <w:szCs w:val="28"/>
          <w:lang w:val="en-US" w:eastAsia="zh-CN"/>
        </w:rPr>
      </w:pPr>
    </w:p>
    <w:p w14:paraId="5A8088A7">
      <w:pPr>
        <w:spacing w:before="91" w:line="220" w:lineRule="auto"/>
        <w:jc w:val="both"/>
        <w:rPr>
          <w:rFonts w:hint="default" w:ascii="宋体" w:hAnsi="宋体" w:eastAsia="宋体" w:cs="宋体"/>
          <w:b/>
          <w:bCs/>
          <w:spacing w:val="-6"/>
          <w:sz w:val="28"/>
          <w:szCs w:val="28"/>
          <w:lang w:val="en-US" w:eastAsia="zh-CN"/>
        </w:rPr>
      </w:pPr>
    </w:p>
    <w:p w14:paraId="74B5F45D">
      <w:pPr>
        <w:spacing w:before="91" w:line="220" w:lineRule="auto"/>
        <w:jc w:val="both"/>
        <w:rPr>
          <w:rFonts w:hint="default" w:ascii="宋体" w:hAnsi="宋体" w:eastAsia="宋体" w:cs="宋体"/>
          <w:b/>
          <w:bCs/>
          <w:spacing w:val="-6"/>
          <w:sz w:val="28"/>
          <w:szCs w:val="28"/>
          <w:lang w:val="en-US" w:eastAsia="zh-CN"/>
        </w:rPr>
      </w:pPr>
    </w:p>
    <w:p w14:paraId="746069C3">
      <w:pPr>
        <w:spacing w:before="91" w:line="220" w:lineRule="auto"/>
        <w:jc w:val="both"/>
        <w:rPr>
          <w:rFonts w:hint="default" w:ascii="宋体" w:hAnsi="宋体" w:eastAsia="宋体" w:cs="宋体"/>
          <w:b/>
          <w:bCs/>
          <w:spacing w:val="-6"/>
          <w:sz w:val="28"/>
          <w:szCs w:val="28"/>
          <w:lang w:val="en-US" w:eastAsia="zh-CN"/>
        </w:rPr>
      </w:pPr>
    </w:p>
    <w:p w14:paraId="01A8C99A">
      <w:pPr>
        <w:spacing w:before="91" w:line="220" w:lineRule="auto"/>
        <w:jc w:val="both"/>
        <w:rPr>
          <w:rFonts w:hint="default" w:ascii="宋体" w:hAnsi="宋体" w:eastAsia="宋体" w:cs="宋体"/>
          <w:b/>
          <w:bCs/>
          <w:spacing w:val="-6"/>
          <w:sz w:val="28"/>
          <w:szCs w:val="28"/>
          <w:lang w:val="en-US" w:eastAsia="zh-CN"/>
        </w:rPr>
      </w:pPr>
    </w:p>
    <w:p w14:paraId="0A806F16">
      <w:pPr>
        <w:spacing w:before="91" w:line="220" w:lineRule="auto"/>
        <w:jc w:val="both"/>
        <w:rPr>
          <w:rFonts w:hint="default" w:ascii="宋体" w:hAnsi="宋体" w:eastAsia="宋体" w:cs="宋体"/>
          <w:b/>
          <w:bCs/>
          <w:spacing w:val="-6"/>
          <w:sz w:val="28"/>
          <w:szCs w:val="28"/>
          <w:lang w:val="en-US" w:eastAsia="zh-CN"/>
        </w:rPr>
      </w:pPr>
    </w:p>
    <w:p w14:paraId="3A4F9D1C">
      <w:pPr>
        <w:spacing w:before="91" w:line="220" w:lineRule="auto"/>
        <w:jc w:val="both"/>
        <w:rPr>
          <w:rFonts w:hint="default" w:ascii="宋体" w:hAnsi="宋体" w:eastAsia="宋体" w:cs="宋体"/>
          <w:b/>
          <w:bCs/>
          <w:spacing w:val="-6"/>
          <w:sz w:val="28"/>
          <w:szCs w:val="28"/>
          <w:lang w:val="en-US" w:eastAsia="zh-CN"/>
        </w:rPr>
      </w:pPr>
    </w:p>
    <w:p w14:paraId="0C1EFCCA">
      <w:pPr>
        <w:spacing w:before="91" w:line="220" w:lineRule="auto"/>
        <w:jc w:val="both"/>
        <w:rPr>
          <w:rFonts w:hint="default" w:ascii="宋体" w:hAnsi="宋体" w:eastAsia="宋体" w:cs="宋体"/>
          <w:b/>
          <w:bCs/>
          <w:spacing w:val="-6"/>
          <w:sz w:val="28"/>
          <w:szCs w:val="28"/>
          <w:lang w:val="en-US" w:eastAsia="zh-CN"/>
        </w:rPr>
      </w:pPr>
    </w:p>
    <w:p w14:paraId="7FBD533A">
      <w:pPr>
        <w:spacing w:before="91" w:line="220" w:lineRule="auto"/>
        <w:jc w:val="both"/>
        <w:rPr>
          <w:rFonts w:hint="default" w:ascii="宋体" w:hAnsi="宋体" w:eastAsia="宋体" w:cs="宋体"/>
          <w:b/>
          <w:bCs/>
          <w:spacing w:val="-6"/>
          <w:sz w:val="28"/>
          <w:szCs w:val="28"/>
          <w:lang w:val="en-US" w:eastAsia="zh-CN"/>
        </w:rPr>
      </w:pPr>
    </w:p>
    <w:p w14:paraId="2C973F26">
      <w:pPr>
        <w:spacing w:before="91" w:line="220" w:lineRule="auto"/>
        <w:jc w:val="both"/>
        <w:rPr>
          <w:rFonts w:hint="default" w:ascii="宋体" w:hAnsi="宋体" w:eastAsia="宋体" w:cs="宋体"/>
          <w:b/>
          <w:bCs/>
          <w:spacing w:val="-6"/>
          <w:sz w:val="28"/>
          <w:szCs w:val="28"/>
          <w:lang w:val="en-US" w:eastAsia="zh-CN"/>
        </w:rPr>
      </w:pPr>
    </w:p>
    <w:p w14:paraId="67368081">
      <w:pPr>
        <w:spacing w:before="91" w:line="220" w:lineRule="auto"/>
        <w:jc w:val="both"/>
        <w:rPr>
          <w:rFonts w:hint="default" w:ascii="宋体" w:hAnsi="宋体" w:eastAsia="宋体" w:cs="宋体"/>
          <w:b/>
          <w:bCs/>
          <w:spacing w:val="-6"/>
          <w:sz w:val="28"/>
          <w:szCs w:val="28"/>
          <w:lang w:val="en-US" w:eastAsia="zh-CN"/>
        </w:rPr>
      </w:pPr>
    </w:p>
    <w:p w14:paraId="3384702E">
      <w:pPr>
        <w:spacing w:before="91" w:line="220" w:lineRule="auto"/>
        <w:jc w:val="both"/>
        <w:rPr>
          <w:rFonts w:hint="default" w:ascii="宋体" w:hAnsi="宋体" w:eastAsia="宋体" w:cs="宋体"/>
          <w:b/>
          <w:bCs/>
          <w:spacing w:val="-6"/>
          <w:sz w:val="28"/>
          <w:szCs w:val="28"/>
          <w:lang w:val="en-US" w:eastAsia="zh-CN"/>
        </w:rPr>
      </w:pPr>
    </w:p>
    <w:p w14:paraId="368C0622">
      <w:pPr>
        <w:spacing w:before="91" w:line="220" w:lineRule="auto"/>
        <w:jc w:val="both"/>
        <w:rPr>
          <w:rFonts w:hint="default" w:ascii="宋体" w:hAnsi="宋体" w:eastAsia="宋体" w:cs="宋体"/>
          <w:b/>
          <w:bCs/>
          <w:spacing w:val="-6"/>
          <w:sz w:val="28"/>
          <w:szCs w:val="28"/>
          <w:lang w:val="en-US" w:eastAsia="zh-CN"/>
        </w:rPr>
      </w:pPr>
      <w:bookmarkStart w:id="0" w:name="_GoBack"/>
      <w:bookmarkEnd w:id="0"/>
    </w:p>
    <w:p w14:paraId="1564A788">
      <w:pPr>
        <w:spacing w:before="91" w:line="220" w:lineRule="auto"/>
        <w:jc w:val="both"/>
        <w:rPr>
          <w:rFonts w:hint="default" w:ascii="宋体" w:hAnsi="宋体" w:eastAsia="宋体" w:cs="宋体"/>
          <w:b/>
          <w:bCs/>
          <w:spacing w:val="-6"/>
          <w:sz w:val="28"/>
          <w:szCs w:val="28"/>
          <w:lang w:val="en-US" w:eastAsia="zh-CN"/>
        </w:rPr>
      </w:pPr>
    </w:p>
    <w:p w14:paraId="4159A076">
      <w:pPr>
        <w:spacing w:before="91" w:line="220" w:lineRule="auto"/>
        <w:jc w:val="center"/>
        <w:rPr>
          <w:rFonts w:ascii="宋体" w:hAnsi="宋体" w:eastAsia="宋体" w:cs="宋体"/>
          <w:b/>
          <w:bCs/>
          <w:spacing w:val="-6"/>
          <w:sz w:val="28"/>
          <w:szCs w:val="28"/>
        </w:rPr>
      </w:pPr>
      <w:r>
        <w:rPr>
          <w:rFonts w:hint="default" w:ascii="宋体" w:hAnsi="宋体" w:eastAsia="宋体" w:cs="宋体"/>
          <w:b/>
          <w:bCs/>
          <w:spacing w:val="-6"/>
          <w:sz w:val="28"/>
          <w:szCs w:val="28"/>
          <w:lang w:val="en-US" w:eastAsia="zh-CN"/>
        </w:rPr>
        <w:t>参考文献</w:t>
      </w:r>
    </w:p>
    <w:p w14:paraId="207CD9CC">
      <w:pPr>
        <w:keepNext w:val="0"/>
        <w:keepLines w:val="0"/>
        <w:widowControl/>
        <w:numPr>
          <w:ilvl w:val="0"/>
          <w:numId w:val="3"/>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Blakesley, James C., George Koutsourakis, Daniel E. Parsons, Natalie A. Mica, Suhas Balasubramanyam, and Mark G. Russell. "Sourcing Albedo Data for Bifacial PV Systems in Complex Landscapes." Solar Energy 266 (2023): 112144.,,.</w:t>
      </w:r>
    </w:p>
    <w:p w14:paraId="5A36F8FD">
      <w:pPr>
        <w:keepNext w:val="0"/>
        <w:keepLines w:val="0"/>
        <w:widowControl/>
        <w:numPr>
          <w:ilvl w:val="0"/>
          <w:numId w:val="3"/>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Dimd, Berhane Darsene, Alfredo Sanchez Garcia, and Martin Bellmann. "Empirical Analysis of Bifacial Photovoltaic Modules in High-Latitude Regions: Performance Insights from a Field Laboratory in Norway." Energy Conversion and Management 325 (2025): 119396.,,.</w:t>
      </w:r>
    </w:p>
    <w:p w14:paraId="06BA70DD">
      <w:pPr>
        <w:keepNext w:val="0"/>
        <w:keepLines w:val="0"/>
        <w:widowControl/>
        <w:numPr>
          <w:ilvl w:val="0"/>
          <w:numId w:val="3"/>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Hayibo, Koami Soulemane, Aliaksei Petsiuk, Pierce Mayville, Laura Brown, and Joshua M. Pearce. "Monofacial vs Bifacial Solar Photovoltaic Systems in Snowy Environments." Renewable Energy 193 (2022): 657–68.,,.</w:t>
      </w:r>
    </w:p>
    <w:p w14:paraId="529F34BA">
      <w:pPr>
        <w:keepNext w:val="0"/>
        <w:keepLines w:val="0"/>
        <w:widowControl/>
        <w:numPr>
          <w:ilvl w:val="0"/>
          <w:numId w:val="3"/>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Øgaard, Mari B., Bjørn L. Aarseth, Åsmund F. Skomedal, Heine N. Riise, Sabrina Sartori, and Josefine H. Selj. "Identifying Snow in Photovoltaic Monitoring Data for Improved Snow Loss Modeling and Snow Detection." Solar Energy 223 (2021): 238–47.,,.</w:t>
      </w:r>
    </w:p>
    <w:p w14:paraId="0125C5F2">
      <w:pPr>
        <w:keepNext w:val="0"/>
        <w:keepLines w:val="0"/>
        <w:widowControl/>
        <w:numPr>
          <w:ilvl w:val="0"/>
          <w:numId w:val="3"/>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Riedel-Lyngskær, Nicholas, Martynas Ribaconka, Mário Pó, Anders Thorseth, Sune Thorsteinsson, Carsten Dam-Hansen, and Michael L. Jakobsen. "The Effect of Spectral Albedo in Bifacial Photovoltaic Performance." Solar Energy 231 (2022): 921–35.,,.</w:t>
      </w:r>
    </w:p>
    <w:p w14:paraId="465927A2">
      <w:pPr>
        <w:keepNext w:val="0"/>
        <w:keepLines w:val="0"/>
        <w:widowControl/>
        <w:numPr>
          <w:ilvl w:val="0"/>
          <w:numId w:val="3"/>
        </w:numPr>
        <w:suppressLineNumbers w:val="0"/>
        <w:spacing w:before="0" w:beforeAutospacing="1" w:after="0" w:afterAutospacing="1"/>
        <w:ind w:left="720" w:hanging="360"/>
        <w:rPr>
          <w:rFonts w:hint="eastAsia" w:ascii="方正公文楷体" w:hAnsi="方正公文楷体" w:eastAsia="方正公文楷体" w:cs="方正公文楷体"/>
          <w:spacing w:val="0"/>
          <w:sz w:val="21"/>
          <w:szCs w:val="21"/>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Zhang, Xinyi, and Mohamad T. Araji. "Snow Loss Modeling for Solar Modules Using Image Processing and Deep Learning." </w:t>
      </w:r>
      <w:r>
        <w:rPr>
          <w:rFonts w:hint="eastAsia" w:ascii="方正公文楷体" w:hAnsi="方正公文楷体" w:eastAsia="方正公文楷体" w:cs="方正公文楷体"/>
          <w:caps w:val="0"/>
          <w:color w:val="303030"/>
          <w:spacing w:val="0"/>
          <w:sz w:val="21"/>
          <w:szCs w:val="21"/>
          <w:shd w:val="clear" w:fill="FFFFFF"/>
        </w:rPr>
        <w:t>Sustainable Energy, Grids and Networks</w:t>
      </w:r>
      <w:r>
        <w:rPr>
          <w:rFonts w:hint="eastAsia" w:ascii="方正公文楷体" w:hAnsi="方正公文楷体" w:eastAsia="方正公文楷体" w:cs="方正公文楷体"/>
          <w:i w:val="0"/>
          <w:iCs w:val="0"/>
          <w:caps w:val="0"/>
          <w:color w:val="303030"/>
          <w:spacing w:val="0"/>
          <w:sz w:val="21"/>
          <w:szCs w:val="21"/>
          <w:shd w:val="clear" w:fill="FFFFFF"/>
        </w:rPr>
        <w:t xml:space="preserve"> 34 (2023): 101036.,,.</w:t>
      </w:r>
    </w:p>
    <w:p w14:paraId="51F032F6">
      <w:pPr>
        <w:keepNext w:val="0"/>
        <w:keepLines w:val="0"/>
        <w:widowControl/>
        <w:numPr>
          <w:ilvl w:val="0"/>
          <w:numId w:val="3"/>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Ziar H. A global statistical assessment of designing silicon-based solar cells for geographical markets[J]. Joule, 2024, 8: 1667-1690. https://doi.org/10.1016/j.joule.2024.02.023</w:t>
      </w:r>
    </w:p>
    <w:p w14:paraId="39F1FE23">
      <w:pPr>
        <w:keepNext w:val="0"/>
        <w:keepLines w:val="0"/>
        <w:widowControl/>
        <w:numPr>
          <w:ilvl w:val="0"/>
          <w:numId w:val="3"/>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Zhang X, Li J, Wang Y, et al. Defect passivation in tin-lead perovskite solar cells for improved open-circuit voltage[J]. Scientific Reports, 2020, 10: 65437. https://doi.org/10.1038/s41598-020-65437-8</w:t>
      </w:r>
    </w:p>
    <w:p w14:paraId="2F6537DF">
      <w:pPr>
        <w:keepNext w:val="0"/>
        <w:keepLines w:val="0"/>
        <w:widowControl/>
        <w:numPr>
          <w:ilvl w:val="0"/>
          <w:numId w:val="3"/>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Liu H, Chen C, Zhang Q, et al. Surface ligand engineering of CsPbI₃ quantum dots for enhanced photostability[J]. Scientific Reports, 2020, 10: 70235. https://doi.org/10.1038/s41598-020-70235-3</w:t>
      </w:r>
    </w:p>
    <w:p w14:paraId="730B4089">
      <w:pPr>
        <w:keepNext w:val="0"/>
        <w:keepLines w:val="0"/>
        <w:widowControl/>
        <w:numPr>
          <w:ilvl w:val="0"/>
          <w:numId w:val="3"/>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Wang L, Zhao Y, Li H, et al. Non-fullerene acceptors for high-efficiency organic photovoltaics[J]. Scientific Reports, 2024, 14: 68531. https://doi.org/10.1038/s41598-024-68531-3</w:t>
      </w:r>
    </w:p>
    <w:p w14:paraId="659713F4">
      <w:pPr>
        <w:keepNext w:val="0"/>
        <w:keepLines w:val="0"/>
        <w:widowControl/>
        <w:numPr>
          <w:ilvl w:val="0"/>
          <w:numId w:val="3"/>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Chen J, Yang X, Zhang L, et al. Thermal performance of BIPV facades in hot-summer and cold-winter regions[J]. Scientific Reports, 2025, 15: 6830. https://doi.org/10.1038/s41598-025-06830-z</w:t>
      </w:r>
    </w:p>
    <w:p w14:paraId="7624CEE3">
      <w:pPr>
        <w:keepNext w:val="0"/>
        <w:keepLines w:val="0"/>
        <w:widowControl/>
        <w:numPr>
          <w:ilvl w:val="0"/>
          <w:numId w:val="3"/>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Li C, Wang H, Liu J, et al. Salt corrosion resistance of floating PV modules[J]. Scientific Reports, 2025, 15: 87625. https://doi.org/10.1038/s41598-025-87625-0</w:t>
      </w:r>
    </w:p>
    <w:p w14:paraId="7B1A1B7A">
      <w:pPr>
        <w:keepNext w:val="0"/>
        <w:keepLines w:val="0"/>
        <w:widowControl/>
        <w:numPr>
          <w:ilvl w:val="0"/>
          <w:numId w:val="3"/>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Zhao W, Zhang M, Li D, et al. Thin silicon wafers (≤100μm) for cost-effective photovoltaics[J]. Scientific Reports, 2025, 15: 91044. https://doi.org/10.1038/s41598-025-91044-6</w:t>
      </w:r>
    </w:p>
    <w:p w14:paraId="70C391DC">
      <w:pPr>
        <w:keepNext w:val="0"/>
        <w:keepLines w:val="0"/>
        <w:widowControl/>
        <w:numPr>
          <w:ilvl w:val="0"/>
          <w:numId w:val="3"/>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Hu Y, Chen G, Wang Z, et al. Reducing reabsorption loss in quantum dot-based luminescent solar concentrators[J]. Scientific Reports, 2025, 15: 94106. https://doi.org/10.1038/s41598-025-94106-x</w:t>
      </w:r>
    </w:p>
    <w:p w14:paraId="4A9C36A3">
      <w:pPr>
        <w:keepNext w:val="0"/>
        <w:keepLines w:val="0"/>
        <w:widowControl/>
        <w:numPr>
          <w:ilvl w:val="0"/>
          <w:numId w:val="0"/>
        </w:numPr>
        <w:suppressLineNumbers w:val="0"/>
        <w:spacing w:before="0" w:beforeAutospacing="1" w:after="0" w:afterAutospacing="1"/>
        <w:ind w:left="360" w:leftChars="0"/>
        <w:rPr>
          <w:rFonts w:hint="eastAsia" w:ascii="方正公文楷体" w:hAnsi="方正公文楷体" w:eastAsia="方正公文楷体" w:cs="方正公文楷体"/>
          <w:i w:val="0"/>
          <w:iCs w:val="0"/>
          <w:caps w:val="0"/>
          <w:color w:val="303030"/>
          <w:spacing w:val="0"/>
          <w:sz w:val="21"/>
          <w:szCs w:val="21"/>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189EAA29-192A-488A-A9C4-CD7C1897DE4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1AF96E5D-4FCF-402F-A648-F1A7972938B2}"/>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embedRegular r:id="rId3" w:fontKey="{B8E7ED90-2FCD-467D-A5D9-5300998E942B}"/>
  </w:font>
  <w:font w:name="华文楷体">
    <w:panose1 w:val="02010600040101010101"/>
    <w:charset w:val="86"/>
    <w:family w:val="auto"/>
    <w:pitch w:val="default"/>
    <w:sig w:usb0="00000287" w:usb1="080F0000" w:usb2="00000000" w:usb3="00000000" w:csb0="0004009F" w:csb1="DFD70000"/>
    <w:embedRegular r:id="rId4" w:fontKey="{C47F4743-9C83-4F9D-80F8-ED0D3503C18B}"/>
  </w:font>
  <w:font w:name="Consolas">
    <w:panose1 w:val="020B0609020204030204"/>
    <w:charset w:val="00"/>
    <w:family w:val="auto"/>
    <w:pitch w:val="default"/>
    <w:sig w:usb0="E00006FF" w:usb1="0000FCFF" w:usb2="00000001" w:usb3="00000000" w:csb0="6000019F" w:csb1="DFD70000"/>
    <w:embedRegular r:id="rId5" w:fontKey="{6339A5C2-115C-43DC-9948-6879317CA0C3}"/>
  </w:font>
  <w:font w:name="方正公文楷体">
    <w:panose1 w:val="02000500000000000000"/>
    <w:charset w:val="86"/>
    <w:family w:val="auto"/>
    <w:pitch w:val="default"/>
    <w:sig w:usb0="A00002BF" w:usb1="38CF7CFA" w:usb2="00000016" w:usb3="00000000" w:csb0="00040001" w:csb1="00000000"/>
    <w:embedRegular r:id="rId6" w:fontKey="{FFD7948C-58EA-434E-86F1-436A59D0F49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98601E"/>
    <w:multiLevelType w:val="multilevel"/>
    <w:tmpl w:val="2B9860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9638AA9"/>
    <w:multiLevelType w:val="singleLevel"/>
    <w:tmpl w:val="49638AA9"/>
    <w:lvl w:ilvl="0" w:tentative="0">
      <w:start w:val="2"/>
      <w:numFmt w:val="decimal"/>
      <w:lvlText w:val="%1."/>
      <w:lvlJc w:val="left"/>
      <w:pPr>
        <w:tabs>
          <w:tab w:val="left" w:pos="312"/>
        </w:tabs>
      </w:pPr>
    </w:lvl>
  </w:abstractNum>
  <w:abstractNum w:abstractNumId="2">
    <w:nsid w:val="7AA5F609"/>
    <w:multiLevelType w:val="singleLevel"/>
    <w:tmpl w:val="7AA5F609"/>
    <w:lvl w:ilvl="0" w:tentative="0">
      <w:start w:val="3"/>
      <w:numFmt w:val="chineseCounting"/>
      <w:lvlText w:val="%1."/>
      <w:lvlJc w:val="left"/>
      <w:pPr>
        <w:tabs>
          <w:tab w:val="left" w:pos="312"/>
        </w:tabs>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C0DF2"/>
    <w:rsid w:val="00981AB2"/>
    <w:rsid w:val="015920E6"/>
    <w:rsid w:val="01CE1272"/>
    <w:rsid w:val="02E77B5B"/>
    <w:rsid w:val="034D3112"/>
    <w:rsid w:val="03E07A24"/>
    <w:rsid w:val="04277401"/>
    <w:rsid w:val="04710602"/>
    <w:rsid w:val="04814D63"/>
    <w:rsid w:val="05ED01D7"/>
    <w:rsid w:val="060E19D4"/>
    <w:rsid w:val="07017328"/>
    <w:rsid w:val="079052BE"/>
    <w:rsid w:val="08B767EB"/>
    <w:rsid w:val="0957472D"/>
    <w:rsid w:val="0AB100FE"/>
    <w:rsid w:val="0B673593"/>
    <w:rsid w:val="0CC675E4"/>
    <w:rsid w:val="0D2210AE"/>
    <w:rsid w:val="0D8458C4"/>
    <w:rsid w:val="0E15651D"/>
    <w:rsid w:val="0E484B44"/>
    <w:rsid w:val="0FB57FB7"/>
    <w:rsid w:val="110012CD"/>
    <w:rsid w:val="12B94041"/>
    <w:rsid w:val="14495172"/>
    <w:rsid w:val="147246C9"/>
    <w:rsid w:val="14EF637E"/>
    <w:rsid w:val="154F67B8"/>
    <w:rsid w:val="15757437"/>
    <w:rsid w:val="1585667E"/>
    <w:rsid w:val="15CE1DD3"/>
    <w:rsid w:val="15E96C0C"/>
    <w:rsid w:val="160A01D1"/>
    <w:rsid w:val="163B52FF"/>
    <w:rsid w:val="165E4F6A"/>
    <w:rsid w:val="16AE5760"/>
    <w:rsid w:val="16F94C2D"/>
    <w:rsid w:val="17C214C3"/>
    <w:rsid w:val="1AB1474E"/>
    <w:rsid w:val="1BA3160C"/>
    <w:rsid w:val="1C5805BC"/>
    <w:rsid w:val="1E081BFA"/>
    <w:rsid w:val="1E1E4F79"/>
    <w:rsid w:val="1E605592"/>
    <w:rsid w:val="1F1A47DF"/>
    <w:rsid w:val="1F30765A"/>
    <w:rsid w:val="1F574BE7"/>
    <w:rsid w:val="1F845C8A"/>
    <w:rsid w:val="200A1C59"/>
    <w:rsid w:val="203B66A0"/>
    <w:rsid w:val="21602400"/>
    <w:rsid w:val="21BF054D"/>
    <w:rsid w:val="22852AC0"/>
    <w:rsid w:val="23405992"/>
    <w:rsid w:val="23CE7442"/>
    <w:rsid w:val="25253091"/>
    <w:rsid w:val="26217CFD"/>
    <w:rsid w:val="26CD1546"/>
    <w:rsid w:val="26D905D7"/>
    <w:rsid w:val="283755B5"/>
    <w:rsid w:val="29553353"/>
    <w:rsid w:val="2BC03B14"/>
    <w:rsid w:val="2CEB2E12"/>
    <w:rsid w:val="2E7C01C6"/>
    <w:rsid w:val="2E8B21B7"/>
    <w:rsid w:val="2E9F3EB4"/>
    <w:rsid w:val="3115220C"/>
    <w:rsid w:val="31B6309F"/>
    <w:rsid w:val="3212499D"/>
    <w:rsid w:val="32701DFC"/>
    <w:rsid w:val="33501C21"/>
    <w:rsid w:val="339F0C19"/>
    <w:rsid w:val="342A3DB8"/>
    <w:rsid w:val="3504046E"/>
    <w:rsid w:val="353D61D5"/>
    <w:rsid w:val="35EB7D37"/>
    <w:rsid w:val="36EC1C61"/>
    <w:rsid w:val="37CC72E3"/>
    <w:rsid w:val="38077679"/>
    <w:rsid w:val="38E2331B"/>
    <w:rsid w:val="3AA65E47"/>
    <w:rsid w:val="3B9117A2"/>
    <w:rsid w:val="3BA7205E"/>
    <w:rsid w:val="3C1852A6"/>
    <w:rsid w:val="3EA66778"/>
    <w:rsid w:val="3EBC460F"/>
    <w:rsid w:val="3FD457B1"/>
    <w:rsid w:val="408152CF"/>
    <w:rsid w:val="40A16174"/>
    <w:rsid w:val="41AD22DE"/>
    <w:rsid w:val="41EA1493"/>
    <w:rsid w:val="42000D07"/>
    <w:rsid w:val="425132C0"/>
    <w:rsid w:val="42517CE6"/>
    <w:rsid w:val="425F396C"/>
    <w:rsid w:val="42703746"/>
    <w:rsid w:val="42FB3958"/>
    <w:rsid w:val="43BB4E95"/>
    <w:rsid w:val="445873A3"/>
    <w:rsid w:val="45E10B02"/>
    <w:rsid w:val="46B547C6"/>
    <w:rsid w:val="486F3408"/>
    <w:rsid w:val="49973CAE"/>
    <w:rsid w:val="4A2C1FD5"/>
    <w:rsid w:val="4A6C6EE9"/>
    <w:rsid w:val="4B6A37B8"/>
    <w:rsid w:val="4BB23021"/>
    <w:rsid w:val="4CA74208"/>
    <w:rsid w:val="4D5F0F87"/>
    <w:rsid w:val="4D9825AC"/>
    <w:rsid w:val="4DD3102D"/>
    <w:rsid w:val="4E1C4782"/>
    <w:rsid w:val="4FC60E49"/>
    <w:rsid w:val="4FEE5DDD"/>
    <w:rsid w:val="51C40D49"/>
    <w:rsid w:val="5233653E"/>
    <w:rsid w:val="52AA6800"/>
    <w:rsid w:val="52B256B5"/>
    <w:rsid w:val="541A3860"/>
    <w:rsid w:val="56327239"/>
    <w:rsid w:val="586C4558"/>
    <w:rsid w:val="58F95A7C"/>
    <w:rsid w:val="591C7D2C"/>
    <w:rsid w:val="59505C28"/>
    <w:rsid w:val="595C637A"/>
    <w:rsid w:val="59B13702"/>
    <w:rsid w:val="59B30690"/>
    <w:rsid w:val="5B4D68C3"/>
    <w:rsid w:val="5B5D7C55"/>
    <w:rsid w:val="5B7001F3"/>
    <w:rsid w:val="5C337866"/>
    <w:rsid w:val="5C6C2D78"/>
    <w:rsid w:val="5C814A76"/>
    <w:rsid w:val="5D3A69D3"/>
    <w:rsid w:val="5D973E25"/>
    <w:rsid w:val="5DE30E18"/>
    <w:rsid w:val="5F372268"/>
    <w:rsid w:val="601B6F8F"/>
    <w:rsid w:val="6071095D"/>
    <w:rsid w:val="613376B9"/>
    <w:rsid w:val="61CD250B"/>
    <w:rsid w:val="62AA45FB"/>
    <w:rsid w:val="6498572D"/>
    <w:rsid w:val="65953340"/>
    <w:rsid w:val="65AD1404"/>
    <w:rsid w:val="66056182"/>
    <w:rsid w:val="665A00E6"/>
    <w:rsid w:val="667165ED"/>
    <w:rsid w:val="66D24120"/>
    <w:rsid w:val="67695573"/>
    <w:rsid w:val="67A13100"/>
    <w:rsid w:val="689478DF"/>
    <w:rsid w:val="68D423D1"/>
    <w:rsid w:val="69733998"/>
    <w:rsid w:val="69990F25"/>
    <w:rsid w:val="6A6E5F0E"/>
    <w:rsid w:val="6A7B707A"/>
    <w:rsid w:val="6A8D2838"/>
    <w:rsid w:val="6B122D3D"/>
    <w:rsid w:val="6B783FE3"/>
    <w:rsid w:val="6C011060"/>
    <w:rsid w:val="6C8163CC"/>
    <w:rsid w:val="6D321474"/>
    <w:rsid w:val="6D4318D3"/>
    <w:rsid w:val="6D547772"/>
    <w:rsid w:val="6D9D7236"/>
    <w:rsid w:val="6DAC0B3C"/>
    <w:rsid w:val="6DF1359C"/>
    <w:rsid w:val="6DF40E20"/>
    <w:rsid w:val="6EF32E85"/>
    <w:rsid w:val="6FD9651F"/>
    <w:rsid w:val="6FFB6495"/>
    <w:rsid w:val="70B44110"/>
    <w:rsid w:val="713C0B14"/>
    <w:rsid w:val="71B2527A"/>
    <w:rsid w:val="732D1E02"/>
    <w:rsid w:val="748A7DE8"/>
    <w:rsid w:val="75575F1C"/>
    <w:rsid w:val="756248C1"/>
    <w:rsid w:val="75AD0232"/>
    <w:rsid w:val="75C335B1"/>
    <w:rsid w:val="75ED6880"/>
    <w:rsid w:val="76045978"/>
    <w:rsid w:val="765B7F10"/>
    <w:rsid w:val="767911C8"/>
    <w:rsid w:val="769D2054"/>
    <w:rsid w:val="76BD5A0C"/>
    <w:rsid w:val="77A64F39"/>
    <w:rsid w:val="7A613399"/>
    <w:rsid w:val="7A85352B"/>
    <w:rsid w:val="7B672C31"/>
    <w:rsid w:val="7C352D2F"/>
    <w:rsid w:val="7C5A4544"/>
    <w:rsid w:val="7D8201F6"/>
    <w:rsid w:val="7E096221"/>
    <w:rsid w:val="7E154BC6"/>
    <w:rsid w:val="7E386B07"/>
    <w:rsid w:val="7E9D794F"/>
    <w:rsid w:val="7F187CBE"/>
    <w:rsid w:val="7F7166CB"/>
    <w:rsid w:val="7F792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28"/>
      <w:szCs w:val="28"/>
      <w:lang w:val="en-US" w:eastAsia="en-US" w:bidi="ar-SA"/>
    </w:rPr>
  </w:style>
  <w:style w:type="paragraph" w:styleId="3">
    <w:name w:val="Normal (Web)"/>
    <w:basedOn w:val="1"/>
    <w:qFormat/>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numbering" Target="numbering.xml"/><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jpe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wmf"/><Relationship Id="rId37" Type="http://schemas.openxmlformats.org/officeDocument/2006/relationships/oleObject" Target="embeddings/oleObject13.bin"/><Relationship Id="rId36" Type="http://schemas.openxmlformats.org/officeDocument/2006/relationships/image" Target="media/image19.wmf"/><Relationship Id="rId35" Type="http://schemas.openxmlformats.org/officeDocument/2006/relationships/oleObject" Target="embeddings/oleObject12.bin"/><Relationship Id="rId34" Type="http://schemas.openxmlformats.org/officeDocument/2006/relationships/image" Target="media/image18.wmf"/><Relationship Id="rId33" Type="http://schemas.openxmlformats.org/officeDocument/2006/relationships/oleObject" Target="embeddings/oleObject11.bin"/><Relationship Id="rId32" Type="http://schemas.openxmlformats.org/officeDocument/2006/relationships/image" Target="media/image17.wmf"/><Relationship Id="rId31" Type="http://schemas.openxmlformats.org/officeDocument/2006/relationships/oleObject" Target="embeddings/oleObject10.bin"/><Relationship Id="rId30" Type="http://schemas.openxmlformats.org/officeDocument/2006/relationships/image" Target="media/image16.wmf"/><Relationship Id="rId3" Type="http://schemas.openxmlformats.org/officeDocument/2006/relationships/footnotes" Target="footnotes.xml"/><Relationship Id="rId29" Type="http://schemas.openxmlformats.org/officeDocument/2006/relationships/oleObject" Target="embeddings/oleObject9.bin"/><Relationship Id="rId28" Type="http://schemas.openxmlformats.org/officeDocument/2006/relationships/image" Target="media/image15.wmf"/><Relationship Id="rId27" Type="http://schemas.openxmlformats.org/officeDocument/2006/relationships/oleObject" Target="embeddings/oleObject8.bin"/><Relationship Id="rId26" Type="http://schemas.openxmlformats.org/officeDocument/2006/relationships/image" Target="media/image14.png"/><Relationship Id="rId25" Type="http://schemas.openxmlformats.org/officeDocument/2006/relationships/image" Target="media/image13.wmf"/><Relationship Id="rId24" Type="http://schemas.openxmlformats.org/officeDocument/2006/relationships/oleObject" Target="embeddings/oleObject7.bin"/><Relationship Id="rId23" Type="http://schemas.openxmlformats.org/officeDocument/2006/relationships/image" Target="media/image12.wmf"/><Relationship Id="rId22" Type="http://schemas.openxmlformats.org/officeDocument/2006/relationships/oleObject" Target="embeddings/oleObject6.bin"/><Relationship Id="rId21" Type="http://schemas.openxmlformats.org/officeDocument/2006/relationships/image" Target="media/image11.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4.bin"/><Relationship Id="rId17" Type="http://schemas.openxmlformats.org/officeDocument/2006/relationships/image" Target="media/image9.wmf"/><Relationship Id="rId16" Type="http://schemas.openxmlformats.org/officeDocument/2006/relationships/oleObject" Target="embeddings/oleObject3.bin"/><Relationship Id="rId15" Type="http://schemas.openxmlformats.org/officeDocument/2006/relationships/image" Target="media/image8.wmf"/><Relationship Id="rId14" Type="http://schemas.openxmlformats.org/officeDocument/2006/relationships/oleObject" Target="embeddings/oleObject2.bin"/><Relationship Id="rId13" Type="http://schemas.openxmlformats.org/officeDocument/2006/relationships/image" Target="media/image7.wmf"/><Relationship Id="rId12" Type="http://schemas.openxmlformats.org/officeDocument/2006/relationships/oleObject" Target="embeddings/oleObject1.bin"/><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5798</Words>
  <Characters>12956</Characters>
  <Lines>0</Lines>
  <Paragraphs>0</Paragraphs>
  <TotalTime>1</TotalTime>
  <ScaleCrop>false</ScaleCrop>
  <LinksUpToDate>false</LinksUpToDate>
  <CharactersWithSpaces>16121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2026-03-29T00:25:00Z</dcterms:created>
  <dc:creator>HUAWEI</dc:creator>
  <cp:lastModifiedBy>王长明</cp:lastModifiedBy>
  <dcterms:modified xsi:type="dcterms:W3CDTF">2026-03-29T02:55:30Z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eyJoZGlkIjoiMzEwNTM5NzYwMDRjMzkwZTVkZjY2ODkwMGIxNGU0OTUiLCJ1c2VySWQiOiI0NTI0NTI3NDgifQ==</vt:lpwstr>
  </property>
  <property fmtid="{D5CDD505-2E9C-101B-9397-08002B2CF9AE}" pid="4" name="ICV">
    <vt:lpwstr>B9F97B3EC7A4475ABA5357250E4FE1F1_12</vt:lpwstr>
  </property>
</Properties>
</file>