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325EB">
      <w:pPr>
        <w:rPr>
          <w:sz w:val="28"/>
          <w:szCs w:val="28"/>
        </w:rPr>
      </w:pPr>
      <w:r>
        <w:rPr>
          <w:rFonts w:hint="eastAsia"/>
          <w:sz w:val="28"/>
          <w:szCs w:val="28"/>
        </w:rPr>
        <w:t>总体思路: 模型计算辐照度考虑光照: 直射+散射(包括反射)</w:t>
      </w:r>
    </w:p>
    <w:p w14:paraId="1162ACFF">
      <w:pPr>
        <w:rPr>
          <w:sz w:val="28"/>
          <w:szCs w:val="28"/>
        </w:rPr>
      </w:pPr>
      <w:r>
        <w:rPr>
          <w:rFonts w:hint="eastAsia"/>
          <w:sz w:val="28"/>
          <w:szCs w:val="28"/>
        </w:rPr>
        <w:t>---- 1.光伏组件直射入射角的计算</w:t>
      </w:r>
    </w:p>
    <w:p w14:paraId="11937999">
      <w:pPr>
        <w:rPr>
          <w:sz w:val="28"/>
          <w:szCs w:val="28"/>
        </w:rPr>
      </w:pPr>
      <w:r>
        <w:rPr>
          <w:rFonts w:hint="eastAsia"/>
          <w:sz w:val="28"/>
          <w:szCs w:val="28"/>
        </w:rPr>
        <w:t>---- 2.结合pvlib库得到南极某地区理论法向直射辐照度与散射辐照度</w:t>
      </w:r>
    </w:p>
    <w:p w14:paraId="7FCC6861">
      <w:pPr>
        <w:rPr>
          <w:rFonts w:hint="eastAsia" w:eastAsiaTheme="minorEastAsia"/>
          <w:sz w:val="28"/>
          <w:szCs w:val="28"/>
          <w:lang w:val="en-US" w:eastAsia="zh-CN"/>
        </w:rPr>
      </w:pPr>
      <w:r>
        <w:rPr>
          <w:rFonts w:hint="eastAsia"/>
          <w:sz w:val="28"/>
          <w:szCs w:val="28"/>
        </w:rPr>
        <w:t>---- 3.年理论辐照度</w:t>
      </w:r>
    </w:p>
    <w:p w14:paraId="3519AE37">
      <w:pPr>
        <w:rPr>
          <w:sz w:val="28"/>
          <w:szCs w:val="28"/>
        </w:rPr>
      </w:pPr>
    </w:p>
    <w:p w14:paraId="353D56E3">
      <w:pPr>
        <w:rPr>
          <w:sz w:val="28"/>
          <w:szCs w:val="28"/>
        </w:rPr>
      </w:pPr>
      <w:r>
        <w:rPr>
          <w:rFonts w:hint="eastAsia"/>
          <w:sz w:val="28"/>
          <w:szCs w:val="28"/>
        </w:rPr>
        <w:t>1.光伏组件直射入射角的计算</w:t>
      </w:r>
    </w:p>
    <w:p w14:paraId="0D3B1351"/>
    <w:p w14:paraId="2E60BD87">
      <w:r>
        <w:drawing>
          <wp:inline distT="0" distB="0" distL="114300" distR="114300">
            <wp:extent cx="2754630" cy="1974850"/>
            <wp:effectExtent l="0" t="0" r="1270" b="6350"/>
            <wp:docPr id="3" name="图片 2" descr="屏幕截图 2025-09-17 21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屏幕截图 2025-09-17 215850"/>
                    <pic:cNvPicPr>
                      <a:picLocks noChangeAspect="1"/>
                    </pic:cNvPicPr>
                  </pic:nvPicPr>
                  <pic:blipFill>
                    <a:blip r:embed="rId4"/>
                    <a:stretch>
                      <a:fillRect/>
                    </a:stretch>
                  </pic:blipFill>
                  <pic:spPr>
                    <a:xfrm>
                      <a:off x="0" y="0"/>
                      <a:ext cx="2754630" cy="1974850"/>
                    </a:xfrm>
                    <a:prstGeom prst="rect">
                      <a:avLst/>
                    </a:prstGeom>
                  </pic:spPr>
                </pic:pic>
              </a:graphicData>
            </a:graphic>
          </wp:inline>
        </w:drawing>
      </w:r>
    </w:p>
    <w:p w14:paraId="5053B93C"/>
    <w:p w14:paraId="36F620CB">
      <w:r>
        <w:rPr>
          <w:rFonts w:hint="eastAsia"/>
        </w:rPr>
        <w:t xml:space="preserve">-&gt;单面直射入射角计算: </w:t>
      </w:r>
    </w:p>
    <w:p w14:paraId="1B54D81A">
      <w:r>
        <w:rPr>
          <w:rFonts w:hint="eastAsia"/>
        </w:rPr>
        <w:t xml:space="preserve">4角度融合: </w:t>
      </w:r>
      <w:r>
        <w:t>太阳俯仰角</w:t>
      </w:r>
      <w:r>
        <w:rPr>
          <w:rFonts w:hint="eastAsia"/>
        </w:rPr>
        <w:t xml:space="preserve"> </w:t>
      </w:r>
      <w:r>
        <w:t>太阳方位角</w:t>
      </w:r>
      <w:r>
        <w:rPr>
          <w:rFonts w:hint="eastAsia"/>
        </w:rPr>
        <w:t xml:space="preserve"> </w:t>
      </w:r>
      <w:r>
        <w:t>光伏板俯仰角</w:t>
      </w:r>
      <w:r>
        <w:rPr>
          <w:rFonts w:hint="eastAsia"/>
        </w:rPr>
        <w:t xml:space="preserve"> </w:t>
      </w:r>
      <w:r>
        <w:t>光伏板方位角</w:t>
      </w:r>
    </w:p>
    <w:p w14:paraId="20F31472">
      <w:r>
        <w:t>cos(入射角) = cos(太阳俯仰角</w:t>
      </w:r>
      <w:r>
        <w:rPr>
          <w:rFonts w:hint="eastAsia"/>
        </w:rPr>
        <w:t xml:space="preserve"> - 光伏板俯仰角</w:t>
      </w:r>
      <w:r>
        <w:t>) * cos(太阳方位角 - 光伏板方位角)</w:t>
      </w:r>
    </w:p>
    <w:p w14:paraId="28641954"/>
    <w:p w14:paraId="232C8309">
      <w:r>
        <w:rPr>
          <w:rFonts w:hint="eastAsia"/>
        </w:rPr>
        <w:t>考虑多面围合的组合方位角计算(assume第一个面方位角是0):</w:t>
      </w:r>
    </w:p>
    <w:p w14:paraId="7DABA9BC">
      <w:r>
        <w:rPr>
          <w:rFonts w:hint="eastAsia"/>
        </w:rPr>
        <w:t xml:space="preserve">第i个面: </w:t>
      </w:r>
    </w:p>
    <w:p w14:paraId="3D9B9DB7">
      <w:r>
        <w:t>cos(入射角i) = cos(太阳俯仰角</w:t>
      </w:r>
      <w:r>
        <w:rPr>
          <w:rFonts w:hint="eastAsia"/>
        </w:rPr>
        <w:t xml:space="preserve"> - 光伏板俯仰角</w:t>
      </w:r>
      <w:r>
        <w:t>) * cos(太阳方位角 - (方位角+360/n * i))</w:t>
      </w:r>
    </w:p>
    <w:p w14:paraId="15FE383F"/>
    <w:p w14:paraId="54C0764B"/>
    <w:p w14:paraId="7686F7EE">
      <w:r>
        <w:rPr>
          <w:rFonts w:hint="eastAsia"/>
          <w:sz w:val="28"/>
          <w:szCs w:val="28"/>
        </w:rPr>
        <w:t>2.结合pvlib库得到南极某地区理论法向直射辐照度与散射辐照度</w:t>
      </w:r>
    </w:p>
    <w:p w14:paraId="32E259C0">
      <w:r>
        <w:t>pvlib库计算直射辐照度</w:t>
      </w:r>
      <w:r>
        <w:rPr>
          <w:rFonts w:hint="eastAsia"/>
        </w:rPr>
        <w:t xml:space="preserve"> 和 给出某地某时刻DNI的方法</w:t>
      </w:r>
      <w:r>
        <w:t>:</w:t>
      </w:r>
    </w:p>
    <w:p w14:paraId="3099F0FE">
      <w:r>
        <w:rPr>
          <w:rFonts w:hint="eastAsia"/>
        </w:rPr>
        <w:t>-&gt; 根据天文学理论推导得到某时刻某地的太阳俯仰角和太阳方位角</w:t>
      </w:r>
    </w:p>
    <w:p w14:paraId="1CBF1CBD">
      <w:pPr>
        <w:rPr>
          <w:b/>
          <w:bCs/>
        </w:rPr>
      </w:pPr>
      <w:r>
        <w:t xml:space="preserve">标准时间 --&gt;  儒略日和儒略世纪数 --&gt; 太阳黄经 太阳赤纬 --&gt; </w:t>
      </w:r>
      <w:r>
        <w:rPr>
          <w:b/>
          <w:bCs/>
        </w:rPr>
        <w:t>太阳俯仰角 太阳方位角</w:t>
      </w:r>
    </w:p>
    <w:p w14:paraId="6ABE37AE"/>
    <w:p w14:paraId="1E6AF0D2">
      <w:r>
        <w:rPr>
          <w:rFonts w:hint="eastAsia"/>
        </w:rPr>
        <w:t>-&gt; 计算某地考虑部分大气与环境因素的</w:t>
      </w:r>
      <w:r>
        <w:rPr>
          <w:rFonts w:hint="eastAsia"/>
          <w:b/>
          <w:bCs/>
        </w:rPr>
        <w:t>DNI - Direct Normal Irradiance</w:t>
      </w:r>
      <w:r>
        <w:rPr>
          <w:rFonts w:hint="eastAsia"/>
        </w:rPr>
        <w:t>(</w:t>
      </w:r>
      <w:r>
        <w:rPr>
          <w:rFonts w:hint="eastAsia"/>
          <w:highlight w:val="cyan"/>
        </w:rPr>
        <w:t>法向</w:t>
      </w:r>
      <w:r>
        <w:rPr>
          <w:rFonts w:hint="eastAsia"/>
          <w:b/>
          <w:bCs/>
          <w:highlight w:val="cyan"/>
          <w:u w:val="single"/>
        </w:rPr>
        <w:t>直射</w:t>
      </w:r>
      <w:r>
        <w:rPr>
          <w:rFonts w:hint="eastAsia"/>
        </w:rPr>
        <w:t>辐照度):</w:t>
      </w:r>
    </w:p>
    <w:p w14:paraId="07A55D44">
      <w:pPr>
        <w:rPr>
          <w:position w:val="-12"/>
        </w:rPr>
      </w:pPr>
      <w:r>
        <w:rPr>
          <w:position w:val="-12"/>
        </w:rPr>
        <w:object>
          <v:shape id="_x0000_i1025" o:spt="75" type="#_x0000_t75" style="height:19pt;width:68pt;" o:ole="t" filled="f" o:preferrelative="t" stroked="f" coordsize="21600,21600">
            <v:path/>
            <v:fill on="f" focussize="0,0"/>
            <v:stroke on="f" joinstyle="miter"/>
            <v:imagedata r:id="rId6" o:title=""/>
            <o:lock v:ext="edit" aspectratio="f"/>
            <w10:wrap type="none"/>
            <w10:anchorlock/>
          </v:shape>
          <o:OLEObject Type="Embed" ProgID="Equation.DSMT4" ShapeID="_x0000_i1025" DrawAspect="Content" ObjectID="_1468075725" r:id="rId5">
            <o:LockedField>false</o:LockedField>
          </o:OLEObject>
        </w:object>
      </w:r>
    </w:p>
    <w:p w14:paraId="6DF7BD49">
      <w:pPr>
        <w:rPr>
          <w:position w:val="-12"/>
        </w:rPr>
      </w:pPr>
      <w:r>
        <w:rPr>
          <w:rFonts w:hint="eastAsia"/>
          <w:position w:val="-12"/>
        </w:rPr>
        <w:t>I : 太阳常数(理论计算式如下, T为太阳表面温度, r为太阳半径, R为地日距离, 实际取值为近地轨道空间站实际测量的单位面积法相直射辐照度)</w:t>
      </w:r>
    </w:p>
    <w:p w14:paraId="54259394">
      <w:r>
        <w:rPr>
          <w:position w:val="-24"/>
        </w:rPr>
        <w:object>
          <v:shape id="_x0000_i1026" o:spt="75" type="#_x0000_t75" style="height:33pt;width:36pt;" o:ole="t" filled="f" o:preferrelative="t" stroked="f" coordsize="21600,21600">
            <v:path/>
            <v:fill on="f" focussize="0,0"/>
            <v:stroke on="f" joinstyle="miter"/>
            <v:imagedata r:id="rId8" o:title=""/>
            <o:lock v:ext="edit" aspectratio="f"/>
            <w10:wrap type="none"/>
            <w10:anchorlock/>
          </v:shape>
          <o:OLEObject Type="Embed" ProgID="Equation.DSMT4" ShapeID="_x0000_i1026" DrawAspect="Content" ObjectID="_1468075726" r:id="rId7">
            <o:LockedField>false</o:LockedField>
          </o:OLEObject>
        </w:object>
      </w:r>
    </w:p>
    <w:p w14:paraId="409B6A8F">
      <w:pPr>
        <w:rPr>
          <w:position w:val="-12"/>
        </w:rPr>
      </w:pPr>
    </w:p>
    <w:p w14:paraId="2553C8F7">
      <w:pPr>
        <w:rPr>
          <w:position w:val="-12"/>
        </w:rPr>
      </w:pPr>
      <w:r>
        <w:rPr>
          <w:rFonts w:hint="eastAsia"/>
          <w:position w:val="-12"/>
        </w:rPr>
        <w:t>m：大气质量</w:t>
      </w:r>
    </w:p>
    <w:p w14:paraId="1A517D7B">
      <w:pPr>
        <w:rPr>
          <w:position w:val="-12"/>
        </w:rPr>
      </w:pPr>
      <w:r>
        <w:rPr>
          <w:rFonts w:hint="eastAsia"/>
          <w:position w:val="-12"/>
        </w:rPr>
        <w:t>k：与大气浑浊度、吸收和散射有关的经验系数（由 Linke turbidity 给出）</w:t>
      </w:r>
    </w:p>
    <w:p w14:paraId="434791AE">
      <w:pPr>
        <w:rPr>
          <w:position w:val="-12"/>
        </w:rPr>
      </w:pPr>
    </w:p>
    <w:p w14:paraId="2BAC8A51">
      <w:r>
        <w:rPr>
          <w:rFonts w:hint="eastAsia"/>
        </w:rPr>
        <w:t>-&gt; 考虑散射辐照度(地面散射+天空散射)</w:t>
      </w:r>
    </w:p>
    <w:p w14:paraId="1543118E">
      <w:r>
        <w:rPr>
          <w:rFonts w:hint="eastAsia"/>
        </w:rPr>
        <w:t>计算DHI (Diffuse Horizontal Irradiance)</w:t>
      </w:r>
    </w:p>
    <w:p w14:paraId="49053D0B">
      <w:pPr>
        <w:rPr>
          <w:position w:val="-14"/>
        </w:rPr>
      </w:pPr>
      <w:r>
        <w:rPr>
          <w:position w:val="-14"/>
        </w:rPr>
        <w:object>
          <v:shape id="_x0000_i1027" o:spt="75" type="#_x0000_t75" style="height:20pt;width:153pt;" o:ole="t" filled="f" o:preferrelative="t" stroked="f" coordsize="21600,21600">
            <v:path/>
            <v:fill on="f" focussize="0,0"/>
            <v:stroke on="f" joinstyle="miter"/>
            <v:imagedata r:id="rId10" o:title=""/>
            <o:lock v:ext="edit" aspectratio="f"/>
            <w10:wrap type="none"/>
            <w10:anchorlock/>
          </v:shape>
          <o:OLEObject Type="Embed" ProgID="Equation.DSMT4" ShapeID="_x0000_i1027" DrawAspect="Content" ObjectID="_1468075727" r:id="rId9">
            <o:LockedField>false</o:LockedField>
          </o:OLEObject>
        </w:object>
      </w:r>
      <w:r>
        <w:rPr>
          <w:rFonts w:hint="eastAsia"/>
          <w:position w:val="-14"/>
        </w:rPr>
        <w:t xml:space="preserve"> </w:t>
      </w:r>
    </w:p>
    <w:p w14:paraId="69039B45">
      <w:pPr>
        <w:rPr>
          <w:position w:val="-14"/>
        </w:rPr>
      </w:pPr>
      <w:r>
        <w:rPr>
          <w:rFonts w:hint="eastAsia"/>
          <w:position w:val="-14"/>
        </w:rPr>
        <w:t>其中GHI(Global Horizontal Irradiance) 为实测得地表总辐照度(包括直射+散射), pvlib库会根据输入得经纬度调出当地或就近地区测得的GHI数据.</w:t>
      </w:r>
    </w:p>
    <w:p w14:paraId="4A68A2D2">
      <w:pPr>
        <w:rPr>
          <w:position w:val="-12"/>
        </w:rPr>
      </w:pPr>
      <w:r>
        <w:rPr>
          <w:position w:val="-12"/>
        </w:rPr>
        <w:object>
          <v:shape id="_x0000_i1028" o:spt="75" type="#_x0000_t75" style="height:18pt;width:14pt;" o:ole="t" filled="f" o:preferrelative="t" stroked="f" coordsize="21600,21600">
            <v:path/>
            <v:fill on="f" focussize="0,0"/>
            <v:stroke on="f" joinstyle="miter"/>
            <v:imagedata r:id="rId12" o:title=""/>
            <o:lock v:ext="edit" aspectratio="f"/>
            <w10:wrap type="none"/>
            <w10:anchorlock/>
          </v:shape>
          <o:OLEObject Type="Embed" ProgID="Equation.DSMT4" ShapeID="_x0000_i1028" DrawAspect="Content" ObjectID="_1468075728" r:id="rId11">
            <o:LockedField>false</o:LockedField>
          </o:OLEObject>
        </w:object>
      </w:r>
      <w:r>
        <w:rPr>
          <w:rFonts w:hint="eastAsia"/>
          <w:position w:val="-12"/>
        </w:rPr>
        <w:t>为太阳高度角</w:t>
      </w:r>
    </w:p>
    <w:p w14:paraId="2B3B3CB0">
      <w:pPr>
        <w:rPr>
          <w:position w:val="-12"/>
        </w:rPr>
      </w:pPr>
      <w:r>
        <w:rPr>
          <w:rFonts w:hint="eastAsia"/>
          <w:position w:val="-12"/>
        </w:rPr>
        <w:t>我的模型中</w:t>
      </w:r>
      <w:r>
        <w:rPr>
          <w:rFonts w:hint="eastAsia"/>
          <w:position w:val="-12"/>
          <w:highlight w:val="cyan"/>
        </w:rPr>
        <w:t>天空散射</w:t>
      </w:r>
      <w:r>
        <w:rPr>
          <w:rFonts w:hint="eastAsia"/>
          <w:position w:val="-12"/>
        </w:rPr>
        <w:t>直接取DHI</w:t>
      </w:r>
    </w:p>
    <w:p w14:paraId="1A940315">
      <w:pPr>
        <w:rPr>
          <w:position w:val="-12"/>
        </w:rPr>
      </w:pPr>
    </w:p>
    <w:p w14:paraId="3B46F99F">
      <w:pPr>
        <w:rPr>
          <w:position w:val="-12"/>
        </w:rPr>
      </w:pPr>
      <w:r>
        <w:rPr>
          <w:rFonts w:hint="eastAsia"/>
          <w:position w:val="-12"/>
          <w:highlight w:val="cyan"/>
        </w:rPr>
        <w:t>地面散射</w:t>
      </w:r>
      <w:r>
        <w:rPr>
          <w:rFonts w:hint="eastAsia"/>
          <w:position w:val="-12"/>
        </w:rPr>
        <w:t xml:space="preserve">(Gound Diffusion): </w:t>
      </w:r>
    </w:p>
    <w:p w14:paraId="2CE31D0F">
      <w:pPr>
        <w:rPr>
          <w:position w:val="-12"/>
        </w:rPr>
      </w:pPr>
      <w:r>
        <w:rPr>
          <w:rFonts w:hint="eastAsia"/>
          <w:position w:val="-12"/>
        </w:rPr>
        <w:t>地面散射本质是由GHI反射得到, 所以大致为GHI 乘一个系数, 这里大致</w:t>
      </w:r>
    </w:p>
    <w:p w14:paraId="1FDE8931">
      <w:pPr>
        <w:rPr>
          <w:rFonts w:hint="eastAsia"/>
          <w:position w:val="-24"/>
        </w:rPr>
      </w:pPr>
      <w:r>
        <w:rPr>
          <w:rFonts w:hint="eastAsia"/>
          <w:position w:val="-12"/>
        </w:rPr>
        <w:t xml:space="preserve">用GD =  </w:t>
      </w:r>
      <w:r>
        <w:rPr>
          <w:position w:val="-24"/>
        </w:rPr>
        <w:object>
          <v:shape id="_x0000_i1029" o:spt="75" type="#_x0000_t75" style="height:31pt;width:88pt;" o:ole="t" filled="f" o:preferrelative="t" stroked="f" coordsize="21600,21600">
            <v:path/>
            <v:fill on="f" focussize="0,0"/>
            <v:stroke on="f" joinstyle="miter"/>
            <v:imagedata r:id="rId14" o:title=""/>
            <o:lock v:ext="edit" aspectratio="f"/>
            <w10:wrap type="none"/>
            <w10:anchorlock/>
          </v:shape>
          <o:OLEObject Type="Embed" ProgID="Equation.DSMT4" ShapeID="_x0000_i1029" DrawAspect="Content" ObjectID="_1468075729" r:id="rId13">
            <o:LockedField>false</o:LockedField>
          </o:OLEObject>
        </w:object>
      </w:r>
      <w:r>
        <w:rPr>
          <w:rFonts w:hint="eastAsia"/>
          <w:position w:val="-24"/>
        </w:rPr>
        <w:t xml:space="preserve">    </w:t>
      </w:r>
    </w:p>
    <w:p w14:paraId="416FEF13">
      <w:pPr>
        <w:rPr>
          <w:rFonts w:hint="default" w:eastAsiaTheme="minorEastAsia"/>
          <w:position w:val="-24"/>
          <w:lang w:val="en-US" w:eastAsia="zh-CN"/>
        </w:rPr>
      </w:pPr>
      <w:r>
        <w:rPr>
          <w:rFonts w:hint="eastAsia"/>
          <w:position w:val="-24"/>
          <w:lang w:val="en-US" w:eastAsia="zh-CN"/>
        </w:rPr>
        <w:t>----------------------------------------------------------------------------------------------------------</w:t>
      </w:r>
    </w:p>
    <w:p w14:paraId="51BB5E90">
      <w:pPr>
        <w:rPr>
          <w:rFonts w:hint="default"/>
          <w:position w:val="-24"/>
        </w:rPr>
      </w:pPr>
      <w:r>
        <w:rPr>
          <w:rFonts w:hint="eastAsia"/>
          <w:position w:val="-24"/>
          <w:lang w:val="en-US" w:eastAsia="zh-CN"/>
        </w:rPr>
        <w:t>** Optimized_</w:t>
      </w:r>
      <w:r>
        <w:rPr>
          <w:rFonts w:hint="eastAsia"/>
          <w:position w:val="-24"/>
        </w:rPr>
        <w:t>G</w:t>
      </w:r>
      <w:r>
        <w:rPr>
          <w:rFonts w:hint="default"/>
          <w:position w:val="-24"/>
        </w:rPr>
        <w:t>D(t)=GHI(t)⋅α(t)⋅0.98⋅</w:t>
      </w:r>
      <w:r>
        <w:rPr>
          <w:rFonts w:hint="eastAsia"/>
          <w:position w:val="-24"/>
          <w:lang w:val="en-US" w:eastAsia="zh-CN"/>
        </w:rPr>
        <w:t>(</w:t>
      </w:r>
      <w:r>
        <w:rPr>
          <w:rFonts w:hint="default"/>
          <w:position w:val="-24"/>
        </w:rPr>
        <w:t>1−cos(β)</w:t>
      </w:r>
      <w:r>
        <w:rPr>
          <w:rFonts w:hint="eastAsia"/>
          <w:position w:val="-24"/>
          <w:lang w:val="en-US" w:eastAsia="zh-CN"/>
        </w:rPr>
        <w:t>)/2</w:t>
      </w:r>
      <w:r>
        <w:rPr>
          <w:rFonts w:hint="default"/>
          <w:position w:val="-24"/>
        </w:rPr>
        <w:t>​</w:t>
      </w:r>
    </w:p>
    <w:p w14:paraId="3392D221">
      <w:pPr>
        <w:rPr>
          <w:rFonts w:hint="eastAsia"/>
          <w:b/>
          <w:bCs/>
          <w:color w:val="E54C5E" w:themeColor="accent6"/>
          <w:position w:val="-24"/>
          <w:lang w:val="en-US" w:eastAsia="zh-CN"/>
          <w14:textFill>
            <w14:solidFill>
              <w14:schemeClr w14:val="accent6"/>
            </w14:solidFill>
          </w14:textFill>
        </w:rPr>
      </w:pPr>
      <w:r>
        <w:rPr>
          <w:rFonts w:hint="eastAsia"/>
          <w:position w:val="-24"/>
          <w:lang w:val="en-US" w:eastAsia="zh-CN"/>
        </w:rPr>
        <w:t xml:space="preserve">其中: </w:t>
      </w:r>
      <w:r>
        <w:rPr>
          <w:rFonts w:hint="eastAsia"/>
          <w:b/>
          <w:bCs/>
          <w:color w:val="E54C5E" w:themeColor="accent6"/>
          <w:position w:val="-24"/>
          <w:lang w:val="en-US" w:eastAsia="zh-CN"/>
          <w14:textFill>
            <w14:solidFill>
              <w14:schemeClr w14:val="accent6"/>
            </w14:solidFill>
          </w14:textFill>
        </w:rPr>
        <w:t>α(t)=kdiff​(t)⋅αws​(t)+(1−kdiff​(t))⋅αbs​(θSun​,t)</w:t>
      </w:r>
    </w:p>
    <w:p w14:paraId="7C8B6331">
      <w:pPr>
        <w:rPr>
          <w:rFonts w:hint="eastAsia"/>
          <w:position w:val="-24"/>
          <w:lang w:val="en-US" w:eastAsia="zh-CN"/>
        </w:rPr>
      </w:pPr>
      <w:r>
        <w:rPr>
          <w:rFonts w:hint="eastAsia"/>
          <w:position w:val="-24"/>
          <w:lang w:val="en-US" w:eastAsia="zh-CN"/>
        </w:rPr>
        <w:t>在晴天（kdiff​ 较小），随角度变化的 αbs​ 占据主导。</w:t>
      </w:r>
    </w:p>
    <w:p w14:paraId="666D0C2C">
      <w:pPr>
        <w:rPr>
          <w:rFonts w:hint="eastAsia"/>
          <w:position w:val="-24"/>
          <w:lang w:val="en-US" w:eastAsia="zh-CN"/>
        </w:rPr>
      </w:pPr>
      <w:r>
        <w:rPr>
          <w:rFonts w:hint="eastAsia"/>
          <w:position w:val="-24"/>
          <w:lang w:val="en-US" w:eastAsia="zh-CN"/>
        </w:rPr>
        <w:t>在阴天（kdiff​ 较大），恒定的 αws​ 权重更高。</w:t>
      </w:r>
    </w:p>
    <w:p w14:paraId="49C1C972">
      <w:pPr>
        <w:rPr>
          <w:rFonts w:hint="eastAsia"/>
          <w:position w:val="-24"/>
          <w:lang w:val="en-US" w:eastAsia="zh-CN"/>
        </w:rPr>
      </w:pPr>
    </w:p>
    <w:p w14:paraId="5BC8BD62">
      <w:pPr>
        <w:rPr>
          <w:rFonts w:hint="default" w:ascii="Times New Roman" w:hAnsi="Times New Roman" w:eastAsia="宋体" w:cs="Times New Roman"/>
          <w:i w:val="0"/>
          <w:iCs w:val="0"/>
          <w:caps w:val="0"/>
          <w:color w:val="303030"/>
          <w:spacing w:val="0"/>
          <w:sz w:val="19"/>
          <w:szCs w:val="19"/>
          <w:shd w:val="clear" w:fill="FFFFFF"/>
          <w:lang w:val="en-US" w:eastAsia="zh-CN"/>
        </w:rPr>
      </w:pPr>
      <w:r>
        <w:rPr>
          <w:rFonts w:hint="eastAsia" w:ascii="Times New Roman" w:hAnsi="Times New Roman" w:eastAsia="宋体" w:cs="Times New Roman"/>
          <w:i w:val="0"/>
          <w:iCs w:val="0"/>
          <w:caps w:val="0"/>
          <w:color w:val="303030"/>
          <w:spacing w:val="0"/>
          <w:sz w:val="19"/>
          <w:szCs w:val="19"/>
          <w:shd w:val="clear" w:fill="FFFFFF"/>
          <w:lang w:val="en-US" w:eastAsia="zh-CN"/>
        </w:rPr>
        <w:t>这里使用MODIS卫星的数据, 输入太阳天顶角, 得到实时变化的ρ值, 优化掉定值0.85</w:t>
      </w:r>
    </w:p>
    <w:p w14:paraId="70000399">
      <w:pPr>
        <w:rPr>
          <w:rFonts w:hint="eastAsia" w:ascii="Times New Roman" w:hAnsi="Times New Roman" w:eastAsia="宋体" w:cs="Times New Roman"/>
          <w:i w:val="0"/>
          <w:iCs w:val="0"/>
          <w:caps w:val="0"/>
          <w:color w:val="303030"/>
          <w:spacing w:val="0"/>
          <w:sz w:val="19"/>
          <w:szCs w:val="19"/>
          <w:shd w:val="clear" w:fill="FFFFFF"/>
          <w:lang w:val="en-US" w:eastAsia="zh-CN"/>
        </w:rPr>
      </w:pPr>
    </w:p>
    <w:p w14:paraId="3741CDE1">
      <w:pPr>
        <w:rPr>
          <w:position w:val="-12"/>
        </w:rPr>
      </w:pPr>
      <w:r>
        <w:rPr>
          <w:rFonts w:hint="eastAsia"/>
          <w:position w:val="-12"/>
        </w:rPr>
        <w:t>其中ρ为albedo反照率, 南极地区大致取0.85</w:t>
      </w:r>
    </w:p>
    <w:p w14:paraId="7284099A">
      <w:pPr>
        <w:rPr>
          <w:rFonts w:hint="eastAsia"/>
          <w:position w:val="-12"/>
        </w:rPr>
      </w:pPr>
      <w:r>
        <w:rPr>
          <w:position w:val="-12"/>
        </w:rPr>
        <w:t xml:space="preserve">β </w:t>
      </w:r>
      <w:r>
        <w:rPr>
          <w:rFonts w:hint="eastAsia"/>
          <w:position w:val="-12"/>
        </w:rPr>
        <w:t>为</w:t>
      </w:r>
      <w:r>
        <w:rPr>
          <w:position w:val="-12"/>
        </w:rPr>
        <w:t>光伏</w:t>
      </w:r>
      <w:r>
        <w:rPr>
          <w:rFonts w:hint="eastAsia"/>
          <w:position w:val="-12"/>
        </w:rPr>
        <w:t>板</w:t>
      </w:r>
      <w:r>
        <w:rPr>
          <w:position w:val="-12"/>
        </w:rPr>
        <w:t>倾角</w:t>
      </w:r>
      <w:r>
        <w:rPr>
          <w:rFonts w:hint="eastAsia"/>
          <w:position w:val="-12"/>
        </w:rPr>
        <w:t>(正面与地面夹角)</w:t>
      </w:r>
    </w:p>
    <w:p w14:paraId="44E30BB8">
      <w:pPr>
        <w:rPr>
          <w:rFonts w:hint="eastAsia"/>
          <w:position w:val="-12"/>
          <w:lang w:val="en-US" w:eastAsia="zh-CN"/>
        </w:rPr>
      </w:pPr>
      <w:r>
        <w:rPr>
          <w:rFonts w:hint="eastAsia"/>
          <w:position w:val="-12"/>
          <w:lang w:val="en-US" w:eastAsia="zh-CN"/>
        </w:rPr>
        <w:t>* SIback 为雪地反射光谱与硅基电池光谱失配的光谱修正系数, 根据研究取0.98 (&amp;1)</w:t>
      </w:r>
    </w:p>
    <w:p w14:paraId="1813B5AA">
      <w:pPr>
        <w:rPr>
          <w:rFonts w:hint="default"/>
          <w:position w:val="-12"/>
          <w:lang w:val="en-US" w:eastAsia="zh-CN"/>
        </w:rPr>
      </w:pPr>
      <w:r>
        <w:rPr>
          <w:rFonts w:hint="eastAsia"/>
          <w:position w:val="-12"/>
          <w:lang w:val="en-US" w:eastAsia="zh-CN"/>
        </w:rPr>
        <w:t xml:space="preserve">* </w:t>
      </w:r>
      <w:r>
        <w:rPr>
          <w:rFonts w:hint="default"/>
          <w:position w:val="-12"/>
          <w:lang w:val="en-US" w:eastAsia="zh-CN"/>
        </w:rPr>
        <w:t>利用 MODIS 和 Sentinel-2 卫星数据 结合可以获得更高精度的反照率时间序列</w:t>
      </w:r>
    </w:p>
    <w:p w14:paraId="5FB0DC12">
      <w:pPr>
        <w:rPr>
          <w:rFonts w:hint="default"/>
          <w:position w:val="-12"/>
          <w:lang w:val="en-US" w:eastAsia="zh-CN"/>
        </w:rPr>
      </w:pPr>
    </w:p>
    <w:p w14:paraId="6E5F2047">
      <w:pPr>
        <w:rPr>
          <w:rFonts w:hint="default"/>
          <w:position w:val="-12"/>
          <w:lang w:val="en-US" w:eastAsia="zh-CN"/>
        </w:rPr>
      </w:pPr>
      <w:r>
        <w:rPr>
          <w:rFonts w:hint="default"/>
          <w:position w:val="-12"/>
          <w:lang w:val="en-US" w:eastAsia="zh-CN"/>
        </w:rPr>
        <w:t>α=kdiff​⋅αws​+(1−kdiff​)⋅αbs​(θSun​)</w:t>
      </w:r>
    </w:p>
    <w:p w14:paraId="0DE1A7B9">
      <w:pPr>
        <w:rPr>
          <w:rFonts w:hint="default"/>
          <w:position w:val="-12"/>
          <w:lang w:val="en-US" w:eastAsia="zh-CN"/>
        </w:rPr>
      </w:pPr>
      <w:r>
        <w:rPr>
          <w:rFonts w:hint="default"/>
          <w:position w:val="-12"/>
          <w:lang w:val="en-US" w:eastAsia="zh-CN"/>
        </w:rPr>
        <w:t>αws​ (White-sky albedo)：假设天空是各向同性散射时的反照率。</w:t>
      </w:r>
    </w:p>
    <w:p w14:paraId="60A09778">
      <w:pPr>
        <w:rPr>
          <w:rFonts w:hint="default"/>
          <w:position w:val="-12"/>
          <w:lang w:val="en-US" w:eastAsia="zh-CN"/>
        </w:rPr>
      </w:pPr>
      <w:r>
        <w:rPr>
          <w:rFonts w:hint="default"/>
          <w:position w:val="-12"/>
          <w:lang w:val="en-US" w:eastAsia="zh-CN"/>
        </w:rPr>
        <w:t>αbs​(θSun​) (Black-sky albedo)：随太阳高度角变化的直射光反照率。这正是修正非各向同性的关键项。</w:t>
      </w:r>
    </w:p>
    <w:p w14:paraId="7A6E316B">
      <w:pPr>
        <w:rPr>
          <w:rFonts w:hint="default"/>
          <w:position w:val="-12"/>
          <w:lang w:val="en-US" w:eastAsia="zh-CN"/>
        </w:rPr>
      </w:pPr>
      <w:r>
        <w:rPr>
          <w:rFonts w:hint="default"/>
          <w:position w:val="-12"/>
          <w:lang w:val="en-US" w:eastAsia="zh-CN"/>
        </w:rPr>
        <w:t>卫星数据不仅考虑了各向同性（在处理散射光时），更重要的是它修正了非各向同性（在处理直射光时），使得在低太阳高度角的南极地区，计算出的反射辐照度更接近真实情况。</w:t>
      </w:r>
    </w:p>
    <w:p w14:paraId="3FBFC222">
      <w:pPr>
        <w:rPr>
          <w:rFonts w:hint="default"/>
          <w:position w:val="-12"/>
          <w:lang w:val="en-US" w:eastAsia="zh-CN"/>
        </w:rPr>
      </w:pPr>
    </w:p>
    <w:p w14:paraId="47CF86AB">
      <w:pPr>
        <w:rPr>
          <w:rFonts w:hint="default"/>
          <w:position w:val="-12"/>
          <w:lang w:val="en-US" w:eastAsia="zh-CN"/>
        </w:rPr>
      </w:pPr>
      <w:r>
        <w:rPr>
          <w:rFonts w:hint="default"/>
          <w:position w:val="-12"/>
          <w:lang w:val="en-US" w:eastAsia="zh-CN"/>
        </w:rPr>
        <w:t>获取数据： 下载南极目标区域的历史 MODIS BRDF 参数 (MCD43A1)。</w:t>
      </w:r>
    </w:p>
    <w:p w14:paraId="05EAD4ED">
      <w:pPr>
        <w:rPr>
          <w:rFonts w:hint="default"/>
          <w:position w:val="-12"/>
          <w:lang w:val="en-US" w:eastAsia="zh-CN"/>
        </w:rPr>
      </w:pPr>
      <w:r>
        <w:rPr>
          <w:rFonts w:hint="default"/>
          <w:position w:val="-12"/>
          <w:lang w:val="en-US" w:eastAsia="zh-CN"/>
        </w:rPr>
        <w:t>从 pvlib 获取当前的太阳天顶角 (θSun​)。</w:t>
      </w:r>
    </w:p>
    <w:p w14:paraId="1382411C">
      <w:pPr>
        <w:rPr>
          <w:rFonts w:hint="default"/>
          <w:position w:val="-12"/>
          <w:lang w:val="en-US" w:eastAsia="zh-CN"/>
        </w:rPr>
      </w:pPr>
      <w:r>
        <w:rPr>
          <w:rFonts w:hint="eastAsia"/>
          <w:position w:val="-12"/>
          <w:lang w:val="en-US" w:eastAsia="zh-CN"/>
        </w:rPr>
        <w:t>-----------------------------------------------------------------------------------------------------------------------</w:t>
      </w:r>
    </w:p>
    <w:p w14:paraId="4E71431E">
      <w:pPr>
        <w:rPr>
          <w:position w:val="-14"/>
        </w:rPr>
      </w:pPr>
    </w:p>
    <w:p w14:paraId="6A28BE92">
      <w:pPr>
        <w:rPr>
          <w:rFonts w:hint="eastAsia"/>
          <w:position w:val="-14"/>
        </w:rPr>
      </w:pPr>
      <w:r>
        <w:rPr>
          <w:rFonts w:hint="eastAsia"/>
          <w:position w:val="-14"/>
        </w:rPr>
        <w:t>-&gt; 得到某一时刻某个面总辐照度TI(t) = DNI(t) ·cos(入射角(t)) + DHI(t) + GD(t)</w:t>
      </w:r>
    </w:p>
    <w:p w14:paraId="67AFF28F">
      <w:pPr>
        <w:rPr>
          <w:rFonts w:hint="eastAsia"/>
          <w:position w:val="-14"/>
          <w:lang w:val="en-US" w:eastAsia="zh-CN"/>
        </w:rPr>
      </w:pPr>
      <w:r>
        <w:rPr>
          <w:rFonts w:hint="eastAsia"/>
          <w:position w:val="-14"/>
          <w:lang w:val="en-US" w:eastAsia="zh-CN"/>
        </w:rPr>
        <w:t>----------------------------------------------------------------------------------------------------------------------------</w:t>
      </w:r>
    </w:p>
    <w:p w14:paraId="3DCB169E">
      <w:pPr>
        <w:rPr>
          <w:rFonts w:hint="default"/>
          <w:position w:val="-14"/>
          <w:lang w:val="en-US" w:eastAsia="zh-CN"/>
        </w:rPr>
      </w:pPr>
      <w:r>
        <w:rPr>
          <w:rFonts w:hint="eastAsia"/>
          <w:position w:val="-14"/>
          <w:lang w:val="en-US" w:eastAsia="zh-CN"/>
        </w:rPr>
        <w:t>***</w:t>
      </w:r>
    </w:p>
    <w:p w14:paraId="55B781BE">
      <w:pPr>
        <w:rPr>
          <w:position w:val="-14"/>
        </w:rPr>
      </w:pPr>
      <w:r>
        <w:rPr>
          <w:rFonts w:hint="default"/>
          <w:position w:val="-14"/>
          <w:lang w:val="en-US" w:eastAsia="zh-CN"/>
        </w:rPr>
        <w:t>引入入射角修正因子 (IAM)</w:t>
      </w:r>
    </w:p>
    <w:p w14:paraId="1FA4118A">
      <w:pPr>
        <w:rPr>
          <w:rFonts w:hint="default"/>
          <w:position w:val="-14"/>
        </w:rPr>
      </w:pPr>
      <w:r>
        <w:rPr>
          <w:rFonts w:hint="default"/>
          <w:position w:val="-14"/>
          <w:lang w:val="en-US" w:eastAsia="zh-CN"/>
        </w:rPr>
        <w:t>单面光伏板表面的玻璃层在南极这种高纬度、低太阳高度角的环境下，会产生显著的反射损失。</w:t>
      </w:r>
    </w:p>
    <w:p w14:paraId="086FCEBA">
      <w:pPr>
        <w:rPr>
          <w:rFonts w:hint="default"/>
          <w:position w:val="-14"/>
        </w:rPr>
      </w:pPr>
      <w:r>
        <w:rPr>
          <w:rFonts w:hint="default"/>
          <w:position w:val="-14"/>
        </w:rPr>
        <w:t>当光线以大角度入射时（南极常态），实际进入电池片的辐照度会远低于理论值。</w:t>
      </w:r>
    </w:p>
    <w:p w14:paraId="3C601777">
      <w:pPr>
        <w:rPr>
          <w:rFonts w:hint="eastAsia"/>
          <w:b/>
          <w:bCs/>
          <w:color w:val="E54C5E" w:themeColor="accent6"/>
          <w:position w:val="-24"/>
          <w:lang w:val="en-US" w:eastAsia="zh-CN"/>
          <w14:textFill>
            <w14:solidFill>
              <w14:schemeClr w14:val="accent6"/>
            </w14:solidFill>
          </w14:textFill>
        </w:rPr>
      </w:pPr>
      <w:r>
        <w:rPr>
          <w:rFonts w:hint="default"/>
          <w:position w:val="-14"/>
        </w:rPr>
        <w:t xml:space="preserve">在计算直射辐照项时，引入 </w:t>
      </w:r>
      <w:r>
        <w:rPr>
          <w:rFonts w:hint="default"/>
          <w:b/>
          <w:bCs/>
          <w:position w:val="-14"/>
        </w:rPr>
        <w:t>Sandia 入射角修正模型</w:t>
      </w:r>
      <w:r>
        <w:rPr>
          <w:rFonts w:hint="default"/>
          <w:position w:val="-14"/>
        </w:rPr>
        <w:t xml:space="preserve"> 或 </w:t>
      </w:r>
      <w:r>
        <w:rPr>
          <w:rFonts w:hint="default"/>
          <w:b/>
          <w:bCs/>
          <w:position w:val="-14"/>
        </w:rPr>
        <w:t>Martin and Ruiz 模型</w:t>
      </w:r>
      <w:r>
        <w:rPr>
          <w:rFonts w:hint="default"/>
          <w:position w:val="-14"/>
        </w:rPr>
        <w:t>。</w:t>
      </w:r>
    </w:p>
    <w:p w14:paraId="52EC9DFA">
      <w:pPr>
        <w:rPr>
          <w:rFonts w:hint="default"/>
          <w:b/>
          <w:bCs/>
          <w:color w:val="E54C5E" w:themeColor="accent6"/>
          <w:position w:val="-14"/>
          <w:lang w:val="en-US" w:eastAsia="zh-CN"/>
          <w14:textFill>
            <w14:solidFill>
              <w14:schemeClr w14:val="accent6"/>
            </w14:solidFill>
          </w14:textFill>
        </w:rPr>
      </w:pPr>
      <w:r>
        <w:rPr>
          <w:rFonts w:hint="default"/>
          <w:b/>
          <w:bCs/>
          <w:color w:val="E54C5E" w:themeColor="accent6"/>
          <w:position w:val="-14"/>
          <w:lang w:val="en-US" w:eastAsia="zh-CN"/>
          <w14:textFill>
            <w14:solidFill>
              <w14:schemeClr w14:val="accent6"/>
            </w14:solidFill>
          </w14:textFill>
        </w:rPr>
        <w:t>TI(t)=DNI(t)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cos(AOI)</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fIAM(AOI)</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DHI(t)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fIAM,diff</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(1+cosβ)</w:t>
      </w:r>
      <w:r>
        <w:rPr>
          <w:rFonts w:hint="eastAsia"/>
          <w:b/>
          <w:bCs/>
          <w:color w:val="E54C5E" w:themeColor="accent6"/>
          <w:position w:val="-14"/>
          <w:lang w:val="en-US" w:eastAsia="zh-CN"/>
          <w14:textFill>
            <w14:solidFill>
              <w14:schemeClr w14:val="accent6"/>
            </w14:solidFill>
          </w14:textFill>
        </w:rPr>
        <w:t xml:space="preserve">/2)+ </w:t>
      </w:r>
      <w:r>
        <w:rPr>
          <w:rFonts w:hint="eastAsia"/>
          <w:b/>
          <w:bCs/>
          <w:color w:val="E54C5E" w:themeColor="accent6"/>
          <w:position w:val="-14"/>
          <w:lang w:val="en-US" w:eastAsia="zh-CN"/>
          <w14:textFill>
            <w14:solidFill>
              <w14:schemeClr w14:val="accent6"/>
            </w14:solidFill>
          </w14:textFill>
        </w:rPr>
        <w:tab/>
      </w:r>
      <w:r>
        <w:rPr>
          <w:rFonts w:hint="default"/>
          <w:b/>
          <w:bCs/>
          <w:color w:val="E54C5E" w:themeColor="accent6"/>
          <w:position w:val="-14"/>
          <w:lang w:val="en-US" w:eastAsia="zh-CN"/>
          <w14:textFill>
            <w14:solidFill>
              <w14:schemeClr w14:val="accent6"/>
            </w14:solidFill>
          </w14:textFill>
        </w:rPr>
        <w:t>GHI(t)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αeff′(t)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(1</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cosβ)</w:t>
      </w:r>
      <w:r>
        <w:rPr>
          <w:rFonts w:hint="eastAsia"/>
          <w:b/>
          <w:bCs/>
          <w:color w:val="E54C5E" w:themeColor="accent6"/>
          <w:position w:val="-14"/>
          <w:lang w:val="en-US" w:eastAsia="zh-CN"/>
          <w14:textFill>
            <w14:solidFill>
              <w14:schemeClr w14:val="accent6"/>
            </w14:solidFill>
          </w14:textFill>
        </w:rPr>
        <w:t>/2)*fIAM,diff​</w:t>
      </w:r>
      <w:r>
        <w:rPr>
          <w:rFonts w:hint="default"/>
          <w:b/>
          <w:bCs/>
          <w:color w:val="E54C5E" w:themeColor="accent6"/>
          <w:position w:val="-14"/>
          <w:lang w:val="en-US" w:eastAsia="zh-CN"/>
          <w14:textFill>
            <w14:solidFill>
              <w14:schemeClr w14:val="accent6"/>
            </w14:solidFill>
          </w14:textFill>
        </w:rPr>
        <w:t>​</w:t>
      </w:r>
    </w:p>
    <w:p w14:paraId="11E09B15">
      <w:pPr>
        <w:rPr>
          <w:rFonts w:hint="default"/>
          <w:b/>
          <w:bCs/>
          <w:color w:val="E54C5E" w:themeColor="accent6"/>
          <w:position w:val="-14"/>
          <w:lang w:val="en-US" w:eastAsia="zh-CN"/>
          <w14:textFill>
            <w14:solidFill>
              <w14:schemeClr w14:val="accent6"/>
            </w14:solidFill>
          </w14:textFill>
        </w:rPr>
      </w:pPr>
      <w:r>
        <w:rPr>
          <w:rFonts w:hint="eastAsia"/>
          <w:b/>
          <w:bCs/>
          <w:position w:val="-14"/>
          <w:lang w:val="en-US" w:eastAsia="zh-CN"/>
        </w:rPr>
        <w:t>其中:</w:t>
      </w:r>
      <w:r>
        <w:rPr>
          <w:rFonts w:hint="default"/>
          <w:b/>
          <w:bCs/>
          <w:color w:val="E54C5E" w:themeColor="accent6"/>
          <w:position w:val="-14"/>
          <w:lang w:val="en-US" w:eastAsia="zh-CN"/>
          <w14:textFill>
            <w14:solidFill>
              <w14:schemeClr w14:val="accent6"/>
            </w14:solidFill>
          </w14:textFill>
        </w:rPr>
        <w:t>αeff′(t)=[kdiff(t)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αws(t)+(1−kdiff(t))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αbs(θSun</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0.98</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flow_sun(γ)</w:t>
      </w:r>
    </w:p>
    <w:p w14:paraId="7F40FC46">
      <w:pPr>
        <w:rPr>
          <w:rFonts w:hint="default"/>
          <w:b/>
          <w:bCs/>
          <w:color w:val="E54C5E" w:themeColor="accent6"/>
          <w:position w:val="-14"/>
          <w:lang w:val="en-US" w:eastAsia="zh-CN"/>
          <w14:textFill>
            <w14:solidFill>
              <w14:schemeClr w14:val="accent6"/>
            </w14:solidFill>
          </w14:textFill>
        </w:rPr>
      </w:pPr>
    </w:p>
    <w:p w14:paraId="7969AD22">
      <w:pPr>
        <w:rPr>
          <w:rFonts w:hint="eastAsia"/>
          <w:position w:val="-14"/>
          <w:lang w:val="en-US" w:eastAsia="zh-CN"/>
        </w:rPr>
      </w:pPr>
      <w:r>
        <w:rPr>
          <w:rFonts w:hint="eastAsia"/>
          <w:position w:val="-14"/>
          <w:lang w:val="en-US" w:eastAsia="zh-CN"/>
        </w:rPr>
        <w:t>以Perez模型为基础</w:t>
      </w:r>
    </w:p>
    <w:p w14:paraId="4A69659B">
      <w:pPr>
        <w:rPr>
          <w:rFonts w:hint="default"/>
          <w:b/>
          <w:bCs/>
          <w:color w:val="E54C5E" w:themeColor="accent6"/>
          <w:position w:val="-14"/>
          <w:lang w:val="en-US" w:eastAsia="zh-CN"/>
          <w14:textFill>
            <w14:solidFill>
              <w14:schemeClr w14:val="accent6"/>
            </w14:solidFill>
          </w14:textFill>
        </w:rPr>
      </w:pPr>
      <w:r>
        <w:rPr>
          <w:rFonts w:hint="eastAsia"/>
          <w:position w:val="-14"/>
          <w:lang w:val="en-US" w:eastAsia="zh-CN"/>
        </w:rPr>
        <w:t xml:space="preserve">-&gt;e.g. </w:t>
      </w:r>
      <w:r>
        <w:rPr>
          <w:rFonts w:hint="default"/>
          <w:position w:val="-14"/>
          <w:lang w:val="en-US" w:eastAsia="zh-CN"/>
        </w:rPr>
        <w:t>Gsky​=DHI⋅(Fiso​+Fcircumsolar​+Fhorizon​)</w:t>
      </w:r>
    </w:p>
    <w:p w14:paraId="74A09F17">
      <w:pPr>
        <w:rPr>
          <w:rFonts w:hint="default"/>
          <w:position w:val="-14"/>
          <w:lang w:val="en-US" w:eastAsia="zh-CN"/>
        </w:rPr>
      </w:pPr>
      <w:r>
        <w:rPr>
          <w:rFonts w:hint="eastAsia"/>
          <w:position w:val="-14"/>
          <w:lang w:val="en-US" w:eastAsia="zh-CN"/>
        </w:rPr>
        <w:t>poa</w:t>
      </w:r>
      <w:r>
        <w:rPr>
          <w:rFonts w:hint="default"/>
          <w:position w:val="-14"/>
          <w:lang w:val="en-US" w:eastAsia="zh-CN"/>
        </w:rPr>
        <w:t>= pvlib.irradiance.get_total_irradiance( surface_tilt=beta, surface_azimuth=gamma, dni=dni, ghi=ghi, dhi=dhi, solar_zenith=theta_z, solar_azimuth=azimuth, albedo=, model='perez' )</w:t>
      </w:r>
    </w:p>
    <w:p w14:paraId="7F24D5A9">
      <w:pPr>
        <w:rPr>
          <w:rFonts w:hint="default"/>
          <w:position w:val="-14"/>
          <w:lang w:val="en-US" w:eastAsia="zh-CN"/>
        </w:rPr>
      </w:pPr>
      <w:r>
        <w:rPr>
          <w:rFonts w:hint="default"/>
          <w:position w:val="-14"/>
          <w:lang w:val="en-US" w:eastAsia="zh-CN"/>
        </w:rPr>
        <w:t>G_beam = poa['poa_direct']</w:t>
      </w:r>
      <w:r>
        <w:rPr>
          <w:rFonts w:hint="default"/>
          <w:position w:val="-14"/>
          <w:lang w:val="en-US" w:eastAsia="zh-CN"/>
        </w:rPr>
        <w:br w:type="textWrapping"/>
      </w:r>
      <w:r>
        <w:rPr>
          <w:rFonts w:hint="default"/>
          <w:position w:val="-14"/>
          <w:lang w:val="en-US" w:eastAsia="zh-CN"/>
        </w:rPr>
        <w:t>G_sky = poa['poa_sky_diffuse']</w:t>
      </w:r>
      <w:r>
        <w:rPr>
          <w:rFonts w:hint="default"/>
          <w:position w:val="-14"/>
          <w:lang w:val="en-US" w:eastAsia="zh-CN"/>
        </w:rPr>
        <w:br w:type="textWrapping"/>
      </w:r>
      <w:r>
        <w:rPr>
          <w:rFonts w:hint="default"/>
          <w:position w:val="-14"/>
          <w:lang w:val="en-US" w:eastAsia="zh-CN"/>
        </w:rPr>
        <w:t>G_ground = poa['poa_ground_diffuse']</w:t>
      </w:r>
    </w:p>
    <w:p w14:paraId="70AC700A">
      <w:pPr>
        <w:rPr>
          <w:rFonts w:hint="default"/>
          <w:position w:val="-14"/>
          <w:lang w:val="en-US" w:eastAsia="zh-CN"/>
        </w:rPr>
      </w:pPr>
    </w:p>
    <w:p w14:paraId="78F1FA4C">
      <w:pPr>
        <w:rPr>
          <w:rFonts w:hint="eastAsia"/>
          <w:position w:val="-14"/>
          <w:lang w:val="en-US" w:eastAsia="zh-CN"/>
        </w:rPr>
      </w:pPr>
      <w:r>
        <w:rPr>
          <w:rFonts w:hint="eastAsia"/>
          <w:position w:val="-14"/>
          <w:lang w:val="en-US" w:eastAsia="zh-CN"/>
        </w:rPr>
        <w:t>已经做的5个优化:</w:t>
      </w:r>
    </w:p>
    <w:p w14:paraId="05A42609">
      <w:pPr>
        <w:numPr>
          <w:ilvl w:val="0"/>
          <w:numId w:val="1"/>
        </w:numPr>
        <w:rPr>
          <w:rFonts w:hint="eastAsia"/>
          <w:position w:val="-14"/>
          <w:lang w:val="en-US" w:eastAsia="zh-CN"/>
        </w:rPr>
      </w:pPr>
      <w:r>
        <w:rPr>
          <w:rFonts w:hint="eastAsia"/>
          <w:position w:val="-14"/>
          <w:lang w:val="en-US" w:eastAsia="zh-CN"/>
        </w:rPr>
        <w:t xml:space="preserve">FlAM </w:t>
      </w:r>
    </w:p>
    <w:p w14:paraId="69F7EA58">
      <w:pPr>
        <w:numPr>
          <w:numId w:val="0"/>
        </w:numPr>
        <w:rPr>
          <w:rFonts w:hint="default"/>
          <w:position w:val="-14"/>
          <w:lang w:val="en-US" w:eastAsia="zh-CN"/>
        </w:rPr>
      </w:pPr>
      <w:r>
        <w:rPr>
          <w:rFonts w:hint="default"/>
          <w:position w:val="-14"/>
          <w:lang w:val="en-US" w:eastAsia="zh-CN"/>
        </w:rPr>
        <w:t>为了修正南极低太阳高度角下，光伏板玻璃表面的角度反射损失，</w:t>
      </w:r>
      <w:r>
        <w:rPr>
          <w:rFonts w:hint="eastAsia"/>
          <w:position w:val="-14"/>
          <w:lang w:val="en-US" w:eastAsia="zh-CN"/>
        </w:rPr>
        <w:t>本模型</w:t>
      </w:r>
      <w:r>
        <w:rPr>
          <w:rFonts w:hint="default"/>
          <w:position w:val="-14"/>
          <w:lang w:val="en-US" w:eastAsia="zh-CN"/>
        </w:rPr>
        <w:t>引入了入射角修正因子 (fIAM)。其中，直射项修正参考 Sandia IAM 模型，而天空散射项的修正因子 (fIAM,diff​) 则参考 Martin and Ruiz 分析模型，以确保在大入射角条件下有效利用辐照度计算的准确性。</w:t>
      </w:r>
    </w:p>
    <w:p w14:paraId="753B06FA">
      <w:pPr>
        <w:numPr>
          <w:numId w:val="0"/>
        </w:numPr>
        <w:rPr>
          <w:rFonts w:hint="eastAsia"/>
          <w:b/>
          <w:bCs/>
          <w:position w:val="-14"/>
          <w:lang w:val="en-US" w:eastAsia="zh-CN"/>
        </w:rPr>
      </w:pPr>
      <w:r>
        <w:rPr>
          <w:rFonts w:hint="eastAsia"/>
          <w:b/>
          <w:bCs/>
          <w:position w:val="-14"/>
          <w:lang w:val="en-US" w:eastAsia="zh-CN"/>
        </w:rPr>
        <w:t xml:space="preserve"> IAM(θ)=1−b0​(1/cosθ​−1)</w:t>
      </w:r>
    </w:p>
    <w:p w14:paraId="4DBD84EF">
      <w:pPr>
        <w:numPr>
          <w:numId w:val="0"/>
        </w:numPr>
        <w:rPr>
          <w:rFonts w:hint="default"/>
          <w:position w:val="-14"/>
          <w:lang w:val="en-US" w:eastAsia="zh-CN"/>
        </w:rPr>
      </w:pPr>
    </w:p>
    <w:p w14:paraId="5DC04671">
      <w:pPr>
        <w:numPr>
          <w:numId w:val="0"/>
        </w:numPr>
        <w:rPr>
          <w:rFonts w:hint="eastAsia"/>
          <w:position w:val="-14"/>
          <w:lang w:val="en-US" w:eastAsia="zh-CN"/>
        </w:rPr>
      </w:pPr>
      <w:r>
        <w:rPr>
          <w:rFonts w:hint="eastAsia"/>
          <w:position w:val="-14"/>
          <w:lang w:val="en-US" w:eastAsia="zh-CN"/>
        </w:rPr>
        <w:t xml:space="preserve">-&gt; ($1 2.4) Angular reflection losses at the front and rear module surface are accounted for with the </w:t>
      </w:r>
      <w:r>
        <w:rPr>
          <w:rFonts w:hint="eastAsia"/>
          <w:b/>
          <w:bCs/>
          <w:position w:val="-14"/>
          <w:lang w:val="en-US" w:eastAsia="zh-CN"/>
        </w:rPr>
        <w:t xml:space="preserve">Sandia incident angle modifier (IAM) model </w:t>
      </w:r>
      <w:r>
        <w:rPr>
          <w:rFonts w:hint="eastAsia"/>
          <w:position w:val="-14"/>
          <w:lang w:val="en-US" w:eastAsia="zh-CN"/>
        </w:rPr>
        <w:t xml:space="preserve">(King et al., 2004). An IAM profile for a c-Si module with non-antireflective coated glass was used for the rear side. </w:t>
      </w:r>
    </w:p>
    <w:p w14:paraId="57E006A8">
      <w:pPr>
        <w:numPr>
          <w:numId w:val="0"/>
        </w:numPr>
        <w:rPr>
          <w:rFonts w:hint="eastAsia"/>
          <w:position w:val="-14"/>
          <w:lang w:val="en-US" w:eastAsia="zh-CN"/>
        </w:rPr>
      </w:pPr>
      <w:r>
        <w:rPr>
          <w:rFonts w:hint="eastAsia"/>
          <w:position w:val="-14"/>
          <w:lang w:val="en-US" w:eastAsia="zh-CN"/>
        </w:rPr>
        <w:t xml:space="preserve">-&gt;($2 2.2&amp;3.1)  One problem of the reference cell, however, is that reflections from its planar glass cover significantly reduce the measured effective irradiance at high angles of incidence. This effect can be modelled approximately using incident angle modifier (IAM) models. In Fig. 2 we show the result of fitting the 1-parameter </w:t>
      </w:r>
      <w:r>
        <w:rPr>
          <w:rFonts w:hint="eastAsia"/>
          <w:b/>
          <w:bCs/>
          <w:position w:val="-14"/>
          <w:lang w:val="en-US" w:eastAsia="zh-CN"/>
        </w:rPr>
        <w:t>Martin and Ruiz IAM model</w:t>
      </w:r>
      <w:r>
        <w:rPr>
          <w:rFonts w:hint="eastAsia"/>
          <w:position w:val="-14"/>
          <w:lang w:val="en-US" w:eastAsia="zh-CN"/>
        </w:rPr>
        <w:t xml:space="preserve"> [23] to the reference cellangularresponseusingaparameterar=0.163. This enables an angular correction to be applied, albeit with the introduction of signif-icant uncertainty. We discuss the implications of the angular and spec-tral effects further in section 3.1.</w:t>
      </w:r>
    </w:p>
    <w:p w14:paraId="54AF5077">
      <w:pPr>
        <w:numPr>
          <w:numId w:val="0"/>
        </w:numPr>
        <w:ind w:firstLine="420" w:firstLineChars="0"/>
        <w:rPr>
          <w:rFonts w:hint="eastAsia"/>
          <w:position w:val="-14"/>
          <w:lang w:val="en-US" w:eastAsia="zh-CN"/>
        </w:rPr>
      </w:pPr>
      <w:r>
        <w:rPr>
          <w:rFonts w:hint="eastAsia"/>
          <w:position w:val="-14"/>
          <w:lang w:val="en-US" w:eastAsia="zh-CN"/>
        </w:rPr>
        <w:t>In the first, we modify the reference cell albedometer measurement with an angular-response correction to reference cell irradiance measurements: where G</w:t>
      </w:r>
      <w:r>
        <w:rPr>
          <w:rFonts w:hint="default"/>
          <w:position w:val="-14"/>
          <w:lang w:val="en-US" w:eastAsia="zh-CN"/>
        </w:rPr>
        <w:t>’</w:t>
      </w:r>
      <w:r>
        <w:rPr>
          <w:rFonts w:hint="eastAsia"/>
          <w:position w:val="-14"/>
          <w:lang w:val="en-US" w:eastAsia="zh-CN"/>
        </w:rPr>
        <w:t>sky and G</w:t>
      </w:r>
      <w:r>
        <w:rPr>
          <w:rFonts w:hint="default"/>
          <w:position w:val="-14"/>
          <w:lang w:val="en-US" w:eastAsia="zh-CN"/>
        </w:rPr>
        <w:t>’</w:t>
      </w:r>
      <w:r>
        <w:rPr>
          <w:rFonts w:hint="eastAsia"/>
          <w:position w:val="-14"/>
          <w:lang w:val="en-US" w:eastAsia="zh-CN"/>
        </w:rPr>
        <w:t xml:space="preserve">ground are the incident-angle corrected irradiances measured, derived from the sky-facing and ground-facing reference cell measured irradiances Gsky and Gground, respectively. kdiff is the diffuse light fraction, fIAM(θ) is the incident angle modifier (IAM) function for direct light, and fIAM,diff is the IAM for diffuse light. We used the Martin and Ruiz [23] IAM model with fit parameter ar = 0.163 and </w:t>
      </w:r>
      <w:r>
        <w:rPr>
          <w:rFonts w:hint="eastAsia"/>
          <w:b/>
          <w:bCs/>
          <w:position w:val="-14"/>
          <w:lang w:val="en-US" w:eastAsia="zh-CN"/>
        </w:rPr>
        <w:t>fIAM,diff = 0.986 derived by assuming isotropic diffuse radiance.</w:t>
      </w:r>
      <w:r>
        <w:rPr>
          <w:rFonts w:hint="eastAsia"/>
          <w:position w:val="-14"/>
          <w:lang w:val="en-US" w:eastAsia="zh-CN"/>
        </w:rPr>
        <w:t xml:space="preserve"> As θSun and kdiff are not measured directly, they were inferred from calculation [29] and estimation [30] respectively, using location, time and GHI as inputs. This method is relatively complex to implement and relies on estimation and assumptions. </w:t>
      </w:r>
    </w:p>
    <w:p w14:paraId="5908574C">
      <w:pPr>
        <w:numPr>
          <w:numId w:val="0"/>
        </w:numPr>
        <w:rPr>
          <w:rFonts w:hint="eastAsia"/>
          <w:position w:val="-14"/>
          <w:lang w:val="en-US" w:eastAsia="zh-CN"/>
        </w:rPr>
      </w:pPr>
    </w:p>
    <w:p w14:paraId="7FEEE3C0">
      <w:pPr>
        <w:numPr>
          <w:numId w:val="0"/>
        </w:numPr>
        <w:rPr>
          <w:rFonts w:hint="default"/>
          <w:position w:val="-14"/>
          <w:lang w:val="en-US" w:eastAsia="zh-CN"/>
        </w:rPr>
      </w:pPr>
    </w:p>
    <w:p w14:paraId="276117BC">
      <w:pPr>
        <w:numPr>
          <w:ilvl w:val="0"/>
          <w:numId w:val="0"/>
        </w:numPr>
        <w:ind w:left="0" w:leftChars="0" w:firstLine="0" w:firstLineChars="0"/>
        <w:rPr>
          <w:rFonts w:hint="eastAsia"/>
          <w:position w:val="-14"/>
          <w:lang w:val="en-US" w:eastAsia="zh-CN"/>
        </w:rPr>
      </w:pPr>
      <w:r>
        <w:rPr>
          <w:rFonts w:hint="default" w:asciiTheme="minorHAnsi" w:hAnsiTheme="minorHAnsi" w:eastAsiaTheme="minorEastAsia" w:cstheme="minorBidi"/>
          <w:kern w:val="2"/>
          <w:position w:val="-14"/>
          <w:sz w:val="21"/>
          <w:szCs w:val="24"/>
          <w:lang w:val="en-US" w:eastAsia="zh-CN" w:bidi="ar-SA"/>
        </w:rPr>
        <w:t>2.</w:t>
      </w:r>
      <w:r>
        <w:rPr>
          <w:rFonts w:hint="eastAsia"/>
          <w:position w:val="-14"/>
          <w:lang w:val="en-US" w:eastAsia="zh-CN"/>
        </w:rPr>
        <w:t>0.98 光谱错配</w:t>
      </w:r>
    </w:p>
    <w:p w14:paraId="2B7675E9">
      <w:pPr>
        <w:numPr>
          <w:ilvl w:val="0"/>
          <w:numId w:val="0"/>
        </w:numPr>
        <w:ind w:left="0" w:leftChars="0" w:firstLine="0" w:firstLineChars="0"/>
        <w:rPr>
          <w:rFonts w:hint="default"/>
          <w:position w:val="-14"/>
          <w:lang w:val="en-US" w:eastAsia="zh-CN"/>
        </w:rPr>
      </w:pPr>
      <w:r>
        <w:rPr>
          <w:rFonts w:hint="eastAsia"/>
          <w:position w:val="-14"/>
          <w:lang w:val="en-US" w:eastAsia="zh-CN"/>
        </w:rPr>
        <w:t>-&gt;($1 3.3 fig12)</w:t>
      </w:r>
      <w:r>
        <w:rPr>
          <w:rFonts w:hint="default"/>
          <w:position w:val="-14"/>
          <w:lang w:val="en-US" w:eastAsia="zh-CN"/>
        </w:rPr>
        <w:t> The spectral nature of albedo is shown to have significant influence on bifacial photo-voltaic performance wherein backside spectral impact as high as 1.20 is observed for fixed-tilt systems above green vegetation and as low as 0.98 for systems above snow. </w:t>
      </w:r>
    </w:p>
    <w:p w14:paraId="7E5EDAB7">
      <w:pPr>
        <w:numPr>
          <w:ilvl w:val="0"/>
          <w:numId w:val="0"/>
        </w:numPr>
        <w:ind w:left="0" w:leftChars="0" w:firstLine="0" w:firstLineChars="0"/>
        <w:rPr>
          <w:rFonts w:hint="default"/>
          <w:position w:val="-14"/>
          <w:lang w:val="en-US" w:eastAsia="zh-CN"/>
        </w:rPr>
      </w:pPr>
    </w:p>
    <w:p w14:paraId="76FD6CB9">
      <w:pPr>
        <w:numPr>
          <w:ilvl w:val="0"/>
          <w:numId w:val="1"/>
        </w:numPr>
        <w:ind w:left="0" w:leftChars="0" w:firstLine="0" w:firstLineChars="0"/>
        <w:rPr>
          <w:rFonts w:hint="default" w:asciiTheme="minorHAnsi" w:hAnsiTheme="minorHAnsi" w:eastAsiaTheme="minorEastAsia" w:cstheme="minorBidi"/>
          <w:kern w:val="2"/>
          <w:position w:val="-14"/>
          <w:sz w:val="21"/>
          <w:szCs w:val="24"/>
          <w:lang w:val="en-US" w:eastAsia="zh-CN" w:bidi="ar-SA"/>
        </w:rPr>
      </w:pPr>
      <w:r>
        <w:rPr>
          <w:rFonts w:hint="default" w:asciiTheme="minorHAnsi" w:hAnsiTheme="minorHAnsi" w:eastAsiaTheme="minorEastAsia" w:cstheme="minorBidi"/>
          <w:kern w:val="2"/>
          <w:position w:val="-14"/>
          <w:sz w:val="21"/>
          <w:szCs w:val="24"/>
          <w:lang w:val="en-US" w:eastAsia="zh-CN" w:bidi="ar-SA"/>
        </w:rPr>
        <w:t>αeff′(t)</w:t>
      </w:r>
    </w:p>
    <w:p w14:paraId="6C8F6A5F">
      <w:pPr>
        <w:numPr>
          <w:numId w:val="0"/>
        </w:numPr>
        <w:ind w:leftChars="0"/>
        <w:rPr>
          <w:rFonts w:hint="default" w:asciiTheme="minorHAnsi" w:hAnsiTheme="minorHAnsi" w:eastAsiaTheme="minorEastAsia" w:cstheme="minorBidi"/>
          <w:kern w:val="2"/>
          <w:position w:val="-14"/>
          <w:sz w:val="21"/>
          <w:szCs w:val="24"/>
          <w:lang w:val="en-US" w:eastAsia="zh-CN" w:bidi="ar-SA"/>
        </w:rPr>
      </w:pPr>
      <w:r>
        <w:rPr>
          <w:rFonts w:hint="eastAsia" w:asciiTheme="minorHAnsi" w:hAnsiTheme="minorHAnsi" w:eastAsiaTheme="minorEastAsia" w:cstheme="minorBidi"/>
          <w:kern w:val="2"/>
          <w:position w:val="-14"/>
          <w:sz w:val="21"/>
          <w:szCs w:val="24"/>
          <w:lang w:val="en-US" w:eastAsia="zh-CN" w:bidi="ar-SA"/>
        </w:rPr>
        <w:t>kdiff(t)*αws(t)+(1−kdiff(t))*αbs(θSun,t)</w:t>
      </w:r>
      <w:r>
        <w:rPr>
          <w:rFonts w:hint="eastAsia" w:cstheme="minorBidi"/>
          <w:kern w:val="2"/>
          <w:position w:val="-14"/>
          <w:sz w:val="21"/>
          <w:szCs w:val="24"/>
          <w:lang w:val="en-US" w:eastAsia="zh-CN" w:bidi="ar-SA"/>
        </w:rPr>
        <w:t xml:space="preserve">, </w:t>
      </w:r>
      <w:r>
        <w:rPr>
          <w:rFonts w:hint="eastAsia" w:asciiTheme="minorHAnsi" w:hAnsiTheme="minorHAnsi" w:eastAsiaTheme="minorEastAsia" w:cstheme="minorBidi"/>
          <w:kern w:val="2"/>
          <w:position w:val="-14"/>
          <w:sz w:val="21"/>
          <w:szCs w:val="24"/>
          <w:lang w:val="en-US" w:eastAsia="zh-CN" w:bidi="ar-SA"/>
        </w:rPr>
        <w:t>核心在于将到达地面的太阳辐射拆分为“直射”与“散射”两个物理分量，并分别考虑地表对这两种不同光性质的反射特性。</w:t>
      </w:r>
      <w:r>
        <w:rPr>
          <w:rFonts w:hint="eastAsia" w:cstheme="minorBidi"/>
          <w:kern w:val="2"/>
          <w:position w:val="-14"/>
          <w:sz w:val="21"/>
          <w:szCs w:val="24"/>
          <w:lang w:val="en-US" w:eastAsia="zh-CN" w:bidi="ar-SA"/>
        </w:rPr>
        <w:t>αws为white sky albedo, while αbs为black sky albedo, 这两个由BRDF卫星数据获得.</w:t>
      </w:r>
    </w:p>
    <w:p w14:paraId="62F2B427">
      <w:pPr>
        <w:numPr>
          <w:ilvl w:val="0"/>
          <w:numId w:val="0"/>
        </w:numPr>
        <w:ind w:left="0" w:leftChars="0" w:firstLine="0" w:firstLineChars="0"/>
        <w:rPr>
          <w:rFonts w:hint="default"/>
          <w:position w:val="-14"/>
          <w:lang w:val="en-US" w:eastAsia="zh-CN"/>
        </w:rPr>
      </w:pPr>
      <w:r>
        <w:rPr>
          <w:rFonts w:hint="eastAsia"/>
          <w:position w:val="-14"/>
          <w:lang w:val="en-US" w:eastAsia="zh-CN"/>
        </w:rPr>
        <w:t xml:space="preserve">-&gt;($1 2.3) </w:t>
      </w:r>
      <w:r>
        <w:rPr>
          <w:rFonts w:hint="default"/>
          <w:position w:val="-14"/>
          <w:lang w:val="en-US" w:eastAsia="zh-CN"/>
        </w:rPr>
        <w:t>In principle, the calculation of albedo from BRDF requires the 5- dimensional integration of the product of spectrally and angularly resolved incident radiance with the spectrally resolved BRDF. This is complex and requires more information than is typically available. For simplicity, it is convenient to separate into two components: White-sky albedo αws and black-sky albedo αbs, representing diffuse and direct illumination components respectively. αws is calculated from a bi</w:t>
      </w:r>
      <w:r>
        <w:rPr>
          <w:rFonts w:hint="default"/>
          <w:position w:val="-14"/>
          <w:lang w:val="en-US" w:eastAsia="zh-CN"/>
        </w:rPr>
        <w:t/>
      </w:r>
      <w:r>
        <w:rPr>
          <w:rFonts w:hint="default"/>
          <w:position w:val="-14"/>
          <w:lang w:val="en-US" w:eastAsia="zh-CN"/>
        </w:rPr>
        <w:t>hemispherical integral of the surface BRDF assuming an isotropic light source (diffuse sky). αbs is calculated from a single hemispherical inte</w:t>
      </w:r>
      <w:r>
        <w:rPr>
          <w:rFonts w:hint="default"/>
          <w:position w:val="-14"/>
          <w:lang w:val="en-US" w:eastAsia="zh-CN"/>
        </w:rPr>
        <w:t/>
      </w:r>
      <w:r>
        <w:rPr>
          <w:rFonts w:hint="default"/>
          <w:position w:val="-14"/>
          <w:lang w:val="en-US" w:eastAsia="zh-CN"/>
        </w:rPr>
        <w:t>gral of the BRDF assuming that all incoming light is from a single di</w:t>
      </w:r>
      <w:r>
        <w:rPr>
          <w:rFonts w:hint="default"/>
          <w:position w:val="-14"/>
          <w:lang w:val="en-US" w:eastAsia="zh-CN"/>
        </w:rPr>
        <w:t/>
      </w:r>
      <w:r>
        <w:rPr>
          <w:rFonts w:hint="default"/>
          <w:position w:val="-14"/>
          <w:lang w:val="en-US" w:eastAsia="zh-CN"/>
        </w:rPr>
        <w:t xml:space="preserve">rection (the Sun). αbs is a function of solar zenith angle θSun, whereas αws is independent of the Sun’s position. The total albedo α estimated from a weighted sum of these sources: </w:t>
      </w:r>
    </w:p>
    <w:p w14:paraId="0A54AC64">
      <w:pPr>
        <w:numPr>
          <w:ilvl w:val="0"/>
          <w:numId w:val="0"/>
        </w:numPr>
        <w:ind w:left="0" w:leftChars="0" w:firstLine="0" w:firstLineChars="0"/>
        <w:rPr>
          <w:rFonts w:hint="default"/>
          <w:b/>
          <w:bCs/>
          <w:position w:val="-14"/>
          <w:lang w:val="en-US" w:eastAsia="zh-CN"/>
        </w:rPr>
      </w:pPr>
      <w:r>
        <w:rPr>
          <w:rFonts w:hint="default"/>
          <w:b/>
          <w:bCs/>
          <w:position w:val="-14"/>
          <w:lang w:val="en-US" w:eastAsia="zh-CN"/>
        </w:rPr>
        <w:t xml:space="preserve">α = kdiff αws + ( 1 − kdiff ) αbs </w:t>
      </w:r>
    </w:p>
    <w:p w14:paraId="64E77C4C">
      <w:pPr>
        <w:numPr>
          <w:ilvl w:val="0"/>
          <w:numId w:val="0"/>
        </w:numPr>
        <w:ind w:left="0" w:leftChars="0" w:firstLine="0" w:firstLineChars="0"/>
        <w:rPr>
          <w:rFonts w:hint="default"/>
          <w:position w:val="-14"/>
          <w:lang w:val="en-US" w:eastAsia="zh-CN"/>
        </w:rPr>
      </w:pPr>
      <w:r>
        <w:rPr>
          <w:rFonts w:hint="default"/>
          <w:position w:val="-14"/>
          <w:lang w:val="en-US" w:eastAsia="zh-CN"/>
        </w:rPr>
        <w:t>where kdiff is the quotient of diffuse horizontal irradiance (DHI) divided by global horizontal irradiance (GHI). We used this approach to estimate effective albedo using the following procedure</w:t>
      </w:r>
    </w:p>
    <w:p w14:paraId="2C038C39">
      <w:pPr>
        <w:numPr>
          <w:ilvl w:val="0"/>
          <w:numId w:val="0"/>
        </w:numPr>
        <w:ind w:left="0" w:leftChars="0" w:firstLine="0" w:firstLineChars="0"/>
        <w:rPr>
          <w:rFonts w:hint="default"/>
          <w:position w:val="-14"/>
          <w:lang w:val="en-US" w:eastAsia="zh-CN"/>
        </w:rPr>
      </w:pPr>
    </w:p>
    <w:p w14:paraId="63B7EC08">
      <w:pPr>
        <w:numPr>
          <w:numId w:val="0"/>
        </w:numPr>
        <w:ind w:leftChars="0"/>
        <w:rPr>
          <w:rFonts w:hint="eastAsia"/>
          <w:position w:val="-14"/>
          <w:lang w:val="en-US" w:eastAsia="zh-CN"/>
        </w:rPr>
      </w:pPr>
      <w:r>
        <w:rPr>
          <w:rFonts w:hint="eastAsia"/>
          <w:position w:val="-14"/>
          <w:lang w:val="en-US" w:eastAsia="zh-CN"/>
        </w:rPr>
        <w:t>4.flow_sun(</w:t>
      </w:r>
      <w:r>
        <w:rPr>
          <w:rFonts w:hint="default"/>
          <w:b/>
          <w:bCs/>
          <w:color w:val="E54C5E" w:themeColor="accent6"/>
          <w:position w:val="-14"/>
          <w:lang w:val="en-US" w:eastAsia="zh-CN"/>
          <w14:textFill>
            <w14:solidFill>
              <w14:schemeClr w14:val="accent6"/>
            </w14:solidFill>
          </w14:textFill>
        </w:rPr>
        <w:t>γ</w:t>
      </w:r>
      <w:r>
        <w:rPr>
          <w:rFonts w:hint="eastAsia"/>
          <w:position w:val="-14"/>
          <w:lang w:val="en-US" w:eastAsia="zh-CN"/>
        </w:rPr>
        <w:t>)</w:t>
      </w:r>
    </w:p>
    <w:p w14:paraId="7D72391F">
      <w:pPr>
        <w:numPr>
          <w:ilvl w:val="0"/>
          <w:numId w:val="0"/>
        </w:numPr>
        <w:ind w:left="0" w:leftChars="0" w:firstLine="0" w:firstLineChars="0"/>
        <w:rPr>
          <w:rFonts w:hint="default"/>
          <w:position w:val="-14"/>
          <w:lang w:val="en-US" w:eastAsia="zh-CN"/>
        </w:rPr>
      </w:pPr>
      <w:r>
        <w:rPr>
          <w:rFonts w:hint="default"/>
          <w:position w:val="-14"/>
          <w:lang w:val="en-US" w:eastAsia="zh-CN"/>
        </w:rPr>
        <w:t>当太阳从 10° 降向地平线时，太阳光在大气中穿行的路径极长。这导致水平面散射辐照度与水平面直射辐照度的比例（DHI/GHI）迅速增加。</w:t>
      </w:r>
    </w:p>
    <w:p w14:paraId="6DF532CF">
      <w:pPr>
        <w:numPr>
          <w:ilvl w:val="0"/>
          <w:numId w:val="0"/>
        </w:numPr>
        <w:ind w:left="0" w:leftChars="0" w:firstLine="0" w:firstLineChars="0"/>
        <w:rPr>
          <w:rFonts w:hint="default"/>
          <w:position w:val="-14"/>
          <w:lang w:val="en-US" w:eastAsia="zh-CN"/>
        </w:rPr>
      </w:pPr>
      <w:r>
        <w:rPr>
          <w:rFonts w:hint="default"/>
          <w:position w:val="-14"/>
          <w:lang w:val="en-US" w:eastAsia="zh-CN"/>
        </w:rPr>
        <w:t>BRDF 模型是基于经验核函数的数学拟合。当太阳处于极低角度时，这些核函数会进入数学上的不稳定区，导致计算出的 αbs数值可能出现物理上不可能的极值（如大于 1.0 或剧烈震荡</w:t>
      </w:r>
    </w:p>
    <w:p w14:paraId="67C5251B">
      <w:pPr>
        <w:numPr>
          <w:ilvl w:val="0"/>
          <w:numId w:val="0"/>
        </w:numPr>
        <w:ind w:left="0" w:leftChars="0" w:firstLine="0" w:firstLineChars="0"/>
        <w:rPr>
          <w:rFonts w:hint="default"/>
          <w:position w:val="-14"/>
          <w:lang w:val="en-US" w:eastAsia="zh-CN"/>
        </w:rPr>
      </w:pPr>
      <w:r>
        <w:rPr>
          <w:rFonts w:hint="default"/>
          <w:position w:val="-14"/>
          <w:lang w:val="en-US" w:eastAsia="zh-CN"/>
        </w:rPr>
        <w:t>The daily horizontal diffuse to global fraction (Kd) on the clear days was less than 0.40, while on cloudy days Kd was greater than 0.95. Al</w:t>
      </w:r>
      <w:r>
        <w:rPr>
          <w:rFonts w:hint="default"/>
          <w:position w:val="-14"/>
          <w:lang w:val="en-US" w:eastAsia="zh-CN"/>
        </w:rPr>
        <w:t/>
      </w:r>
      <w:r>
        <w:rPr>
          <w:rFonts w:hint="default"/>
          <w:position w:val="-14"/>
          <w:lang w:val="en-US" w:eastAsia="zh-CN"/>
        </w:rPr>
        <w:t>bedo increases with decreases in sun height on clear days, but only down to solar elevation angles of about 10◦ at which point the albedo de</w:t>
      </w:r>
      <w:r>
        <w:rPr>
          <w:rFonts w:hint="default"/>
          <w:position w:val="-14"/>
          <w:lang w:val="en-US" w:eastAsia="zh-CN"/>
        </w:rPr>
        <w:t/>
      </w:r>
      <w:r>
        <w:rPr>
          <w:rFonts w:hint="default"/>
          <w:position w:val="-14"/>
          <w:lang w:val="en-US" w:eastAsia="zh-CN"/>
        </w:rPr>
        <w:t xml:space="preserve">creases (Iqbal, 1983). This phenomenon occurs because the fraction of horizontal diffuse to horizontal beam irradiance rapidly increases as the solar elevation angle decreases from 10◦ toward the horizon. Therefore, we only show measurements when the sun is higher than 10◦ above the horizon in Fig. 4a, Fig. 4c, and Fig. 4e. </w:t>
      </w:r>
      <w:r>
        <w:rPr>
          <w:rFonts w:hint="eastAsia"/>
          <w:position w:val="-14"/>
          <w:lang w:val="en-US" w:eastAsia="zh-CN"/>
        </w:rPr>
        <w:t>(他没有记10°以下的数据, 说明需要修正</w:t>
      </w:r>
      <w:bookmarkStart w:id="0" w:name="_GoBack"/>
      <w:bookmarkEnd w:id="0"/>
      <w:r>
        <w:rPr>
          <w:rFonts w:hint="eastAsia"/>
          <w:position w:val="-14"/>
          <w:lang w:val="en-US" w:eastAsia="zh-CN"/>
        </w:rPr>
        <w:t>)</w:t>
      </w:r>
    </w:p>
    <w:p w14:paraId="2D3DB714">
      <w:pPr>
        <w:numPr>
          <w:ilvl w:val="0"/>
          <w:numId w:val="0"/>
        </w:numPr>
        <w:ind w:left="0" w:leftChars="0" w:firstLine="0" w:firstLineChars="0"/>
        <w:rPr>
          <w:rFonts w:hint="default"/>
          <w:position w:val="-14"/>
          <w:lang w:val="en-US" w:eastAsia="zh-CN"/>
        </w:rPr>
      </w:pPr>
    </w:p>
    <w:p w14:paraId="356A30FD">
      <w:pPr>
        <w:numPr>
          <w:numId w:val="0"/>
        </w:numPr>
        <w:ind w:leftChars="0"/>
        <w:rPr>
          <w:rFonts w:hint="default"/>
          <w:position w:val="-14"/>
          <w:lang w:val="en-US" w:eastAsia="zh-CN"/>
        </w:rPr>
      </w:pPr>
    </w:p>
    <w:p w14:paraId="7BAE9EC3">
      <w:pPr>
        <w:numPr>
          <w:ilvl w:val="0"/>
          <w:numId w:val="0"/>
        </w:numPr>
        <w:ind w:left="0" w:leftChars="0" w:firstLine="0" w:firstLineChars="0"/>
        <w:rPr>
          <w:rFonts w:hint="default"/>
          <w:position w:val="-14"/>
          <w:lang w:val="en-US" w:eastAsia="zh-CN"/>
        </w:rPr>
      </w:pPr>
    </w:p>
    <w:p w14:paraId="7D2CFDFD">
      <w:pPr>
        <w:numPr>
          <w:ilvl w:val="0"/>
          <w:numId w:val="0"/>
        </w:numPr>
        <w:ind w:left="0" w:leftChars="0" w:firstLine="0" w:firstLineChars="0"/>
        <w:rPr>
          <w:rFonts w:hint="default"/>
          <w:position w:val="-14"/>
          <w:lang w:val="en-US" w:eastAsia="zh-CN"/>
        </w:rPr>
      </w:pPr>
    </w:p>
    <w:p w14:paraId="6BF4BE2E">
      <w:pPr>
        <w:numPr>
          <w:ilvl w:val="0"/>
          <w:numId w:val="0"/>
        </w:numPr>
        <w:ind w:left="0" w:leftChars="0" w:firstLine="0" w:firstLineChars="0"/>
        <w:rPr>
          <w:rFonts w:hint="default"/>
          <w:position w:val="-14"/>
          <w:lang w:val="en-US" w:eastAsia="zh-CN"/>
        </w:rPr>
      </w:pPr>
    </w:p>
    <w:p w14:paraId="4683EC98">
      <w:pPr>
        <w:rPr>
          <w:rFonts w:hint="default"/>
          <w:b/>
          <w:bCs/>
          <w:color w:val="E54C5E" w:themeColor="accent6"/>
          <w:position w:val="-14"/>
          <w:lang w:val="en-US" w:eastAsia="zh-CN"/>
          <w14:textFill>
            <w14:solidFill>
              <w14:schemeClr w14:val="accent6"/>
            </w14:solidFill>
          </w14:textFill>
        </w:rPr>
      </w:pPr>
    </w:p>
    <w:p w14:paraId="1CEF3607">
      <w:pPr>
        <w:rPr>
          <w:rFonts w:hint="default"/>
          <w:b/>
          <w:bCs/>
          <w:color w:val="E54C5E" w:themeColor="accent6"/>
          <w:position w:val="-14"/>
          <w:lang w:val="en-US" w:eastAsia="zh-CN"/>
          <w14:textFill>
            <w14:solidFill>
              <w14:schemeClr w14:val="accent6"/>
            </w14:solidFill>
          </w14:textFill>
        </w:rPr>
      </w:pPr>
    </w:p>
    <w:p w14:paraId="43FC673F">
      <w:pPr>
        <w:rPr>
          <w:rFonts w:hint="eastAsia"/>
          <w:position w:val="-14"/>
          <w:lang w:val="en-US" w:eastAsia="zh-CN"/>
        </w:rPr>
      </w:pPr>
      <w:r>
        <w:rPr>
          <w:rFonts w:hint="eastAsia"/>
          <w:position w:val="-14"/>
          <w:lang w:val="en-US" w:eastAsia="zh-CN"/>
        </w:rPr>
        <w:t>此模型还需做4个优化:</w:t>
      </w:r>
    </w:p>
    <w:p w14:paraId="5D621F85">
      <w:pPr>
        <w:rPr>
          <w:rFonts w:hint="default"/>
          <w:position w:val="-14"/>
          <w:lang w:val="en-US" w:eastAsia="zh-CN"/>
        </w:rPr>
      </w:pPr>
      <w:r>
        <w:rPr>
          <w:rFonts w:hint="eastAsia"/>
          <w:position w:val="-14"/>
          <w:lang w:val="en-US" w:eastAsia="zh-CN"/>
        </w:rPr>
        <w:t xml:space="preserve">---&gt; </w:t>
      </w:r>
      <w:r>
        <w:rPr>
          <w:rFonts w:hint="default"/>
          <w:position w:val="-14"/>
          <w:lang w:val="en-US" w:eastAsia="zh-CN"/>
        </w:rPr>
        <w:t>雪损模型（Snow Loss Model）</w:t>
      </w:r>
    </w:p>
    <w:p w14:paraId="24654E30">
      <w:pPr>
        <w:rPr>
          <w:rFonts w:hint="default"/>
          <w:position w:val="-14"/>
          <w:lang w:val="en-US" w:eastAsia="zh-CN"/>
        </w:rPr>
      </w:pPr>
      <w:r>
        <w:rPr>
          <w:rFonts w:hint="eastAsia"/>
          <w:position w:val="-14"/>
          <w:lang w:val="en-US" w:eastAsia="zh-CN"/>
        </w:rPr>
        <w:t>**[论文</w:t>
      </w:r>
      <w:r>
        <w:rPr>
          <w:rFonts w:hint="default"/>
          <w:position w:val="-14"/>
          <w:lang w:val="en-US" w:eastAsia="zh-CN"/>
        </w:rPr>
        <w:t>3</w:t>
      </w:r>
      <w:r>
        <w:rPr>
          <w:rFonts w:hint="eastAsia"/>
          <w:position w:val="-14"/>
          <w:lang w:val="en-US" w:eastAsia="zh-CN"/>
        </w:rPr>
        <w:t xml:space="preserve">]: </w:t>
      </w:r>
      <w:r>
        <w:rPr>
          <w:rFonts w:hint="default"/>
          <w:position w:val="-14"/>
          <w:lang w:val="en-US" w:eastAsia="zh-CN"/>
        </w:rPr>
        <w:t>单面组件在严寒环境下冬季雪损平均达 33.12%。</w:t>
      </w:r>
    </w:p>
    <w:p w14:paraId="67877614">
      <w:pPr>
        <w:rPr>
          <w:rFonts w:hint="default"/>
          <w:position w:val="-14"/>
          <w:lang w:val="en-US" w:eastAsia="zh-CN"/>
        </w:rPr>
      </w:pPr>
      <w:r>
        <w:rPr>
          <w:rFonts w:hint="default"/>
          <w:position w:val="-14"/>
          <w:lang w:val="en-US" w:eastAsia="zh-CN"/>
        </w:rPr>
        <w:t>落地逻辑（Marion 模型）：</w:t>
      </w:r>
    </w:p>
    <w:p w14:paraId="179012C1">
      <w:pPr>
        <w:rPr>
          <w:rFonts w:hint="default"/>
          <w:position w:val="-14"/>
          <w:lang w:val="en-US" w:eastAsia="zh-CN"/>
        </w:rPr>
      </w:pPr>
      <w:r>
        <w:rPr>
          <w:rFonts w:hint="default"/>
          <w:position w:val="-14"/>
          <w:lang w:val="en-US" w:eastAsia="zh-CN"/>
        </w:rPr>
        <w:t>判定滑动： 当 Tambient​&gt;GPOA​/(−80) 时，雪开始滑动。</w:t>
      </w:r>
    </w:p>
    <w:p w14:paraId="444A2B79">
      <w:pPr>
        <w:rPr>
          <w:rFonts w:hint="default"/>
          <w:position w:val="-14"/>
          <w:lang w:val="en-US" w:eastAsia="zh-CN"/>
        </w:rPr>
      </w:pPr>
      <w:r>
        <w:rPr>
          <w:rFonts w:hint="default"/>
          <w:position w:val="-14"/>
          <w:lang w:val="en-US" w:eastAsia="zh-CN"/>
        </w:rPr>
        <w:t>单面板劣势： 单面板没有背面加热效应，雪滑得比双面板慢得多。</w:t>
      </w:r>
    </w:p>
    <w:p w14:paraId="51D7CDF5">
      <w:pPr>
        <w:rPr>
          <w:rFonts w:hint="default"/>
          <w:position w:val="-14"/>
          <w:lang w:val="en-US" w:eastAsia="zh-CN"/>
        </w:rPr>
      </w:pPr>
      <w:r>
        <w:rPr>
          <w:rFonts w:hint="default"/>
          <w:position w:val="-14"/>
          <w:lang w:val="en-US" w:eastAsia="zh-CN"/>
        </w:rPr>
        <w:t>雪深影响： 来源 5 发现，当雪深超过 3cm 时，由于地面干扰（Ground Interference），滑动系数 sc 会从 0.4 锐减至 0.06。</w:t>
      </w:r>
    </w:p>
    <w:p w14:paraId="6F23C147">
      <w:pPr>
        <w:rPr>
          <w:rFonts w:hint="default"/>
          <w:position w:val="-14"/>
          <w:lang w:val="en-US" w:eastAsia="zh-CN"/>
        </w:rPr>
      </w:pPr>
    </w:p>
    <w:p w14:paraId="0BA99AA9">
      <w:pPr>
        <w:rPr>
          <w:rFonts w:hint="eastAsia"/>
          <w:position w:val="-14"/>
          <w:lang w:val="en-US" w:eastAsia="zh-CN"/>
        </w:rPr>
      </w:pPr>
      <w:r>
        <w:rPr>
          <w:rFonts w:hint="eastAsia"/>
          <w:position w:val="-14"/>
          <w:lang w:val="en-US" w:eastAsia="zh-CN"/>
        </w:rPr>
        <w:t>---&gt;电气失配与安装排布（Portrait vs. Landscape）</w:t>
      </w:r>
    </w:p>
    <w:p w14:paraId="1379D7BE">
      <w:pPr>
        <w:rPr>
          <w:rFonts w:hint="eastAsia"/>
          <w:position w:val="-14"/>
          <w:lang w:val="en-US" w:eastAsia="zh-CN"/>
        </w:rPr>
      </w:pPr>
      <w:r>
        <w:rPr>
          <w:rFonts w:hint="eastAsia"/>
          <w:position w:val="-14"/>
          <w:lang w:val="en-US" w:eastAsia="zh-CN"/>
        </w:rPr>
        <w:t>模型目前计算的是“面”的辐照度，但实际发电取决于“组串”的电流。</w:t>
      </w:r>
    </w:p>
    <w:p w14:paraId="38843D0C">
      <w:pPr>
        <w:rPr>
          <w:rFonts w:hint="eastAsia"/>
          <w:position w:val="-14"/>
          <w:lang w:val="en-US" w:eastAsia="zh-CN"/>
        </w:rPr>
      </w:pPr>
      <w:r>
        <w:rPr>
          <w:rFonts w:hint="eastAsia"/>
          <w:position w:val="-14"/>
          <w:lang w:val="en-US" w:eastAsia="zh-CN"/>
        </w:rPr>
        <w:t>阴影特征：积雪通常从顶部下滑并堆积在组件底部。</w:t>
      </w:r>
    </w:p>
    <w:p w14:paraId="6C00E5C4">
      <w:pPr>
        <w:rPr>
          <w:rFonts w:hint="eastAsia"/>
          <w:position w:val="-14"/>
          <w:lang w:val="en-US" w:eastAsia="zh-CN"/>
        </w:rPr>
      </w:pPr>
      <w:r>
        <w:rPr>
          <w:rFonts w:hint="eastAsia"/>
          <w:position w:val="-14"/>
          <w:lang w:val="en-US" w:eastAsia="zh-CN"/>
        </w:rPr>
        <w:t>排布影响：</w:t>
      </w:r>
    </w:p>
    <w:p w14:paraId="69A654C7">
      <w:pPr>
        <w:rPr>
          <w:rFonts w:hint="eastAsia"/>
          <w:position w:val="-14"/>
          <w:lang w:val="en-US" w:eastAsia="zh-CN"/>
        </w:rPr>
      </w:pPr>
      <w:r>
        <w:rPr>
          <w:rFonts w:hint="eastAsia"/>
          <w:position w:val="-14"/>
          <w:lang w:val="en-US" w:eastAsia="zh-CN"/>
        </w:rPr>
        <w:t>纵向（Portrait）： 即使只有底部 10% 的雪，也会切断整个组串电流，导致 100% 功率损失。</w:t>
      </w:r>
    </w:p>
    <w:p w14:paraId="619240B7">
      <w:pPr>
        <w:rPr>
          <w:rFonts w:hint="eastAsia"/>
          <w:position w:val="-14"/>
          <w:lang w:val="en-US" w:eastAsia="zh-CN"/>
        </w:rPr>
      </w:pPr>
      <w:r>
        <w:rPr>
          <w:rFonts w:hint="eastAsia"/>
          <w:position w:val="-14"/>
          <w:lang w:val="en-US" w:eastAsia="zh-CN"/>
        </w:rPr>
        <w:t>横向（Landscape）： 配合旁路二极管，可以保留上方未遮挡区域的电力。</w:t>
      </w:r>
    </w:p>
    <w:p w14:paraId="21841CE3">
      <w:pPr>
        <w:rPr>
          <w:rFonts w:hint="eastAsia"/>
          <w:position w:val="-14"/>
          <w:lang w:val="en-US" w:eastAsia="zh-CN"/>
        </w:rPr>
      </w:pPr>
      <w:r>
        <w:rPr>
          <w:rFonts w:hint="eastAsia"/>
          <w:position w:val="-14"/>
          <w:lang w:val="en-US" w:eastAsia="zh-CN"/>
        </w:rPr>
        <w:t>对 DW 的优化意义： 如果最优β较小，必须在模型中加入一个“布局折减因子”,或者强制建议在南极采用横向排布。</w:t>
      </w:r>
    </w:p>
    <w:p w14:paraId="6EEFE846">
      <w:pPr>
        <w:rPr>
          <w:rFonts w:hint="default"/>
          <w:position w:val="-14"/>
          <w:lang w:val="en-US" w:eastAsia="zh-CN"/>
        </w:rPr>
      </w:pPr>
    </w:p>
    <w:p w14:paraId="000D8055">
      <w:pPr>
        <w:rPr>
          <w:rFonts w:hint="eastAsia"/>
          <w:position w:val="-14"/>
          <w:lang w:val="en-US" w:eastAsia="zh-CN"/>
        </w:rPr>
      </w:pPr>
      <w:r>
        <w:rPr>
          <w:rFonts w:hint="eastAsia"/>
          <w:position w:val="-14"/>
          <w:lang w:val="en-US" w:eastAsia="zh-CN"/>
        </w:rPr>
        <w:t>---&gt;阵列自遮挡（Ground Self-Shading）</w:t>
      </w:r>
    </w:p>
    <w:p w14:paraId="7EBE46B7">
      <w:pPr>
        <w:rPr>
          <w:rFonts w:hint="eastAsia"/>
          <w:position w:val="-14"/>
          <w:lang w:val="en-US" w:eastAsia="zh-CN"/>
        </w:rPr>
      </w:pPr>
      <w:r>
        <w:rPr>
          <w:rFonts w:hint="eastAsia"/>
          <w:position w:val="-14"/>
          <w:lang w:val="en-US" w:eastAsia="zh-CN"/>
        </w:rPr>
        <w:t>[论文2] 光伏阵列会在地面投射长阴影。</w:t>
      </w:r>
    </w:p>
    <w:p w14:paraId="1BB21150">
      <w:pPr>
        <w:rPr>
          <w:rFonts w:hint="eastAsia"/>
          <w:position w:val="-14"/>
          <w:lang w:val="en-US" w:eastAsia="zh-CN"/>
        </w:rPr>
      </w:pPr>
      <w:r>
        <w:rPr>
          <w:rFonts w:hint="eastAsia"/>
          <w:position w:val="-14"/>
          <w:lang w:val="en-US" w:eastAsia="zh-CN"/>
        </w:rPr>
        <w:t>GD 项假设地面是全亮的，但在南极极低太阳角下，组件前面的地面很大一部分处于阵列自身的阴影中。</w:t>
      </w:r>
    </w:p>
    <w:p w14:paraId="5AC6AB64">
      <w:pPr>
        <w:rPr>
          <w:rFonts w:hint="eastAsia"/>
          <w:position w:val="-14"/>
          <w:lang w:val="en-US" w:eastAsia="zh-CN"/>
        </w:rPr>
      </w:pPr>
      <w:r>
        <w:rPr>
          <w:rFonts w:hint="eastAsia"/>
          <w:position w:val="-14"/>
          <w:lang w:val="en-US" w:eastAsia="zh-CN"/>
        </w:rPr>
        <w:t>需要对 αeff</w:t>
      </w:r>
      <w:r>
        <w:rPr>
          <w:rFonts w:hint="default"/>
          <w:position w:val="-14"/>
          <w:lang w:val="en-US" w:eastAsia="zh-CN"/>
        </w:rPr>
        <w:t>’</w:t>
      </w:r>
      <w:r>
        <w:rPr>
          <w:rFonts w:hint="eastAsia"/>
          <w:position w:val="-14"/>
          <w:lang w:val="en-US" w:eastAsia="zh-CN"/>
        </w:rPr>
        <w:t>(t) 项进行几何阴影折减。如果光伏板“看到”的地面 50% 是黑的，那么反射项的贡献也要减半。</w:t>
      </w:r>
    </w:p>
    <w:p w14:paraId="7A920F6A">
      <w:pPr>
        <w:rPr>
          <w:rFonts w:hint="default"/>
          <w:position w:val="-14"/>
          <w:lang w:val="en-US" w:eastAsia="zh-CN"/>
        </w:rPr>
      </w:pPr>
    </w:p>
    <w:p w14:paraId="097BB5B2">
      <w:pPr>
        <w:rPr>
          <w:rFonts w:hint="default"/>
          <w:position w:val="-14"/>
          <w:lang w:val="en-US" w:eastAsia="zh-CN"/>
        </w:rPr>
      </w:pPr>
      <w:r>
        <w:rPr>
          <w:rFonts w:hint="eastAsia"/>
          <w:position w:val="-14"/>
          <w:lang w:val="en-US" w:eastAsia="zh-CN"/>
        </w:rPr>
        <w:t>---&gt;双面或许更优</w:t>
      </w:r>
    </w:p>
    <w:p w14:paraId="7882FCFD">
      <w:pPr>
        <w:rPr>
          <w:rFonts w:hint="default"/>
          <w:position w:val="-14"/>
          <w:lang w:val="en-US" w:eastAsia="zh-CN"/>
        </w:rPr>
      </w:pPr>
    </w:p>
    <w:p w14:paraId="3977E0DF">
      <w:pPr>
        <w:rPr>
          <w:rFonts w:hint="default"/>
          <w:position w:val="-14"/>
          <w:lang w:val="en-US" w:eastAsia="zh-CN"/>
        </w:rPr>
      </w:pPr>
      <w:r>
        <w:rPr>
          <w:rFonts w:hint="eastAsia"/>
          <w:position w:val="-14"/>
          <w:lang w:val="en-US" w:eastAsia="zh-CN"/>
        </w:rPr>
        <w:t>------------------------------------------------------------------------------------------------------------------------------</w:t>
      </w:r>
    </w:p>
    <w:p w14:paraId="74115A70">
      <w:pPr>
        <w:numPr>
          <w:ilvl w:val="0"/>
          <w:numId w:val="2"/>
        </w:numPr>
        <w:rPr>
          <w:sz w:val="28"/>
          <w:szCs w:val="28"/>
        </w:rPr>
      </w:pPr>
      <w:r>
        <w:rPr>
          <w:rFonts w:hint="eastAsia"/>
          <w:sz w:val="28"/>
          <w:szCs w:val="28"/>
        </w:rPr>
        <w:t>年理论辐照度</w:t>
      </w:r>
    </w:p>
    <w:p w14:paraId="58C7660F">
      <w:r>
        <w:rPr>
          <w:rFonts w:hint="eastAsia"/>
        </w:rPr>
        <w:t>-&gt; 将以下5个数据输入pvlib, pvlib由上述方法得到该地一整年的理论DNI GHI 太阳方位角 太阳俯仰角数据:</w:t>
      </w:r>
    </w:p>
    <w:p w14:paraId="74A33286"/>
    <w:p w14:paraId="33D64028">
      <w:r>
        <w:rPr>
          <w:rFonts w:hint="eastAsia"/>
        </w:rPr>
        <w:t xml:space="preserve">纬度  latitude </w:t>
      </w:r>
    </w:p>
    <w:p w14:paraId="3D681393">
      <w:r>
        <w:rPr>
          <w:rFonts w:hint="eastAsia"/>
        </w:rPr>
        <w:t xml:space="preserve">经度  longitude </w:t>
      </w:r>
    </w:p>
    <w:p w14:paraId="5CC3CE75">
      <w:r>
        <w:rPr>
          <w:rFonts w:hint="eastAsia"/>
        </w:rPr>
        <w:t xml:space="preserve">时区  timeZone         --&gt;  DNI  GHI  太阳方位角  太阳俯仰角 </w:t>
      </w:r>
    </w:p>
    <w:p w14:paraId="5ED45976">
      <w:r>
        <w:rPr>
          <w:rFonts w:hint="eastAsia"/>
        </w:rPr>
        <w:t>年份  year</w:t>
      </w:r>
    </w:p>
    <w:p w14:paraId="1378E07B">
      <w:r>
        <w:rPr>
          <w:rFonts w:hint="eastAsia"/>
        </w:rPr>
        <w:t>反照度  albedo=0.85</w:t>
      </w:r>
    </w:p>
    <w:p w14:paraId="1F4895A5"/>
    <w:p w14:paraId="3EA18EF1">
      <w:pPr>
        <w:rPr>
          <w:position w:val="-14"/>
        </w:rPr>
      </w:pPr>
      <w:r>
        <w:rPr>
          <w:rFonts w:hint="eastAsia"/>
          <w:position w:val="-14"/>
        </w:rPr>
        <w:t>在这之后, 应当能够建立一个</w:t>
      </w:r>
    </w:p>
    <w:p w14:paraId="56F58FA3">
      <w:pPr>
        <w:rPr>
          <w:position w:val="-14"/>
        </w:rPr>
      </w:pPr>
      <w:r>
        <w:rPr>
          <w:rFonts w:hint="eastAsia"/>
          <w:position w:val="-14"/>
        </w:rPr>
        <w:t>input: latitude, longtitude, timeZone, year, albedo(ρ)</w:t>
      </w:r>
    </w:p>
    <w:p w14:paraId="2594431F">
      <w:pPr>
        <w:ind w:firstLine="420"/>
        <w:rPr>
          <w:position w:val="-14"/>
        </w:rPr>
      </w:pPr>
      <w:r>
        <w:rPr>
          <w:rFonts w:hint="eastAsia"/>
          <w:position w:val="-14"/>
        </w:rPr>
        <w:t xml:space="preserve"> total faces, tilt angle</w:t>
      </w:r>
    </w:p>
    <w:p w14:paraId="43DFCD1C">
      <w:pPr>
        <w:rPr>
          <w:position w:val="-14"/>
        </w:rPr>
      </w:pPr>
      <w:r>
        <w:rPr>
          <w:rFonts w:hint="eastAsia"/>
          <w:position w:val="-14"/>
        </w:rPr>
        <w:t>output: total addressable irradiation for every sepcific moment in the year(TI(t))</w:t>
      </w:r>
    </w:p>
    <w:p w14:paraId="7BCC84A2">
      <w:pPr>
        <w:rPr>
          <w:position w:val="-14"/>
        </w:rPr>
      </w:pPr>
      <w:r>
        <w:rPr>
          <w:rFonts w:hint="eastAsia"/>
          <w:position w:val="-14"/>
        </w:rPr>
        <w:t>的模型A</w:t>
      </w:r>
    </w:p>
    <w:p w14:paraId="70093668">
      <w:pPr>
        <w:rPr>
          <w:sz w:val="28"/>
          <w:szCs w:val="28"/>
        </w:rPr>
      </w:pPr>
    </w:p>
    <w:p w14:paraId="2C7921DA">
      <w:pPr>
        <w:rPr>
          <w:position w:val="-14"/>
        </w:rPr>
      </w:pPr>
      <w:r>
        <w:rPr>
          <w:rFonts w:hint="eastAsia"/>
          <w:position w:val="-14"/>
        </w:rPr>
        <w:t xml:space="preserve">输入的光伏组件模型是一个n个面围成的, 每个面倾角都是β的几何图形. </w:t>
      </w:r>
    </w:p>
    <w:p w14:paraId="3E147B97">
      <w:pPr>
        <w:rPr>
          <w:position w:val="-14"/>
        </w:rPr>
      </w:pPr>
      <w:r>
        <w:rPr>
          <w:rFonts w:hint="eastAsia"/>
          <w:position w:val="-14"/>
        </w:rPr>
        <w:t>每半个小时取一个点, 每个点通过模型A计算一次, 得到的TI(t) x 1800(s), 加总得到全年的理论辐照度.</w:t>
      </w:r>
    </w:p>
    <w:p w14:paraId="32D63011">
      <w:pPr>
        <w:rPr>
          <w:position w:val="-14"/>
        </w:rPr>
      </w:pPr>
    </w:p>
    <w:p w14:paraId="5DFEB857">
      <w:pPr>
        <w:rPr>
          <w:position w:val="-14"/>
        </w:rPr>
      </w:pPr>
    </w:p>
    <w:p w14:paraId="0FF2DC57">
      <w:pPr>
        <w:rPr>
          <w:position w:val="-14"/>
        </w:rPr>
      </w:pPr>
      <w:r>
        <w:rPr>
          <w:rFonts w:hint="eastAsia"/>
          <w:position w:val="-14"/>
        </w:rPr>
        <w:t xml:space="preserve">这个辐照度数值本身没有太大的参考价值, 因为没有考虑的环境因素, 积雪, 光伏板的其他特性等, 不过足以满足通过对比选出最优的n和β的目的, 针对此目的无需考虑哪些没有考虑的因素. </w:t>
      </w:r>
    </w:p>
    <w:p w14:paraId="72FBBD4F">
      <w:pPr>
        <w:rPr>
          <w:position w:val="-14"/>
        </w:rPr>
      </w:pPr>
    </w:p>
    <w:p w14:paraId="3E9A7962">
      <w:pPr>
        <w:rPr>
          <w:rFonts w:hint="eastAsia"/>
          <w:position w:val="-14"/>
        </w:rPr>
      </w:pPr>
      <w:r>
        <w:rPr>
          <w:rFonts w:hint="eastAsia"/>
          <w:position w:val="-14"/>
        </w:rPr>
        <w:t>模型成果: 可以得到变量n β变化下全年理论总辐照度的变化趋势, 通过分析综合其他因素选出最优的n β, 以此模型为基础进行阴影遮挡的组件阵列的计算和建模.</w:t>
      </w:r>
    </w:p>
    <w:p w14:paraId="34198D9E">
      <w:pPr>
        <w:rPr>
          <w:rFonts w:hint="eastAsia"/>
          <w:position w:val="-14"/>
        </w:rPr>
      </w:pPr>
    </w:p>
    <w:p w14:paraId="212EE0D7">
      <w:pPr>
        <w:rPr>
          <w:rFonts w:hint="eastAsia"/>
          <w:position w:val="-14"/>
        </w:rPr>
      </w:pPr>
    </w:p>
    <w:p w14:paraId="74639CDE">
      <w:pPr>
        <w:rPr>
          <w:rFonts w:hint="eastAsia"/>
          <w:position w:val="-14"/>
        </w:rPr>
      </w:pPr>
    </w:p>
    <w:p w14:paraId="479CD696">
      <w:pPr>
        <w:rPr>
          <w:rFonts w:hint="eastAsia"/>
          <w:position w:val="-14"/>
        </w:rPr>
      </w:pPr>
      <w:r>
        <w:rPr>
          <w:rFonts w:hint="eastAsia"/>
          <w:position w:val="-14"/>
        </w:rPr>
        <w:t>最优的组合面数 (n) 和 倾角 (β)。</w:t>
      </w:r>
    </w:p>
    <w:p w14:paraId="4AE386ED">
      <w:pPr>
        <w:rPr>
          <w:rFonts w:hint="eastAsia"/>
          <w:position w:val="-14"/>
        </w:rPr>
      </w:pPr>
      <w:r>
        <w:rPr>
          <w:rFonts w:hint="eastAsia"/>
          <w:position w:val="-14"/>
        </w:rPr>
        <w:t>阴影遮挡计算</w:t>
      </w:r>
      <w:r>
        <w:rPr>
          <w:rFonts w:hint="eastAsia"/>
          <w:position w:val="-14"/>
          <w:lang w:val="en-US" w:eastAsia="zh-CN"/>
        </w:rPr>
        <w:t xml:space="preserve">  </w:t>
      </w:r>
      <w:r>
        <w:rPr>
          <w:rFonts w:hint="eastAsia"/>
          <w:position w:val="-14"/>
        </w:rPr>
        <w:t>组件阵列建模</w:t>
      </w:r>
    </w:p>
    <w:p w14:paraId="78189D97">
      <w:pPr>
        <w:rPr>
          <w:rFonts w:hint="eastAsia"/>
          <w:position w:val="-14"/>
        </w:rPr>
      </w:pPr>
    </w:p>
    <w:p w14:paraId="5D9377D1">
      <w:pPr>
        <w:rPr>
          <w:rFonts w:hint="eastAsia"/>
          <w:position w:val="-14"/>
        </w:rPr>
      </w:pPr>
      <w:r>
        <w:rPr>
          <w:rFonts w:hint="eastAsia"/>
          <w:position w:val="-14"/>
        </w:rPr>
        <w:t>雪地的光谱反照率在300-1100nm非常高且平坦，但由于雪地反射光发生了“蓝移”，导致硅基电池的光谱影响系数（SI）约为 0.98</w:t>
      </w:r>
    </w:p>
    <w:p w14:paraId="3CB67EDF">
      <w:pPr>
        <w:rPr>
          <w:rFonts w:hint="eastAsia"/>
          <w:position w:val="-14"/>
        </w:rPr>
      </w:pPr>
    </w:p>
    <w:p w14:paraId="4BD8CDB5">
      <w:pPr>
        <w:rPr>
          <w:rFonts w:hint="eastAsia"/>
          <w:position w:val="-14"/>
          <w:lang w:val="en-US" w:eastAsia="zh-CN"/>
        </w:rPr>
      </w:pPr>
      <w:r>
        <w:rPr>
          <w:rFonts w:hint="eastAsia"/>
          <w:position w:val="-14"/>
          <w:lang w:val="en-US" w:eastAsia="zh-CN"/>
        </w:rPr>
        <w:t>**Supplement: 雪损(单双面):</w:t>
      </w:r>
    </w:p>
    <w:p w14:paraId="67B1CDEA">
      <w:pPr>
        <w:rPr>
          <w:rFonts w:hint="default"/>
          <w:position w:val="-14"/>
          <w:lang w:val="en-US" w:eastAsia="zh-CN"/>
        </w:rPr>
      </w:pPr>
      <w:r>
        <w:rPr>
          <w:rFonts w:hint="default"/>
          <w:position w:val="-14"/>
          <w:lang w:val="en-US" w:eastAsia="zh-CN"/>
        </w:rPr>
        <w:t>单面光伏板在严寒多雪环境下，其积雪损失远高于双面组件。</w:t>
      </w:r>
    </w:p>
    <w:p w14:paraId="7348861E">
      <w:pPr>
        <w:rPr>
          <w:rFonts w:hint="default"/>
          <w:position w:val="-14"/>
          <w:lang w:val="en-US" w:eastAsia="zh-CN"/>
        </w:rPr>
      </w:pPr>
      <w:r>
        <w:rPr>
          <w:rFonts w:hint="eastAsia"/>
          <w:position w:val="-14"/>
          <w:lang w:val="en-US" w:eastAsia="zh-CN"/>
        </w:rPr>
        <w:t xml:space="preserve">论文3: </w:t>
      </w:r>
      <w:r>
        <w:rPr>
          <w:rFonts w:hint="default"/>
          <w:position w:val="-14"/>
          <w:lang w:val="en-US" w:eastAsia="zh-CN"/>
        </w:rPr>
        <w:t>单面组件在冬季的平均雪损高达 33%，而双面组件仅为 16%。这是因为单面组件缺乏背面吸收热量导致的“自加热除雪效应”，积雪融化和滑动极慢。</w:t>
      </w:r>
    </w:p>
    <w:p w14:paraId="63CB8BB8">
      <w:pPr>
        <w:rPr>
          <w:rFonts w:hint="default"/>
          <w:position w:val="-14"/>
          <w:lang w:val="en-US" w:eastAsia="zh-CN"/>
        </w:rPr>
      </w:pPr>
      <w:r>
        <w:rPr>
          <w:rFonts w:hint="default"/>
          <w:position w:val="-14"/>
          <w:lang w:val="en-US" w:eastAsia="zh-CN"/>
        </w:rPr>
        <w:t xml:space="preserve">引入 </w:t>
      </w:r>
      <w:r>
        <w:rPr>
          <w:rFonts w:hint="default"/>
          <w:b/>
          <w:bCs/>
          <w:position w:val="-14"/>
          <w:lang w:val="en-US" w:eastAsia="zh-CN"/>
        </w:rPr>
        <w:t>Marion 雪损模型，并针对南极调整滑动系数 (sc)</w:t>
      </w:r>
      <w:r>
        <w:rPr>
          <w:rFonts w:hint="default"/>
          <w:position w:val="-14"/>
          <w:lang w:val="en-US" w:eastAsia="zh-CN"/>
        </w:rPr>
        <w:t>。</w:t>
      </w:r>
    </w:p>
    <w:p w14:paraId="0163A3A4">
      <w:pPr>
        <w:rPr>
          <w:rFonts w:hint="default"/>
          <w:position w:val="-14"/>
          <w:lang w:val="en-US" w:eastAsia="zh-CN"/>
        </w:rPr>
      </w:pPr>
    </w:p>
    <w:p w14:paraId="55F99DC0">
      <w:pPr>
        <w:rPr>
          <w:rFonts w:hint="default"/>
          <w:position w:val="-14"/>
          <w:lang w:val="en-US" w:eastAsia="zh-CN"/>
        </w:rPr>
      </w:pPr>
      <w:r>
        <w:rPr>
          <w:rFonts w:hint="default"/>
          <w:position w:val="-14"/>
          <w:lang w:val="en-US" w:eastAsia="zh-CN"/>
        </w:rPr>
        <w:t>根据环境温度（Tamb​&gt;0∘C 或特定阈值）判定积雪是否开始滑动。</w:t>
      </w:r>
    </w:p>
    <w:p w14:paraId="0057DFA5">
      <w:pPr>
        <w:rPr>
          <w:rFonts w:hint="default"/>
          <w:position w:val="-14"/>
          <w:lang w:val="en-US" w:eastAsia="zh-CN"/>
        </w:rPr>
      </w:pPr>
      <w:r>
        <w:rPr>
          <w:rFonts w:hint="default"/>
          <w:position w:val="-14"/>
          <w:lang w:val="en-US" w:eastAsia="zh-CN"/>
        </w:rPr>
        <w:t>单面组件的滑动系数应设定得更小（来源 5 建议在某些屋顶结构下小至 0.06），以反映除雪难的问题</w:t>
      </w:r>
    </w:p>
    <w:p w14:paraId="73C19DFC">
      <w:pPr>
        <w:rPr>
          <w:rFonts w:hint="default"/>
          <w:position w:val="-14"/>
          <w:lang w:val="en-US" w:eastAsia="zh-CN"/>
        </w:rPr>
      </w:pPr>
    </w:p>
    <w:p w14:paraId="558A4659">
      <w:pPr>
        <w:rPr>
          <w:rFonts w:hint="eastAsia"/>
          <w:position w:val="-14"/>
        </w:rPr>
      </w:pPr>
    </w:p>
    <w:p w14:paraId="71B1C326">
      <w:pPr>
        <w:rPr>
          <w:rFonts w:hint="eastAsia"/>
          <w:position w:val="-14"/>
          <w:vertAlign w:val="baseline"/>
        </w:rPr>
      </w:pPr>
    </w:p>
    <w:p w14:paraId="32CD11A9">
      <w:pPr>
        <w:rPr>
          <w:rFonts w:hint="eastAsia"/>
          <w:position w:val="-14"/>
          <w:lang w:val="en-US" w:eastAsia="zh-CN"/>
        </w:rPr>
      </w:pPr>
      <w:r>
        <w:rPr>
          <w:rFonts w:hint="eastAsia"/>
          <w:position w:val="-14"/>
          <w:lang w:val="en-US" w:eastAsia="zh-CN"/>
        </w:rPr>
        <w:t>($1)</w:t>
      </w:r>
    </w:p>
    <w:p w14:paraId="53582233">
      <w:pPr>
        <w:rPr>
          <w:rFonts w:hint="eastAsia"/>
          <w:position w:val="-14"/>
          <w:vertAlign w:val="baseline"/>
        </w:rPr>
      </w:pPr>
      <w:r>
        <w:rPr>
          <w:rFonts w:ascii="Google Sans Text" w:hAnsi="Google Sans Text" w:eastAsia="Google Sans Text" w:cs="Google Sans Text"/>
          <w:b/>
          <w:bCs/>
          <w:i w:val="0"/>
          <w:iCs w:val="0"/>
          <w:caps w:val="0"/>
          <w:color w:val="1B1B1C"/>
          <w:spacing w:val="0"/>
          <w:sz w:val="16"/>
          <w:szCs w:val="16"/>
        </w:rPr>
        <w:t>include green vegetation, dry vegetation, gravel, and snow. Spectral mismatch and spectral impact are calculated for the front and backside of three different bifacial cell concepts mounted on horizontal single axis trackers and fixed-tilt substructures. The spectral nature of albedo is shown to have significant influence on bifacial photo-voltaic performance wherein backside spectral impact as high as 1.20 is observed for fixed-tilt systems above green vegetation and as low as 0.98 for systems above snow. The results reveal that spectral impact is always lower on tracked than fixed-tilt systems because a greater fraction of sky diffuse light reaches the backside of</w:t>
      </w:r>
      <w:r>
        <w:rPr>
          <w:rFonts w:hint="default" w:ascii="Google Sans Text" w:hAnsi="Google Sans Text" w:eastAsia="Google Sans Text" w:cs="Google Sans Text"/>
          <w:b/>
          <w:bCs/>
          <w:i w:val="0"/>
          <w:iCs w:val="0"/>
          <w:caps w:val="0"/>
          <w:color w:val="1B1B1C"/>
          <w:spacing w:val="0"/>
          <w:sz w:val="16"/>
          <w:szCs w:val="16"/>
        </w:rPr>
        <w:t> </w:t>
      </w:r>
      <w:r>
        <w:rPr>
          <w:rFonts w:hint="default" w:ascii="Google Sans Text" w:hAnsi="Google Sans Text" w:eastAsia="Google Sans Text" w:cs="Google Sans Text"/>
          <w:b/>
          <w:bCs/>
          <w:caps w:val="0"/>
          <w:color w:val="1B1B1C"/>
          <w:spacing w:val="0"/>
          <w:sz w:val="16"/>
          <w:szCs w:val="16"/>
        </w:rPr>
        <w:t>tracked systems. Given the variety of albedos tested here, we find that the normalized difference vegetation index </w:t>
      </w:r>
      <w:r>
        <w:rPr>
          <w:rFonts w:hint="default" w:ascii="Google Sans Text" w:hAnsi="Google Sans Text" w:eastAsia="Google Sans Text" w:cs="Google Sans Text"/>
          <w:b/>
          <w:bCs/>
          <w:i w:val="0"/>
          <w:iCs w:val="0"/>
          <w:caps w:val="0"/>
          <w:color w:val="1B1B1C"/>
          <w:spacing w:val="0"/>
          <w:sz w:val="16"/>
          <w:szCs w:val="16"/>
        </w:rPr>
        <w:t>is a good predictor of backside spectral effects. When the high-resolution measurements are truncated to 4 to 8 carefully selected wavelengths, we find that this limited measurement resolution sufficiently captures the sea-sonal spectral albedo fluctuations that influence bifacial photovoltaic energy production. Finally, to alleviate the dearth of spectral datasets presently available to the PV community, the spectral irradiance and albedo mea-surements are made freely available in open access format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 w:name="CharisSIL">
    <w:altName w:val="Segoe Print"/>
    <w:panose1 w:val="00000000000000000000"/>
    <w:charset w:val="00"/>
    <w:family w:val="auto"/>
    <w:pitch w:val="default"/>
    <w:sig w:usb0="00000000" w:usb1="00000000" w:usb2="00000000" w:usb3="00000000" w:csb0="00000000" w:csb1="00000000"/>
  </w:font>
  <w:font w:name="STIX-Italic">
    <w:altName w:val="Segoe Print"/>
    <w:panose1 w:val="00000000000000000000"/>
    <w:charset w:val="00"/>
    <w:family w:val="auto"/>
    <w:pitch w:val="default"/>
    <w:sig w:usb0="00000000" w:usb1="00000000" w:usb2="00000000" w:usb3="00000000" w:csb0="00000000" w:csb1="00000000"/>
  </w:font>
  <w:font w:name="STIX-Regular">
    <w:altName w:val="Segoe Print"/>
    <w:panose1 w:val="00000000000000000000"/>
    <w:charset w:val="00"/>
    <w:family w:val="auto"/>
    <w:pitch w:val="default"/>
    <w:sig w:usb0="00000000" w:usb1="00000000" w:usb2="00000000" w:usb3="00000000" w:csb0="00000000" w:csb1="00000000"/>
  </w:font>
  <w:font w:name="TeX_CM_Maths_Symbols">
    <w:altName w:val="Segoe Print"/>
    <w:panose1 w:val="00000000000000000000"/>
    <w:charset w:val="00"/>
    <w:family w:val="auto"/>
    <w:pitch w:val="default"/>
    <w:sig w:usb0="00000000" w:usb1="00000000" w:usb2="00000000" w:usb3="00000000" w:csb0="00000000" w:csb1="00000000"/>
  </w:font>
  <w:font w:name="TeX_CM_Maths_Italic">
    <w:altName w:val="Segoe Print"/>
    <w:panose1 w:val="00000000000000000000"/>
    <w:charset w:val="00"/>
    <w:family w:val="auto"/>
    <w:pitch w:val="default"/>
    <w:sig w:usb0="00000000" w:usb1="00000000" w:usb2="00000000" w:usb3="00000000" w:csb0="00000000" w:csb1="00000000"/>
  </w:font>
  <w:font w:name="TeX_CM_Maths_Extension">
    <w:altName w:val="Segoe Print"/>
    <w:panose1 w:val="00000000000000000000"/>
    <w:charset w:val="00"/>
    <w:family w:val="auto"/>
    <w:pitch w:val="default"/>
    <w:sig w:usb0="00000000" w:usb1="00000000" w:usb2="00000000" w:usb3="00000000" w:csb0="00000000" w:csb1="00000000"/>
  </w:font>
  <w:font w:name="CharisSIL-Italic">
    <w:altName w:val="Segoe Print"/>
    <w:panose1 w:val="00000000000000000000"/>
    <w:charset w:val="00"/>
    <w:family w:val="auto"/>
    <w:pitch w:val="default"/>
    <w:sig w:usb0="00000000" w:usb1="00000000" w:usb2="00000000" w:usb3="00000000" w:csb0="00000000" w:csb1="00000000"/>
  </w:font>
  <w:font w:name="STIXGeneral">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1rem / 1.5rem google sans text">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23BD11"/>
    <w:multiLevelType w:val="singleLevel"/>
    <w:tmpl w:val="9023BD11"/>
    <w:lvl w:ilvl="0" w:tentative="0">
      <w:start w:val="3"/>
      <w:numFmt w:val="decimal"/>
      <w:lvlText w:val="%1."/>
      <w:lvlJc w:val="left"/>
      <w:pPr>
        <w:tabs>
          <w:tab w:val="left" w:pos="312"/>
        </w:tabs>
      </w:pPr>
    </w:lvl>
  </w:abstractNum>
  <w:abstractNum w:abstractNumId="1">
    <w:nsid w:val="A3EB3B86"/>
    <w:multiLevelType w:val="singleLevel"/>
    <w:tmpl w:val="A3EB3B86"/>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1162"/>
    <w:rsid w:val="00601AC1"/>
    <w:rsid w:val="00F01162"/>
    <w:rsid w:val="023F2212"/>
    <w:rsid w:val="027A76EE"/>
    <w:rsid w:val="034026E5"/>
    <w:rsid w:val="0374238F"/>
    <w:rsid w:val="07101B05"/>
    <w:rsid w:val="084B3175"/>
    <w:rsid w:val="08B50FFC"/>
    <w:rsid w:val="090B4360"/>
    <w:rsid w:val="091D0AB4"/>
    <w:rsid w:val="092727F8"/>
    <w:rsid w:val="09BD73F8"/>
    <w:rsid w:val="0B2E5AB4"/>
    <w:rsid w:val="0B640E1B"/>
    <w:rsid w:val="0B7D2EC0"/>
    <w:rsid w:val="0C6F5DE9"/>
    <w:rsid w:val="0DBC069B"/>
    <w:rsid w:val="0E4A3F9A"/>
    <w:rsid w:val="0F3D0BE6"/>
    <w:rsid w:val="0F7A2ADB"/>
    <w:rsid w:val="0FE64614"/>
    <w:rsid w:val="104650B3"/>
    <w:rsid w:val="118428AE"/>
    <w:rsid w:val="11FA2C92"/>
    <w:rsid w:val="127557DC"/>
    <w:rsid w:val="13FF7A53"/>
    <w:rsid w:val="16797F90"/>
    <w:rsid w:val="169F7296"/>
    <w:rsid w:val="18056545"/>
    <w:rsid w:val="188B5D59"/>
    <w:rsid w:val="19EA76EE"/>
    <w:rsid w:val="1B285AE1"/>
    <w:rsid w:val="1BFD0D1C"/>
    <w:rsid w:val="1D783F6A"/>
    <w:rsid w:val="1DAE3A99"/>
    <w:rsid w:val="1E2615D8"/>
    <w:rsid w:val="1E2C58E8"/>
    <w:rsid w:val="1E380731"/>
    <w:rsid w:val="1EBE54DD"/>
    <w:rsid w:val="21303941"/>
    <w:rsid w:val="21DE514B"/>
    <w:rsid w:val="24721326"/>
    <w:rsid w:val="247E4225"/>
    <w:rsid w:val="2670658E"/>
    <w:rsid w:val="27781B9E"/>
    <w:rsid w:val="2B5D628A"/>
    <w:rsid w:val="2FDE0A0C"/>
    <w:rsid w:val="31772EC7"/>
    <w:rsid w:val="335039CF"/>
    <w:rsid w:val="339F17C9"/>
    <w:rsid w:val="33A855B9"/>
    <w:rsid w:val="33C61EE3"/>
    <w:rsid w:val="343819DA"/>
    <w:rsid w:val="353F3CFB"/>
    <w:rsid w:val="35496928"/>
    <w:rsid w:val="358B0CEF"/>
    <w:rsid w:val="35C83CF1"/>
    <w:rsid w:val="35DF46B8"/>
    <w:rsid w:val="36107446"/>
    <w:rsid w:val="362C5EB3"/>
    <w:rsid w:val="36575075"/>
    <w:rsid w:val="36D97FDD"/>
    <w:rsid w:val="379C71E3"/>
    <w:rsid w:val="385F275A"/>
    <w:rsid w:val="39041477"/>
    <w:rsid w:val="3C7A386B"/>
    <w:rsid w:val="3C991F43"/>
    <w:rsid w:val="3DEB0EC4"/>
    <w:rsid w:val="402D7572"/>
    <w:rsid w:val="407F3B46"/>
    <w:rsid w:val="40ED0AAF"/>
    <w:rsid w:val="416741BF"/>
    <w:rsid w:val="41766631"/>
    <w:rsid w:val="41DA7286"/>
    <w:rsid w:val="41FD11C6"/>
    <w:rsid w:val="42C436AE"/>
    <w:rsid w:val="43A53866"/>
    <w:rsid w:val="43AC4C52"/>
    <w:rsid w:val="46965745"/>
    <w:rsid w:val="47183163"/>
    <w:rsid w:val="4812529F"/>
    <w:rsid w:val="48574D01"/>
    <w:rsid w:val="49CB3958"/>
    <w:rsid w:val="4A070E34"/>
    <w:rsid w:val="4A9401EE"/>
    <w:rsid w:val="4E6D1482"/>
    <w:rsid w:val="4F8E493C"/>
    <w:rsid w:val="501A1195"/>
    <w:rsid w:val="50203738"/>
    <w:rsid w:val="508A00C9"/>
    <w:rsid w:val="512E314A"/>
    <w:rsid w:val="51464D47"/>
    <w:rsid w:val="51B318A1"/>
    <w:rsid w:val="51DE62C2"/>
    <w:rsid w:val="53283BC9"/>
    <w:rsid w:val="54ED6E78"/>
    <w:rsid w:val="554A3CC0"/>
    <w:rsid w:val="56353ACA"/>
    <w:rsid w:val="57521214"/>
    <w:rsid w:val="58CF5213"/>
    <w:rsid w:val="58EF1411"/>
    <w:rsid w:val="5B173696"/>
    <w:rsid w:val="5BB362A0"/>
    <w:rsid w:val="5BB47AA6"/>
    <w:rsid w:val="5BF136F2"/>
    <w:rsid w:val="5C642AF9"/>
    <w:rsid w:val="5C6E4D42"/>
    <w:rsid w:val="5CCF7D6C"/>
    <w:rsid w:val="5CDB70F2"/>
    <w:rsid w:val="5D55380D"/>
    <w:rsid w:val="5DDF63AB"/>
    <w:rsid w:val="5F296CFF"/>
    <w:rsid w:val="60C03693"/>
    <w:rsid w:val="61AC2E6E"/>
    <w:rsid w:val="6211064A"/>
    <w:rsid w:val="637F15E3"/>
    <w:rsid w:val="64341C13"/>
    <w:rsid w:val="66524D8D"/>
    <w:rsid w:val="67BA07B7"/>
    <w:rsid w:val="69877444"/>
    <w:rsid w:val="6A132A85"/>
    <w:rsid w:val="6B657311"/>
    <w:rsid w:val="6B715CB5"/>
    <w:rsid w:val="6C457A26"/>
    <w:rsid w:val="6CB57E24"/>
    <w:rsid w:val="6CC24944"/>
    <w:rsid w:val="6D6C2BD8"/>
    <w:rsid w:val="6EDA0016"/>
    <w:rsid w:val="6F101C89"/>
    <w:rsid w:val="6F8561D3"/>
    <w:rsid w:val="70BA1EAD"/>
    <w:rsid w:val="72485159"/>
    <w:rsid w:val="72AA0252"/>
    <w:rsid w:val="72E651DB"/>
    <w:rsid w:val="73A44D9B"/>
    <w:rsid w:val="74CF0071"/>
    <w:rsid w:val="77161E07"/>
    <w:rsid w:val="79116D2A"/>
    <w:rsid w:val="79D54511"/>
    <w:rsid w:val="79FD3F62"/>
    <w:rsid w:val="7A483BEB"/>
    <w:rsid w:val="7AAF67FA"/>
    <w:rsid w:val="7AE127DC"/>
    <w:rsid w:val="7AF64429"/>
    <w:rsid w:val="7CE113BB"/>
    <w:rsid w:val="7D4C14FC"/>
    <w:rsid w:val="7DF05160"/>
    <w:rsid w:val="7EF23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HTML Code"/>
    <w:basedOn w:val="3"/>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2366</Words>
  <Characters>4792</Characters>
  <Lines>57</Lines>
  <Paragraphs>55</Paragraphs>
  <TotalTime>15</TotalTime>
  <ScaleCrop>false</ScaleCrop>
  <LinksUpToDate>false</LinksUpToDate>
  <CharactersWithSpaces>5236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2025-12-22T02:00:00Z</dcterms:created>
  <dc:creator>HUAWEI</dc:creator>
  <cp:lastModifiedBy>王长明</cp:lastModifiedBy>
  <cp:lastPrinted>2025-12-22T03:53:00Z</cp:lastPrinted>
  <dcterms:modified xsi:type="dcterms:W3CDTF">2026-03-21T15:05:46Z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eyJoZGlkIjoiMzEwNTM5NzYwMDRjMzkwZTVkZjY2ODkwMGIxNGU0OTUiLCJ1c2VySWQiOiI0NTI0NTI3NDgifQ==</vt:lpwstr>
  </property>
  <property fmtid="{D5CDD505-2E9C-101B-9397-08002B2CF9AE}" pid="4" name="ICV">
    <vt:lpwstr>0FE68834BAFA4E1484782031DDEC0C18_12</vt:lpwstr>
  </property>
</Properties>
</file>