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D6039">
      <w:pPr>
        <w:rPr>
          <w:rFonts w:hint="default"/>
          <w:position w:val="-14"/>
          <w:lang w:val="en-US" w:eastAsia="zh-CN"/>
        </w:rPr>
      </w:pPr>
      <w:r>
        <w:rPr>
          <w:rFonts w:hint="eastAsia"/>
          <w:position w:val="-14"/>
          <w:lang w:val="en-US" w:eastAsia="zh-CN"/>
        </w:rPr>
        <w:t>2026.3</w:t>
      </w:r>
    </w:p>
    <w:p w14:paraId="418C785C">
      <w:pPr>
        <w:rPr>
          <w:rFonts w:hint="eastAsia"/>
          <w:position w:val="-14"/>
          <w:lang w:val="en-US" w:eastAsia="zh-CN"/>
        </w:rPr>
      </w:pPr>
      <w:r>
        <w:rPr>
          <w:rFonts w:hint="eastAsia"/>
          <w:position w:val="-14"/>
          <w:lang w:val="en-US" w:eastAsia="zh-CN"/>
        </w:rPr>
        <w:t>对辐照度整体的建模做了大幅优化</w:t>
      </w:r>
    </w:p>
    <w:p w14:paraId="08256A56">
      <w:pPr>
        <w:rPr>
          <w:rFonts w:hint="default"/>
          <w:position w:val="-14"/>
          <w:lang w:val="en-US" w:eastAsia="zh-CN"/>
        </w:rPr>
      </w:pPr>
      <w:r>
        <w:rPr>
          <w:rFonts w:hint="eastAsia"/>
          <w:position w:val="-14"/>
          <w:lang w:val="en-US" w:eastAsia="zh-CN"/>
        </w:rPr>
        <w:t>原:</w:t>
      </w:r>
    </w:p>
    <w:p w14:paraId="41E5E463">
      <w:pPr>
        <w:rPr>
          <w:rFonts w:hint="eastAsia"/>
          <w:position w:val="-14"/>
        </w:rPr>
      </w:pPr>
      <w:r>
        <w:rPr>
          <w:rFonts w:hint="eastAsia"/>
          <w:position w:val="-14"/>
        </w:rPr>
        <w:t>TI(t) = DNI(t) ·cos(入射角(t)) + DHI(t) + GD(t)</w:t>
      </w:r>
    </w:p>
    <w:p w14:paraId="28C63442">
      <w:pPr>
        <w:rPr>
          <w:rFonts w:hint="eastAsia"/>
          <w:position w:val="-14"/>
        </w:rPr>
      </w:pPr>
    </w:p>
    <w:p w14:paraId="64C86DE2">
      <w:pPr>
        <w:rPr>
          <w:rFonts w:hint="default" w:eastAsiaTheme="minorEastAsia"/>
          <w:position w:val="-14"/>
          <w:lang w:val="en-US" w:eastAsia="zh-CN"/>
        </w:rPr>
      </w:pPr>
      <w:r>
        <w:rPr>
          <w:rFonts w:hint="eastAsia"/>
          <w:position w:val="-14"/>
          <w:lang w:val="en-US" w:eastAsia="zh-CN"/>
        </w:rPr>
        <w:t>现:</w:t>
      </w:r>
    </w:p>
    <w:p w14:paraId="52EC9DFA">
      <w:pPr>
        <w:rPr>
          <w:rFonts w:hint="default"/>
          <w:b/>
          <w:bCs/>
          <w:color w:val="E54C5E" w:themeColor="accent6"/>
          <w:position w:val="-14"/>
          <w:lang w:val="en-US" w:eastAsia="zh-CN"/>
          <w14:textFill>
            <w14:solidFill>
              <w14:schemeClr w14:val="accent6"/>
            </w14:solidFill>
          </w14:textFill>
        </w:rPr>
      </w:pPr>
      <w:r>
        <w:rPr>
          <w:rFonts w:hint="default"/>
          <w:b/>
          <w:bCs/>
          <w:color w:val="E54C5E" w:themeColor="accent6"/>
          <w:position w:val="-14"/>
          <w:lang w:val="en-US" w:eastAsia="zh-CN"/>
          <w14:textFill>
            <w14:solidFill>
              <w14:schemeClr w14:val="accent6"/>
            </w14:solidFill>
          </w14:textFill>
        </w:rPr>
        <w:t>TI(t)=DNI(t)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cos(AOI)</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fIAM(AOI)</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DHI(t)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fIAM,diff</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(1+cosβ)</w:t>
      </w:r>
      <w:r>
        <w:rPr>
          <w:rFonts w:hint="eastAsia"/>
          <w:b/>
          <w:bCs/>
          <w:color w:val="E54C5E" w:themeColor="accent6"/>
          <w:position w:val="-14"/>
          <w:lang w:val="en-US" w:eastAsia="zh-CN"/>
          <w14:textFill>
            <w14:solidFill>
              <w14:schemeClr w14:val="accent6"/>
            </w14:solidFill>
          </w14:textFill>
        </w:rPr>
        <w:t xml:space="preserve">/2)+ </w:t>
      </w:r>
      <w:r>
        <w:rPr>
          <w:rFonts w:hint="eastAsia"/>
          <w:b/>
          <w:bCs/>
          <w:color w:val="E54C5E" w:themeColor="accent6"/>
          <w:position w:val="-14"/>
          <w:lang w:val="en-US" w:eastAsia="zh-CN"/>
          <w14:textFill>
            <w14:solidFill>
              <w14:schemeClr w14:val="accent6"/>
            </w14:solidFill>
          </w14:textFill>
        </w:rPr>
        <w:tab/>
      </w:r>
      <w:r>
        <w:rPr>
          <w:rFonts w:hint="default"/>
          <w:b/>
          <w:bCs/>
          <w:color w:val="E54C5E" w:themeColor="accent6"/>
          <w:position w:val="-14"/>
          <w:lang w:val="en-US" w:eastAsia="zh-CN"/>
          <w14:textFill>
            <w14:solidFill>
              <w14:schemeClr w14:val="accent6"/>
            </w14:solidFill>
          </w14:textFill>
        </w:rPr>
        <w:t>GHI(t)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αeff′(t)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(1</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cosβ)</w:t>
      </w:r>
      <w:r>
        <w:rPr>
          <w:rFonts w:hint="eastAsia"/>
          <w:b/>
          <w:bCs/>
          <w:color w:val="E54C5E" w:themeColor="accent6"/>
          <w:position w:val="-14"/>
          <w:lang w:val="en-US" w:eastAsia="zh-CN"/>
          <w14:textFill>
            <w14:solidFill>
              <w14:schemeClr w14:val="accent6"/>
            </w14:solidFill>
          </w14:textFill>
        </w:rPr>
        <w:t>/2)*fIAM,diff​</w:t>
      </w:r>
      <w:r>
        <w:rPr>
          <w:rFonts w:hint="default"/>
          <w:b/>
          <w:bCs/>
          <w:color w:val="E54C5E" w:themeColor="accent6"/>
          <w:position w:val="-14"/>
          <w:lang w:val="en-US" w:eastAsia="zh-CN"/>
          <w14:textFill>
            <w14:solidFill>
              <w14:schemeClr w14:val="accent6"/>
            </w14:solidFill>
          </w14:textFill>
        </w:rPr>
        <w:t>​</w:t>
      </w:r>
    </w:p>
    <w:p w14:paraId="11E09B15">
      <w:pPr>
        <w:rPr>
          <w:rFonts w:hint="default"/>
          <w:b/>
          <w:bCs/>
          <w:color w:val="E54C5E" w:themeColor="accent6"/>
          <w:position w:val="-14"/>
          <w:lang w:val="en-US" w:eastAsia="zh-CN"/>
          <w14:textFill>
            <w14:solidFill>
              <w14:schemeClr w14:val="accent6"/>
            </w14:solidFill>
          </w14:textFill>
        </w:rPr>
      </w:pPr>
      <w:r>
        <w:rPr>
          <w:rFonts w:hint="eastAsia"/>
          <w:b/>
          <w:bCs/>
          <w:position w:val="-14"/>
          <w:lang w:val="en-US" w:eastAsia="zh-CN"/>
        </w:rPr>
        <w:t>其中:</w:t>
      </w:r>
      <w:r>
        <w:rPr>
          <w:rFonts w:hint="default"/>
          <w:b/>
          <w:bCs/>
          <w:color w:val="E54C5E" w:themeColor="accent6"/>
          <w:position w:val="-14"/>
          <w:lang w:val="en-US" w:eastAsia="zh-CN"/>
          <w14:textFill>
            <w14:solidFill>
              <w14:schemeClr w14:val="accent6"/>
            </w14:solidFill>
          </w14:textFill>
        </w:rPr>
        <w:t>αeff′(t)=[kdiff(t)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αws(t)+(1−kdiff(t))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αbs(θSun</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0.98</w:t>
      </w:r>
      <w:r>
        <w:rPr>
          <w:rFonts w:hint="eastAsia"/>
          <w:b/>
          <w:bCs/>
          <w:color w:val="E54C5E" w:themeColor="accent6"/>
          <w:position w:val="-14"/>
          <w:lang w:val="en-US" w:eastAsia="zh-CN"/>
          <w14:textFill>
            <w14:solidFill>
              <w14:schemeClr w14:val="accent6"/>
            </w14:solidFill>
          </w14:textFill>
        </w:rPr>
        <w:t>*</w:t>
      </w:r>
      <w:r>
        <w:rPr>
          <w:rFonts w:hint="default"/>
          <w:b/>
          <w:bCs/>
          <w:color w:val="E54C5E" w:themeColor="accent6"/>
          <w:position w:val="-14"/>
          <w:lang w:val="en-US" w:eastAsia="zh-CN"/>
          <w14:textFill>
            <w14:solidFill>
              <w14:schemeClr w14:val="accent6"/>
            </w14:solidFill>
          </w14:textFill>
        </w:rPr>
        <w:t>flow_sun(γ)</w:t>
      </w:r>
    </w:p>
    <w:p w14:paraId="7F40FC46">
      <w:pPr>
        <w:rPr>
          <w:rFonts w:hint="default"/>
          <w:b/>
          <w:bCs/>
          <w:color w:val="E54C5E" w:themeColor="accent6"/>
          <w:position w:val="-14"/>
          <w:lang w:val="en-US" w:eastAsia="zh-CN"/>
          <w14:textFill>
            <w14:solidFill>
              <w14:schemeClr w14:val="accent6"/>
            </w14:solidFill>
          </w14:textFill>
        </w:rPr>
      </w:pPr>
    </w:p>
    <w:p w14:paraId="7969AD22">
      <w:pPr>
        <w:rPr>
          <w:rFonts w:hint="eastAsia"/>
          <w:position w:val="-14"/>
          <w:lang w:val="en-US" w:eastAsia="zh-CN"/>
        </w:rPr>
      </w:pPr>
      <w:r>
        <w:rPr>
          <w:rFonts w:hint="eastAsia"/>
          <w:position w:val="-14"/>
          <w:lang w:val="en-US" w:eastAsia="zh-CN"/>
        </w:rPr>
        <w:t>以Perez模型为基础</w:t>
      </w:r>
    </w:p>
    <w:p w14:paraId="4A69659B">
      <w:pPr>
        <w:rPr>
          <w:rFonts w:hint="default"/>
          <w:b/>
          <w:bCs/>
          <w:color w:val="E54C5E" w:themeColor="accent6"/>
          <w:position w:val="-14"/>
          <w:lang w:val="en-US" w:eastAsia="zh-CN"/>
          <w14:textFill>
            <w14:solidFill>
              <w14:schemeClr w14:val="accent6"/>
            </w14:solidFill>
          </w14:textFill>
        </w:rPr>
      </w:pPr>
      <w:r>
        <w:rPr>
          <w:rFonts w:hint="eastAsia"/>
          <w:position w:val="-14"/>
          <w:lang w:val="en-US" w:eastAsia="zh-CN"/>
        </w:rPr>
        <w:t xml:space="preserve">-&gt;e.g. </w:t>
      </w:r>
      <w:r>
        <w:rPr>
          <w:rFonts w:hint="default"/>
          <w:position w:val="-14"/>
          <w:lang w:val="en-US" w:eastAsia="zh-CN"/>
        </w:rPr>
        <w:t>Gsky​=DHI⋅(Fiso​+Fcircumsolar​+Fhorizon​)</w:t>
      </w:r>
    </w:p>
    <w:p w14:paraId="74A09F17">
      <w:pPr>
        <w:rPr>
          <w:rFonts w:hint="default"/>
          <w:position w:val="-14"/>
          <w:lang w:val="en-US" w:eastAsia="zh-CN"/>
        </w:rPr>
      </w:pPr>
      <w:r>
        <w:rPr>
          <w:rFonts w:hint="eastAsia"/>
          <w:position w:val="-14"/>
          <w:lang w:val="en-US" w:eastAsia="zh-CN"/>
        </w:rPr>
        <w:t>poa</w:t>
      </w:r>
      <w:r>
        <w:rPr>
          <w:rFonts w:hint="default"/>
          <w:position w:val="-14"/>
          <w:lang w:val="en-US" w:eastAsia="zh-CN"/>
        </w:rPr>
        <w:t>= pvlib.irradiance.get_total_irradiance( surface_tilt=beta, surface_azimuth=gamma, dni=dni, ghi=ghi, dhi=dhi, solar_zenith=theta_z, solar_azimuth=azimuth, albedo=, model='perez' )</w:t>
      </w:r>
    </w:p>
    <w:p w14:paraId="7F24D5A9">
      <w:pPr>
        <w:rPr>
          <w:rFonts w:hint="default"/>
          <w:position w:val="-14"/>
          <w:lang w:val="en-US" w:eastAsia="zh-CN"/>
        </w:rPr>
      </w:pPr>
      <w:r>
        <w:rPr>
          <w:rFonts w:hint="default"/>
          <w:position w:val="-14"/>
          <w:lang w:val="en-US" w:eastAsia="zh-CN"/>
        </w:rPr>
        <w:t>G_beam = poa['poa_direct']</w:t>
      </w:r>
      <w:r>
        <w:rPr>
          <w:rFonts w:hint="default"/>
          <w:position w:val="-14"/>
          <w:lang w:val="en-US" w:eastAsia="zh-CN"/>
        </w:rPr>
        <w:br w:type="textWrapping"/>
      </w:r>
      <w:r>
        <w:rPr>
          <w:rFonts w:hint="default"/>
          <w:position w:val="-14"/>
          <w:lang w:val="en-US" w:eastAsia="zh-CN"/>
        </w:rPr>
        <w:t>G_sky = poa['poa_sky_diffuse']</w:t>
      </w:r>
      <w:r>
        <w:rPr>
          <w:rFonts w:hint="default"/>
          <w:position w:val="-14"/>
          <w:lang w:val="en-US" w:eastAsia="zh-CN"/>
        </w:rPr>
        <w:br w:type="textWrapping"/>
      </w:r>
      <w:r>
        <w:rPr>
          <w:rFonts w:hint="default"/>
          <w:position w:val="-14"/>
          <w:lang w:val="en-US" w:eastAsia="zh-CN"/>
        </w:rPr>
        <w:t>G_ground = poa['poa_ground_diffuse']</w:t>
      </w:r>
    </w:p>
    <w:p w14:paraId="70AC700A">
      <w:pPr>
        <w:rPr>
          <w:rFonts w:hint="default"/>
          <w:position w:val="-14"/>
          <w:lang w:val="en-US" w:eastAsia="zh-CN"/>
        </w:rPr>
      </w:pPr>
    </w:p>
    <w:p w14:paraId="78F1FA4C">
      <w:pPr>
        <w:rPr>
          <w:rFonts w:hint="eastAsia"/>
          <w:position w:val="-14"/>
          <w:lang w:val="en-US" w:eastAsia="zh-CN"/>
        </w:rPr>
      </w:pPr>
      <w:r>
        <w:rPr>
          <w:rFonts w:hint="eastAsia"/>
          <w:position w:val="-14"/>
          <w:lang w:val="en-US" w:eastAsia="zh-CN"/>
        </w:rPr>
        <w:t>已经做的4</w:t>
      </w:r>
      <w:bookmarkStart w:id="0" w:name="_GoBack"/>
      <w:bookmarkEnd w:id="0"/>
      <w:r>
        <w:rPr>
          <w:rFonts w:hint="eastAsia"/>
          <w:position w:val="-14"/>
          <w:lang w:val="en-US" w:eastAsia="zh-CN"/>
        </w:rPr>
        <w:t>个优化:</w:t>
      </w:r>
    </w:p>
    <w:p w14:paraId="05A42609">
      <w:pPr>
        <w:numPr>
          <w:ilvl w:val="0"/>
          <w:numId w:val="1"/>
        </w:numPr>
        <w:rPr>
          <w:rFonts w:hint="eastAsia"/>
          <w:position w:val="-14"/>
          <w:lang w:val="en-US" w:eastAsia="zh-CN"/>
        </w:rPr>
      </w:pPr>
      <w:r>
        <w:rPr>
          <w:rFonts w:hint="eastAsia"/>
          <w:position w:val="-14"/>
          <w:lang w:val="en-US" w:eastAsia="zh-CN"/>
        </w:rPr>
        <w:t>入射角修正</w:t>
      </w:r>
    </w:p>
    <w:p w14:paraId="69F7EA58">
      <w:pPr>
        <w:numPr>
          <w:ilvl w:val="0"/>
          <w:numId w:val="0"/>
        </w:numPr>
        <w:rPr>
          <w:rFonts w:hint="default"/>
          <w:position w:val="-14"/>
          <w:lang w:val="en-US" w:eastAsia="zh-CN"/>
        </w:rPr>
      </w:pPr>
      <w:r>
        <w:rPr>
          <w:rFonts w:hint="default"/>
          <w:position w:val="-14"/>
          <w:lang w:val="en-US" w:eastAsia="zh-CN"/>
        </w:rPr>
        <w:t>为了修正南极低太阳高度角下，光伏板玻璃表面的角度反射损失，</w:t>
      </w:r>
      <w:r>
        <w:rPr>
          <w:rFonts w:hint="eastAsia"/>
          <w:position w:val="-14"/>
          <w:lang w:val="en-US" w:eastAsia="zh-CN"/>
        </w:rPr>
        <w:t>本模型</w:t>
      </w:r>
      <w:r>
        <w:rPr>
          <w:rFonts w:hint="default"/>
          <w:position w:val="-14"/>
          <w:lang w:val="en-US" w:eastAsia="zh-CN"/>
        </w:rPr>
        <w:t>引入了入射角修正因子 (fIAM)。其中，直射项修正参考 Sandia IAM 模型，而天空散射项的修正因子 (fIAM,diff​) 则参考 Martin and Ruiz 分析模型，以确保在大入射角条件下有效利用辐照度计算的准确性。</w:t>
      </w:r>
    </w:p>
    <w:p w14:paraId="753B06FA">
      <w:pPr>
        <w:numPr>
          <w:ilvl w:val="0"/>
          <w:numId w:val="0"/>
        </w:numPr>
        <w:rPr>
          <w:rFonts w:hint="eastAsia"/>
          <w:b/>
          <w:bCs/>
          <w:position w:val="-14"/>
          <w:lang w:val="en-US" w:eastAsia="zh-CN"/>
        </w:rPr>
      </w:pPr>
      <w:r>
        <w:rPr>
          <w:rFonts w:hint="eastAsia"/>
          <w:b/>
          <w:bCs/>
          <w:position w:val="-14"/>
          <w:lang w:val="en-US" w:eastAsia="zh-CN"/>
        </w:rPr>
        <w:t xml:space="preserve"> IAM(θ)=1−b0​(1/cosθ​−1)</w:t>
      </w:r>
    </w:p>
    <w:p w14:paraId="4DBD84EF">
      <w:pPr>
        <w:numPr>
          <w:ilvl w:val="0"/>
          <w:numId w:val="0"/>
        </w:numPr>
        <w:rPr>
          <w:rFonts w:hint="default"/>
          <w:position w:val="-14"/>
          <w:lang w:val="en-US" w:eastAsia="zh-CN"/>
        </w:rPr>
      </w:pPr>
    </w:p>
    <w:p w14:paraId="5DC04671">
      <w:pPr>
        <w:numPr>
          <w:ilvl w:val="0"/>
          <w:numId w:val="0"/>
        </w:numPr>
        <w:rPr>
          <w:rFonts w:hint="eastAsia"/>
          <w:position w:val="-14"/>
          <w:lang w:val="en-US" w:eastAsia="zh-CN"/>
        </w:rPr>
      </w:pPr>
      <w:r>
        <w:rPr>
          <w:rFonts w:hint="eastAsia"/>
          <w:position w:val="-14"/>
          <w:lang w:val="en-US" w:eastAsia="zh-CN"/>
        </w:rPr>
        <w:t xml:space="preserve">-&gt; ($1 2.4) Angular reflection losses at the front and rear module surface are accounted for with the </w:t>
      </w:r>
      <w:r>
        <w:rPr>
          <w:rFonts w:hint="eastAsia"/>
          <w:b/>
          <w:bCs/>
          <w:position w:val="-14"/>
          <w:lang w:val="en-US" w:eastAsia="zh-CN"/>
        </w:rPr>
        <w:t xml:space="preserve">Sandia incident angle modifier (IAM) model </w:t>
      </w:r>
      <w:r>
        <w:rPr>
          <w:rFonts w:hint="eastAsia"/>
          <w:position w:val="-14"/>
          <w:lang w:val="en-US" w:eastAsia="zh-CN"/>
        </w:rPr>
        <w:t xml:space="preserve">(King et al., 2004). An IAM profile for a c-Si module with non-antireflective coated glass was used for the rear side. </w:t>
      </w:r>
    </w:p>
    <w:p w14:paraId="57E006A8">
      <w:pPr>
        <w:numPr>
          <w:ilvl w:val="0"/>
          <w:numId w:val="0"/>
        </w:numPr>
        <w:rPr>
          <w:rFonts w:hint="eastAsia"/>
          <w:position w:val="-14"/>
          <w:lang w:val="en-US" w:eastAsia="zh-CN"/>
        </w:rPr>
      </w:pPr>
      <w:r>
        <w:rPr>
          <w:rFonts w:hint="eastAsia"/>
          <w:position w:val="-14"/>
          <w:lang w:val="en-US" w:eastAsia="zh-CN"/>
        </w:rPr>
        <w:t xml:space="preserve">-&gt;($2 2.2&amp;3.1)  One problem of the reference cell, however, is that reflections from its planar glass cover significantly reduce the measured effective irradiance at high angles of incidence. This effect can be modelled approximately using incident angle modifier (IAM) models. In Fig. 2 we show the result of fitting the 1-parameter </w:t>
      </w:r>
      <w:r>
        <w:rPr>
          <w:rFonts w:hint="eastAsia"/>
          <w:b/>
          <w:bCs/>
          <w:position w:val="-14"/>
          <w:lang w:val="en-US" w:eastAsia="zh-CN"/>
        </w:rPr>
        <w:t>Martin and Ruiz IAM model</w:t>
      </w:r>
      <w:r>
        <w:rPr>
          <w:rFonts w:hint="eastAsia"/>
          <w:position w:val="-14"/>
          <w:lang w:val="en-US" w:eastAsia="zh-CN"/>
        </w:rPr>
        <w:t xml:space="preserve"> [23] to the reference cellangularresponseusingaparameterar=0.163. This enables an angular correction to be applied, albeit with the introduction of signif-icant uncertainty. We discuss the implications of the angular and spec-tral effects further in section 3.1.</w:t>
      </w:r>
    </w:p>
    <w:p w14:paraId="54AF5077">
      <w:pPr>
        <w:numPr>
          <w:ilvl w:val="0"/>
          <w:numId w:val="0"/>
        </w:numPr>
        <w:ind w:firstLine="420" w:firstLineChars="0"/>
        <w:rPr>
          <w:rFonts w:hint="eastAsia"/>
          <w:position w:val="-14"/>
          <w:lang w:val="en-US" w:eastAsia="zh-CN"/>
        </w:rPr>
      </w:pPr>
      <w:r>
        <w:rPr>
          <w:rFonts w:hint="eastAsia"/>
          <w:position w:val="-14"/>
          <w:lang w:val="en-US" w:eastAsia="zh-CN"/>
        </w:rPr>
        <w:t>In the first, we modify the reference cell albedometer measurement with an angular-response correction to reference cell irradiance measurements: where G</w:t>
      </w:r>
      <w:r>
        <w:rPr>
          <w:rFonts w:hint="default"/>
          <w:position w:val="-14"/>
          <w:lang w:val="en-US" w:eastAsia="zh-CN"/>
        </w:rPr>
        <w:t>’</w:t>
      </w:r>
      <w:r>
        <w:rPr>
          <w:rFonts w:hint="eastAsia"/>
          <w:position w:val="-14"/>
          <w:lang w:val="en-US" w:eastAsia="zh-CN"/>
        </w:rPr>
        <w:t>sky and G</w:t>
      </w:r>
      <w:r>
        <w:rPr>
          <w:rFonts w:hint="default"/>
          <w:position w:val="-14"/>
          <w:lang w:val="en-US" w:eastAsia="zh-CN"/>
        </w:rPr>
        <w:t>’</w:t>
      </w:r>
      <w:r>
        <w:rPr>
          <w:rFonts w:hint="eastAsia"/>
          <w:position w:val="-14"/>
          <w:lang w:val="en-US" w:eastAsia="zh-CN"/>
        </w:rPr>
        <w:t xml:space="preserve">ground are the incident-angle corrected irradiances measured, derived from the sky-facing and ground-facing reference cell measured irradiances Gsky and Gground, respectively. kdiff is the diffuse light fraction, fIAM(θ) is the incident angle modifier (IAM) function for direct light, and fIAM,diff is the IAM for diffuse light. We used the Martin and Ruiz [23] IAM model with fit parameter ar = 0.163 and </w:t>
      </w:r>
      <w:r>
        <w:rPr>
          <w:rFonts w:hint="eastAsia"/>
          <w:b/>
          <w:bCs/>
          <w:position w:val="-14"/>
          <w:lang w:val="en-US" w:eastAsia="zh-CN"/>
        </w:rPr>
        <w:t>fIAM,diff = 0.986 derived by assuming isotropic diffuse radiance.</w:t>
      </w:r>
      <w:r>
        <w:rPr>
          <w:rFonts w:hint="eastAsia"/>
          <w:position w:val="-14"/>
          <w:lang w:val="en-US" w:eastAsia="zh-CN"/>
        </w:rPr>
        <w:t xml:space="preserve"> As θSun and kdiff are not measured directly, they were inferred from calculation [29] and estimation [30] respectively, using location, time and GHI as inputs. This method is relatively complex to implement and relies on estimation and assumptions. </w:t>
      </w:r>
    </w:p>
    <w:p w14:paraId="5908574C">
      <w:pPr>
        <w:numPr>
          <w:ilvl w:val="0"/>
          <w:numId w:val="0"/>
        </w:numPr>
        <w:rPr>
          <w:rFonts w:hint="eastAsia"/>
          <w:position w:val="-14"/>
          <w:lang w:val="en-US" w:eastAsia="zh-CN"/>
        </w:rPr>
      </w:pPr>
    </w:p>
    <w:p w14:paraId="7FEEE3C0">
      <w:pPr>
        <w:numPr>
          <w:ilvl w:val="0"/>
          <w:numId w:val="0"/>
        </w:numPr>
        <w:rPr>
          <w:rFonts w:hint="default"/>
          <w:position w:val="-14"/>
          <w:lang w:val="en-US" w:eastAsia="zh-CN"/>
        </w:rPr>
      </w:pPr>
    </w:p>
    <w:p w14:paraId="276117BC">
      <w:pPr>
        <w:numPr>
          <w:ilvl w:val="0"/>
          <w:numId w:val="2"/>
        </w:numPr>
        <w:ind w:left="0" w:leftChars="0" w:firstLine="0" w:firstLineChars="0"/>
        <w:rPr>
          <w:rFonts w:hint="eastAsia"/>
          <w:position w:val="-14"/>
          <w:lang w:val="en-US" w:eastAsia="zh-CN"/>
        </w:rPr>
      </w:pPr>
      <w:r>
        <w:rPr>
          <w:rFonts w:hint="eastAsia"/>
          <w:position w:val="-14"/>
          <w:lang w:val="en-US" w:eastAsia="zh-CN"/>
        </w:rPr>
        <w:t>0.98 光谱错配</w:t>
      </w:r>
    </w:p>
    <w:p w14:paraId="2B7675E9">
      <w:pPr>
        <w:numPr>
          <w:ilvl w:val="0"/>
          <w:numId w:val="0"/>
        </w:numPr>
        <w:ind w:left="0" w:leftChars="0" w:firstLine="0" w:firstLineChars="0"/>
        <w:rPr>
          <w:rFonts w:hint="default"/>
          <w:position w:val="-14"/>
          <w:lang w:val="en-US" w:eastAsia="zh-CN"/>
        </w:rPr>
      </w:pPr>
      <w:r>
        <w:rPr>
          <w:rFonts w:hint="eastAsia"/>
          <w:position w:val="-14"/>
          <w:lang w:val="en-US" w:eastAsia="zh-CN"/>
        </w:rPr>
        <w:t>-&gt;($1 3.3 fig12)</w:t>
      </w:r>
      <w:r>
        <w:rPr>
          <w:rFonts w:hint="default"/>
          <w:position w:val="-14"/>
          <w:lang w:val="en-US" w:eastAsia="zh-CN"/>
        </w:rPr>
        <w:t> The spectral nature of albedo is shown to have significant influence on bifacial photo-voltaic performance wherein backside spectral impact as high as 1.20 is observed for fixed-tilt systems above green vegetation and as low as 0.98 for systems above snow. </w:t>
      </w:r>
    </w:p>
    <w:p w14:paraId="7E5EDAB7">
      <w:pPr>
        <w:numPr>
          <w:ilvl w:val="0"/>
          <w:numId w:val="0"/>
        </w:numPr>
        <w:ind w:left="0" w:leftChars="0" w:firstLine="0" w:firstLineChars="0"/>
        <w:rPr>
          <w:rFonts w:hint="default"/>
          <w:position w:val="-14"/>
          <w:lang w:val="en-US" w:eastAsia="zh-CN"/>
        </w:rPr>
      </w:pPr>
    </w:p>
    <w:p w14:paraId="76FD6CB9">
      <w:pPr>
        <w:numPr>
          <w:ilvl w:val="0"/>
          <w:numId w:val="2"/>
        </w:numPr>
        <w:ind w:left="0" w:leftChars="0" w:firstLine="0" w:firstLineChars="0"/>
        <w:rPr>
          <w:rFonts w:hint="default" w:asciiTheme="minorHAnsi" w:hAnsiTheme="minorHAnsi" w:eastAsiaTheme="minorEastAsia" w:cstheme="minorBidi"/>
          <w:kern w:val="2"/>
          <w:position w:val="-14"/>
          <w:sz w:val="21"/>
          <w:szCs w:val="24"/>
          <w:lang w:val="en-US" w:eastAsia="zh-CN" w:bidi="ar-SA"/>
        </w:rPr>
      </w:pPr>
      <w:r>
        <w:rPr>
          <w:rFonts w:hint="default" w:asciiTheme="minorHAnsi" w:hAnsiTheme="minorHAnsi" w:eastAsiaTheme="minorEastAsia" w:cstheme="minorBidi"/>
          <w:kern w:val="2"/>
          <w:position w:val="-14"/>
          <w:sz w:val="21"/>
          <w:szCs w:val="24"/>
          <w:lang w:val="en-US" w:eastAsia="zh-CN" w:bidi="ar-SA"/>
        </w:rPr>
        <w:t>αeff′(t)</w:t>
      </w:r>
    </w:p>
    <w:p w14:paraId="6C8F6A5F">
      <w:pPr>
        <w:numPr>
          <w:ilvl w:val="0"/>
          <w:numId w:val="0"/>
        </w:numPr>
        <w:ind w:leftChars="0"/>
        <w:rPr>
          <w:rFonts w:hint="default" w:asciiTheme="minorHAnsi" w:hAnsiTheme="minorHAnsi" w:eastAsiaTheme="minorEastAsia" w:cstheme="minorBidi"/>
          <w:kern w:val="2"/>
          <w:position w:val="-14"/>
          <w:sz w:val="21"/>
          <w:szCs w:val="24"/>
          <w:lang w:val="en-US" w:eastAsia="zh-CN" w:bidi="ar-SA"/>
        </w:rPr>
      </w:pPr>
      <w:r>
        <w:rPr>
          <w:rFonts w:hint="eastAsia" w:asciiTheme="minorHAnsi" w:hAnsiTheme="minorHAnsi" w:eastAsiaTheme="minorEastAsia" w:cstheme="minorBidi"/>
          <w:kern w:val="2"/>
          <w:position w:val="-14"/>
          <w:sz w:val="21"/>
          <w:szCs w:val="24"/>
          <w:lang w:val="en-US" w:eastAsia="zh-CN" w:bidi="ar-SA"/>
        </w:rPr>
        <w:t>kdiff(t)*αws(t)+(1−kdiff(t))*αbs(θSun,t)</w:t>
      </w:r>
      <w:r>
        <w:rPr>
          <w:rFonts w:hint="eastAsia" w:cstheme="minorBidi"/>
          <w:kern w:val="2"/>
          <w:position w:val="-14"/>
          <w:sz w:val="21"/>
          <w:szCs w:val="24"/>
          <w:lang w:val="en-US" w:eastAsia="zh-CN" w:bidi="ar-SA"/>
        </w:rPr>
        <w:t xml:space="preserve">, </w:t>
      </w:r>
      <w:r>
        <w:rPr>
          <w:rFonts w:hint="eastAsia" w:asciiTheme="minorHAnsi" w:hAnsiTheme="minorHAnsi" w:eastAsiaTheme="minorEastAsia" w:cstheme="minorBidi"/>
          <w:kern w:val="2"/>
          <w:position w:val="-14"/>
          <w:sz w:val="21"/>
          <w:szCs w:val="24"/>
          <w:lang w:val="en-US" w:eastAsia="zh-CN" w:bidi="ar-SA"/>
        </w:rPr>
        <w:t>核心在于将到达地面的太阳辐射拆分为“直射”与“散射”两个物理分量，并分别考虑地表对这两种不同光性质的反射特性。</w:t>
      </w:r>
      <w:r>
        <w:rPr>
          <w:rFonts w:hint="eastAsia" w:cstheme="minorBidi"/>
          <w:kern w:val="2"/>
          <w:position w:val="-14"/>
          <w:sz w:val="21"/>
          <w:szCs w:val="24"/>
          <w:lang w:val="en-US" w:eastAsia="zh-CN" w:bidi="ar-SA"/>
        </w:rPr>
        <w:t>αws为white sky albedo, while αbs为black sky albedo, 这两个由BRDF卫星数据获得.</w:t>
      </w:r>
    </w:p>
    <w:p w14:paraId="62F2B427">
      <w:pPr>
        <w:numPr>
          <w:ilvl w:val="0"/>
          <w:numId w:val="0"/>
        </w:numPr>
        <w:ind w:left="0" w:leftChars="0" w:firstLine="0" w:firstLineChars="0"/>
        <w:rPr>
          <w:rFonts w:hint="default"/>
          <w:position w:val="-14"/>
          <w:lang w:val="en-US" w:eastAsia="zh-CN"/>
        </w:rPr>
      </w:pPr>
      <w:r>
        <w:rPr>
          <w:rFonts w:hint="eastAsia"/>
          <w:position w:val="-14"/>
          <w:lang w:val="en-US" w:eastAsia="zh-CN"/>
        </w:rPr>
        <w:t xml:space="preserve">-&gt;($1 2.3) </w:t>
      </w:r>
      <w:r>
        <w:rPr>
          <w:rFonts w:hint="default"/>
          <w:position w:val="-14"/>
          <w:lang w:val="en-US" w:eastAsia="zh-CN"/>
        </w:rPr>
        <w:t xml:space="preserve">In principle, the calculation of albedo from BRDF requires the 5- dimensional integration of the product of spectrally and angularly resolved incident radiance with the spectrally resolved BRDF. This is complex and requires more information than is typically available. For simplicity, it is convenient to separate into two components: White-sky albedo αws and black-sky albedo αbs, representing diffuse and direct illumination components respectively. αws is calculated from a bihemispherical integral of the surface BRDF assuming an isotropic light source (diffuse sky). αbs is calculated from a single hemispherical integral of the BRDF assuming that all incoming light is from a single direction (the Sun). αbs is a function of solar zenith angle θSun, whereas αws is independent of the Sun’s position. The total albedo α estimated from a weighted sum of these sources: </w:t>
      </w:r>
    </w:p>
    <w:p w14:paraId="0A54AC64">
      <w:pPr>
        <w:numPr>
          <w:ilvl w:val="0"/>
          <w:numId w:val="0"/>
        </w:numPr>
        <w:ind w:left="0" w:leftChars="0" w:firstLine="0" w:firstLineChars="0"/>
        <w:rPr>
          <w:rFonts w:hint="default"/>
          <w:b/>
          <w:bCs/>
          <w:position w:val="-14"/>
          <w:lang w:val="en-US" w:eastAsia="zh-CN"/>
        </w:rPr>
      </w:pPr>
      <w:r>
        <w:rPr>
          <w:rFonts w:hint="default"/>
          <w:b/>
          <w:bCs/>
          <w:position w:val="-14"/>
          <w:lang w:val="en-US" w:eastAsia="zh-CN"/>
        </w:rPr>
        <w:t xml:space="preserve">α = kdiff αws + ( 1 − kdiff ) αbs </w:t>
      </w:r>
    </w:p>
    <w:p w14:paraId="64E77C4C">
      <w:pPr>
        <w:numPr>
          <w:ilvl w:val="0"/>
          <w:numId w:val="0"/>
        </w:numPr>
        <w:ind w:left="0" w:leftChars="0" w:firstLine="0" w:firstLineChars="0"/>
        <w:rPr>
          <w:rFonts w:hint="default"/>
          <w:position w:val="-14"/>
          <w:lang w:val="en-US" w:eastAsia="zh-CN"/>
        </w:rPr>
      </w:pPr>
      <w:r>
        <w:rPr>
          <w:rFonts w:hint="default"/>
          <w:position w:val="-14"/>
          <w:lang w:val="en-US" w:eastAsia="zh-CN"/>
        </w:rPr>
        <w:t>where kdiff is the quotient of diffuse horizontal irradiance (DHI) divided by global horizontal irradiance (GHI). We used this approach to estimate effective albedo using the following procedure</w:t>
      </w:r>
    </w:p>
    <w:p w14:paraId="2C038C39">
      <w:pPr>
        <w:numPr>
          <w:ilvl w:val="0"/>
          <w:numId w:val="0"/>
        </w:numPr>
        <w:ind w:left="0" w:leftChars="0" w:firstLine="0" w:firstLineChars="0"/>
        <w:rPr>
          <w:rFonts w:hint="default"/>
          <w:position w:val="-14"/>
          <w:lang w:val="en-US" w:eastAsia="zh-CN"/>
        </w:rPr>
      </w:pPr>
    </w:p>
    <w:p w14:paraId="63B7EC08">
      <w:pPr>
        <w:numPr>
          <w:ilvl w:val="0"/>
          <w:numId w:val="2"/>
        </w:numPr>
        <w:ind w:left="0" w:leftChars="0" w:firstLine="0" w:firstLineChars="0"/>
        <w:rPr>
          <w:rFonts w:hint="eastAsia"/>
          <w:position w:val="-14"/>
          <w:lang w:val="en-US" w:eastAsia="zh-CN"/>
        </w:rPr>
      </w:pPr>
      <w:r>
        <w:rPr>
          <w:rFonts w:hint="eastAsia"/>
          <w:position w:val="-14"/>
          <w:lang w:val="en-US" w:eastAsia="zh-CN"/>
        </w:rPr>
        <w:t>flow_sun(</w:t>
      </w:r>
      <w:r>
        <w:rPr>
          <w:rFonts w:hint="default"/>
          <w:b/>
          <w:bCs/>
          <w:color w:val="E54C5E" w:themeColor="accent6"/>
          <w:position w:val="-14"/>
          <w:lang w:val="en-US" w:eastAsia="zh-CN"/>
          <w14:textFill>
            <w14:solidFill>
              <w14:schemeClr w14:val="accent6"/>
            </w14:solidFill>
          </w14:textFill>
        </w:rPr>
        <w:t>γ</w:t>
      </w:r>
      <w:r>
        <w:rPr>
          <w:rFonts w:hint="eastAsia"/>
          <w:position w:val="-14"/>
          <w:lang w:val="en-US" w:eastAsia="zh-CN"/>
        </w:rPr>
        <w:t>)</w:t>
      </w:r>
    </w:p>
    <w:p w14:paraId="7D72391F">
      <w:pPr>
        <w:numPr>
          <w:ilvl w:val="0"/>
          <w:numId w:val="0"/>
        </w:numPr>
        <w:ind w:left="0" w:leftChars="0" w:firstLine="0" w:firstLineChars="0"/>
        <w:rPr>
          <w:rFonts w:hint="default"/>
          <w:position w:val="-14"/>
          <w:lang w:val="en-US" w:eastAsia="zh-CN"/>
        </w:rPr>
      </w:pPr>
      <w:r>
        <w:rPr>
          <w:rFonts w:hint="default"/>
          <w:position w:val="-14"/>
          <w:lang w:val="en-US" w:eastAsia="zh-CN"/>
        </w:rPr>
        <w:t>当太阳从 10° 降向地平线时，太阳光在大气中穿行的路径极长。这导致水平面散射辐照度与水平面直射辐照度的比例（DHI/GHI）迅速增加。</w:t>
      </w:r>
    </w:p>
    <w:p w14:paraId="6DF532CF">
      <w:pPr>
        <w:numPr>
          <w:ilvl w:val="0"/>
          <w:numId w:val="0"/>
        </w:numPr>
        <w:ind w:left="0" w:leftChars="0" w:firstLine="0" w:firstLineChars="0"/>
        <w:rPr>
          <w:rFonts w:hint="default"/>
          <w:position w:val="-14"/>
          <w:lang w:val="en-US" w:eastAsia="zh-CN"/>
        </w:rPr>
      </w:pPr>
      <w:r>
        <w:rPr>
          <w:rFonts w:hint="default"/>
          <w:position w:val="-14"/>
          <w:lang w:val="en-US" w:eastAsia="zh-CN"/>
        </w:rPr>
        <w:t>BRDF 模型是基于经验核函数的数学拟合。当太阳处于极低角度时，这些核函数会进入数学上的不稳定区，导致计算出的 αbs数值可能出现物理上不可能的极值（如大于 1.0 或剧烈震荡</w:t>
      </w:r>
    </w:p>
    <w:p w14:paraId="67C5251B">
      <w:pPr>
        <w:numPr>
          <w:ilvl w:val="0"/>
          <w:numId w:val="0"/>
        </w:numPr>
        <w:ind w:left="0" w:leftChars="0" w:firstLine="0" w:firstLineChars="0"/>
        <w:rPr>
          <w:rFonts w:hint="default"/>
          <w:position w:val="-14"/>
          <w:lang w:val="en-US" w:eastAsia="zh-CN"/>
        </w:rPr>
      </w:pPr>
      <w:r>
        <w:rPr>
          <w:rFonts w:hint="default"/>
          <w:position w:val="-14"/>
          <w:lang w:val="en-US" w:eastAsia="zh-CN"/>
        </w:rPr>
        <w:t xml:space="preserve">The daily horizontal diffuse to global fraction (Kd) on the clear days was less than 0.40, while on cloudy days Kd was greater than 0.95. Albedo increases with decreases in sun height on clear days, but only down to solar elevation angles of about 10◦ at which point the albedo decreases (Iqbal, 1983). This phenomenon occurs because the fraction of horizontal diffuse to horizontal beam irradiance rapidly increases as the solar elevation angle decreases from 10◦ toward the horizon. Therefore, we only show measurements when the sun is higher than 10◦ above the horizon in Fig. 4a, Fig. 4c, and Fig. 4e. </w:t>
      </w:r>
      <w:r>
        <w:rPr>
          <w:rFonts w:hint="eastAsia"/>
          <w:position w:val="-14"/>
          <w:lang w:val="en-US" w:eastAsia="zh-CN"/>
        </w:rPr>
        <w:t>(他没有记10°以下的数据, 说明需要修正)</w:t>
      </w:r>
    </w:p>
    <w:p w14:paraId="2D3DB714">
      <w:pPr>
        <w:numPr>
          <w:ilvl w:val="0"/>
          <w:numId w:val="0"/>
        </w:numPr>
        <w:ind w:left="0" w:leftChars="0" w:firstLine="0" w:firstLineChars="0"/>
        <w:rPr>
          <w:rFonts w:hint="default"/>
          <w:position w:val="-14"/>
          <w:lang w:val="en-US" w:eastAsia="zh-CN"/>
        </w:rPr>
      </w:pPr>
    </w:p>
    <w:p w14:paraId="356A30FD">
      <w:pPr>
        <w:numPr>
          <w:ilvl w:val="0"/>
          <w:numId w:val="0"/>
        </w:numPr>
        <w:ind w:leftChars="0"/>
        <w:rPr>
          <w:rFonts w:hint="default"/>
          <w:position w:val="-14"/>
          <w:lang w:val="en-US" w:eastAsia="zh-CN"/>
        </w:rPr>
      </w:pPr>
    </w:p>
    <w:p w14:paraId="7BAE9EC3">
      <w:pPr>
        <w:numPr>
          <w:ilvl w:val="0"/>
          <w:numId w:val="0"/>
        </w:numPr>
        <w:ind w:left="0" w:leftChars="0" w:firstLine="0" w:firstLineChars="0"/>
        <w:rPr>
          <w:rFonts w:hint="default"/>
          <w:position w:val="-14"/>
          <w:lang w:val="en-US" w:eastAsia="zh-CN"/>
        </w:rPr>
      </w:pPr>
    </w:p>
    <w:p w14:paraId="7D2CFDFD">
      <w:pPr>
        <w:numPr>
          <w:ilvl w:val="0"/>
          <w:numId w:val="0"/>
        </w:numPr>
        <w:ind w:left="0" w:leftChars="0" w:firstLine="0" w:firstLineChars="0"/>
        <w:rPr>
          <w:rFonts w:hint="default"/>
          <w:position w:val="-14"/>
          <w:lang w:val="en-US" w:eastAsia="zh-CN"/>
        </w:rPr>
      </w:pPr>
    </w:p>
    <w:p w14:paraId="6BF4BE2E">
      <w:pPr>
        <w:numPr>
          <w:ilvl w:val="0"/>
          <w:numId w:val="0"/>
        </w:numPr>
        <w:ind w:left="0" w:leftChars="0" w:firstLine="0" w:firstLineChars="0"/>
        <w:rPr>
          <w:rFonts w:hint="default"/>
          <w:position w:val="-14"/>
          <w:lang w:val="en-US" w:eastAsia="zh-CN"/>
        </w:rPr>
      </w:pPr>
    </w:p>
    <w:p w14:paraId="4683EC98">
      <w:pPr>
        <w:rPr>
          <w:rFonts w:hint="default"/>
          <w:b/>
          <w:bCs/>
          <w:color w:val="E54C5E" w:themeColor="accent6"/>
          <w:position w:val="-14"/>
          <w:lang w:val="en-US" w:eastAsia="zh-CN"/>
          <w14:textFill>
            <w14:solidFill>
              <w14:schemeClr w14:val="accent6"/>
            </w14:solidFill>
          </w14:textFill>
        </w:rPr>
      </w:pPr>
    </w:p>
    <w:p w14:paraId="1CEF3607">
      <w:pPr>
        <w:rPr>
          <w:rFonts w:hint="default"/>
          <w:b/>
          <w:bCs/>
          <w:color w:val="E54C5E" w:themeColor="accent6"/>
          <w:position w:val="-14"/>
          <w:lang w:val="en-US" w:eastAsia="zh-CN"/>
          <w14:textFill>
            <w14:solidFill>
              <w14:schemeClr w14:val="accent6"/>
            </w14:solidFill>
          </w14:textFill>
        </w:rPr>
      </w:pPr>
    </w:p>
    <w:p w14:paraId="43FC673F">
      <w:pPr>
        <w:rPr>
          <w:rFonts w:hint="eastAsia"/>
          <w:position w:val="-14"/>
          <w:lang w:val="en-US" w:eastAsia="zh-CN"/>
        </w:rPr>
      </w:pPr>
      <w:r>
        <w:rPr>
          <w:rFonts w:hint="eastAsia"/>
          <w:position w:val="-14"/>
          <w:lang w:val="en-US" w:eastAsia="zh-CN"/>
        </w:rPr>
        <w:t>此系统还需做4个优化:</w:t>
      </w:r>
    </w:p>
    <w:p w14:paraId="5D621F85">
      <w:pPr>
        <w:rPr>
          <w:rFonts w:hint="default"/>
          <w:position w:val="-14"/>
          <w:lang w:val="en-US" w:eastAsia="zh-CN"/>
        </w:rPr>
      </w:pPr>
      <w:r>
        <w:rPr>
          <w:rFonts w:hint="eastAsia"/>
          <w:position w:val="-14"/>
          <w:lang w:val="en-US" w:eastAsia="zh-CN"/>
        </w:rPr>
        <w:t xml:space="preserve">---&gt; </w:t>
      </w:r>
      <w:r>
        <w:rPr>
          <w:rFonts w:hint="default"/>
          <w:position w:val="-14"/>
          <w:lang w:val="en-US" w:eastAsia="zh-CN"/>
        </w:rPr>
        <w:t>雪损模型（Snow Loss Model）</w:t>
      </w:r>
    </w:p>
    <w:p w14:paraId="24654E30">
      <w:pPr>
        <w:rPr>
          <w:rFonts w:hint="default"/>
          <w:position w:val="-14"/>
          <w:lang w:val="en-US" w:eastAsia="zh-CN"/>
        </w:rPr>
      </w:pPr>
      <w:r>
        <w:rPr>
          <w:rFonts w:hint="eastAsia"/>
          <w:position w:val="-14"/>
          <w:lang w:val="en-US" w:eastAsia="zh-CN"/>
        </w:rPr>
        <w:t>**[论文</w:t>
      </w:r>
      <w:r>
        <w:rPr>
          <w:rFonts w:hint="default"/>
          <w:position w:val="-14"/>
          <w:lang w:val="en-US" w:eastAsia="zh-CN"/>
        </w:rPr>
        <w:t>3</w:t>
      </w:r>
      <w:r>
        <w:rPr>
          <w:rFonts w:hint="eastAsia"/>
          <w:position w:val="-14"/>
          <w:lang w:val="en-US" w:eastAsia="zh-CN"/>
        </w:rPr>
        <w:t xml:space="preserve">]: </w:t>
      </w:r>
      <w:r>
        <w:rPr>
          <w:rFonts w:hint="default"/>
          <w:position w:val="-14"/>
          <w:lang w:val="en-US" w:eastAsia="zh-CN"/>
        </w:rPr>
        <w:t>单面组件在严寒环境下冬季雪损平均 33.12%。</w:t>
      </w:r>
    </w:p>
    <w:p w14:paraId="6F23C147">
      <w:pPr>
        <w:rPr>
          <w:rFonts w:hint="default"/>
          <w:position w:val="-14"/>
          <w:lang w:val="en-US" w:eastAsia="zh-CN"/>
        </w:rPr>
      </w:pPr>
    </w:p>
    <w:p w14:paraId="0BA99AA9">
      <w:pPr>
        <w:rPr>
          <w:rFonts w:hint="eastAsia"/>
          <w:position w:val="-14"/>
          <w:lang w:val="en-US" w:eastAsia="zh-CN"/>
        </w:rPr>
      </w:pPr>
      <w:r>
        <w:rPr>
          <w:rFonts w:hint="eastAsia"/>
          <w:position w:val="-14"/>
          <w:lang w:val="en-US" w:eastAsia="zh-CN"/>
        </w:rPr>
        <w:t>---&gt;电气失配与安装排布（Portrait vs. Landscape）</w:t>
      </w:r>
    </w:p>
    <w:p w14:paraId="6EEFE846">
      <w:pPr>
        <w:rPr>
          <w:rFonts w:hint="eastAsia"/>
          <w:position w:val="-14"/>
          <w:lang w:val="en-US" w:eastAsia="zh-CN"/>
        </w:rPr>
      </w:pPr>
      <w:r>
        <w:rPr>
          <w:rFonts w:hint="eastAsia"/>
          <w:position w:val="-14"/>
          <w:lang w:val="en-US" w:eastAsia="zh-CN"/>
        </w:rPr>
        <w:t>面和组串(组串电流?)</w:t>
      </w:r>
    </w:p>
    <w:p w14:paraId="6B3D529C">
      <w:pPr>
        <w:rPr>
          <w:rFonts w:hint="default"/>
          <w:position w:val="-14"/>
          <w:lang w:val="en-US" w:eastAsia="zh-CN"/>
        </w:rPr>
      </w:pPr>
    </w:p>
    <w:p w14:paraId="000D8055">
      <w:pPr>
        <w:rPr>
          <w:rFonts w:hint="eastAsia"/>
          <w:position w:val="-14"/>
          <w:lang w:val="en-US" w:eastAsia="zh-CN"/>
        </w:rPr>
      </w:pPr>
      <w:r>
        <w:rPr>
          <w:rFonts w:hint="eastAsia"/>
          <w:position w:val="-14"/>
          <w:lang w:val="en-US" w:eastAsia="zh-CN"/>
        </w:rPr>
        <w:t>---&gt;阵列自遮挡（Ground Self-Shading）</w:t>
      </w:r>
    </w:p>
    <w:p w14:paraId="7EBE46B7">
      <w:pPr>
        <w:rPr>
          <w:rFonts w:hint="eastAsia"/>
          <w:position w:val="-14"/>
          <w:lang w:val="en-US" w:eastAsia="zh-CN"/>
        </w:rPr>
      </w:pPr>
      <w:r>
        <w:rPr>
          <w:rFonts w:hint="eastAsia"/>
          <w:position w:val="-14"/>
          <w:lang w:val="en-US" w:eastAsia="zh-CN"/>
        </w:rPr>
        <w:t>[论文2] 光伏阵列会在地面投射长阴影。</w:t>
      </w:r>
    </w:p>
    <w:p w14:paraId="7A920F6A">
      <w:pPr>
        <w:rPr>
          <w:rFonts w:hint="default"/>
          <w:position w:val="-14"/>
          <w:lang w:val="en-US" w:eastAsia="zh-CN"/>
        </w:rPr>
      </w:pPr>
    </w:p>
    <w:p w14:paraId="097BB5B2">
      <w:pPr>
        <w:rPr>
          <w:rFonts w:hint="default"/>
          <w:position w:val="-14"/>
          <w:lang w:val="en-US" w:eastAsia="zh-CN"/>
        </w:rPr>
      </w:pPr>
      <w:r>
        <w:rPr>
          <w:rFonts w:hint="eastAsia"/>
          <w:position w:val="-14"/>
          <w:lang w:val="en-US" w:eastAsia="zh-CN"/>
        </w:rPr>
        <w:t>---&gt;双面或许更优</w:t>
      </w:r>
    </w:p>
    <w:p w14:paraId="3AD1EF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4EFDF"/>
    <w:multiLevelType w:val="singleLevel"/>
    <w:tmpl w:val="8DE4EFDF"/>
    <w:lvl w:ilvl="0" w:tentative="0">
      <w:start w:val="1"/>
      <w:numFmt w:val="decimal"/>
      <w:suff w:val="space"/>
      <w:lvlText w:val="%1."/>
      <w:lvlJc w:val="left"/>
    </w:lvl>
  </w:abstractNum>
  <w:abstractNum w:abstractNumId="1">
    <w:nsid w:val="4ED2A6A7"/>
    <w:multiLevelType w:val="singleLevel"/>
    <w:tmpl w:val="4ED2A6A7"/>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BB67DE"/>
    <w:rsid w:val="0F2C1D70"/>
    <w:rsid w:val="23847F75"/>
    <w:rsid w:val="289522DC"/>
    <w:rsid w:val="30867679"/>
    <w:rsid w:val="42526F39"/>
    <w:rsid w:val="522B1438"/>
    <w:rsid w:val="55DA38A0"/>
    <w:rsid w:val="580F1057"/>
    <w:rsid w:val="5F8D4E24"/>
    <w:rsid w:val="799E680F"/>
    <w:rsid w:val="7C66738C"/>
    <w:rsid w:val="7ED248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1115</Words>
  <Characters>4431</Characters>
  <Lines>0</Lines>
  <Paragraphs>0</Paragraphs>
  <TotalTime>0</TotalTime>
  <ScaleCrop>false</ScaleCrop>
  <LinksUpToDate>false</LinksUpToDate>
  <CharactersWithSpaces>5079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2026-03-21T15:06:00Z</dcterms:created>
  <dc:creator>HUAWEI</dc:creator>
  <cp:lastModifiedBy>王长明</cp:lastModifiedBy>
  <dcterms:modified xsi:type="dcterms:W3CDTF">2026-03-21T15:11:18Z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eyJoZGlkIjoiMzEwNTM5NzYwMDRjMzkwZTVkZjY2ODkwMGIxNGU0OTUiLCJ1c2VySWQiOiI0NTI0NTI3NDgifQ==</vt:lpwstr>
  </property>
  <property fmtid="{D5CDD505-2E9C-101B-9397-08002B2CF9AE}" pid="4" name="ICV">
    <vt:lpwstr>D48B8742BA7F482FADC0E3A05221159D_12</vt:lpwstr>
  </property>
</Properties>
</file>